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cto-20250930x10q.htm"/>
        <w:bookmarkStart w:id="1" w:name="kscto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lineRule="auto" w:line="283" w:before="0" w:after="0"/>
        <w:ind w:left="0" w:right="0" w:firstLine="90"/>
        <w:jc w:val="center"/>
        <w:rPr>
          <w:rFonts w:ascii="Times New Roman;Times;serif" w:hAnsi="Times New Roman;Times;serif"/>
          <w:b/>
          <w:sz w:val="32"/>
        </w:rPr>
      </w:pPr>
      <w:bookmarkStart w:id="2" w:name="_4ff0f765_0441_42d3_8114_c581092b758b"/>
      <w:bookmarkEnd w:id="2"/>
      <w:r>
        <w:rPr>
          <w:rFonts w:ascii="Times New Roman;Times;serif" w:hAnsi="Times New Roman;Times;serif"/>
          <w:b/>
          <w:sz w:val="32"/>
        </w:rPr>
        <w:t>UNITED STATES</w:t>
      </w:r>
    </w:p>
    <w:p>
      <w:pPr>
        <w:pStyle w:val="TextBody"/>
        <w:bidi w:val="0"/>
        <w:spacing w:lineRule="auto" w:line="283"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lineRule="auto" w:line="283"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3" w:before="0" w:after="0"/>
              <w:jc w:val="left"/>
              <w:rPr/>
            </w:pPr>
            <w:r>
              <w:rPr/>
              <w:t>☒</w:t>
            </w:r>
          </w:p>
        </w:tc>
        <w:tc>
          <w:tcPr>
            <w:tcW w:w="9874" w:type="dxa"/>
            <w:tcBorders/>
            <w:vAlign w:val="center"/>
          </w:tcPr>
          <w:p>
            <w:pPr>
              <w:pStyle w:val="TableContents"/>
              <w:bidi w:val="0"/>
              <w:spacing w:lineRule="auto" w:line="283" w:before="0" w:after="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30, 2025</w:t>
      </w:r>
    </w:p>
    <w:p>
      <w:pPr>
        <w:pStyle w:val="TextBody"/>
        <w:bidi w:val="0"/>
        <w:spacing w:lineRule="auto" w:line="283" w:before="0" w:after="0"/>
        <w:ind w:left="0" w:right="0" w:hanging="0"/>
        <w:jc w:val="left"/>
        <w:rPr>
          <w:rFonts w:ascii="Times New Roman;Times;serif" w:hAnsi="Times New Roman;Times;serif"/>
          <w:b/>
          <w:sz w:val="18"/>
        </w:rPr>
      </w:pPr>
      <w:r>
        <w:rPr>
          <w:rFonts w:ascii="Times New Roman;Times;serif" w:hAnsi="Times New Roman;Times;serif"/>
          <w:b/>
          <w:sz w:val="18"/>
        </w:rPr>
        <w:t>OR</w:t>
      </w:r>
    </w:p>
    <w:p>
      <w:pPr>
        <w:pStyle w:val="TextBody"/>
        <w:bidi w:val="0"/>
        <w:spacing w:lineRule="auto" w:line="283"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3" w:before="0" w:after="0"/>
              <w:jc w:val="left"/>
              <w:rPr/>
            </w:pPr>
            <w:r>
              <w:rPr/>
              <w:t>☐</w:t>
            </w:r>
          </w:p>
        </w:tc>
        <w:tc>
          <w:tcPr>
            <w:tcW w:w="9874" w:type="dxa"/>
            <w:tcBorders/>
            <w:vAlign w:val="center"/>
          </w:tcPr>
          <w:p>
            <w:pPr>
              <w:pStyle w:val="TableContents"/>
              <w:bidi w:val="0"/>
              <w:spacing w:lineRule="auto" w:line="283" w:before="0" w:after="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001-11350</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rFonts w:ascii="Times New Roman;Times;serif" w:hAnsi="Times New Roman;Times;serif"/>
          <w:b/>
          <w:sz w:val="44"/>
        </w:rPr>
      </w:pPr>
      <w:r>
        <w:rPr>
          <w:rFonts w:ascii="Times New Roman;Times;serif" w:hAnsi="Times New Roman;Times;serif"/>
          <w:b/>
          <w:sz w:val="44"/>
        </w:rPr>
        <w:t>CTO REALTY GROWTH, INC.</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lineRule="auto" w:line="283" w:before="0" w:after="0"/>
        <w:ind w:left="0" w:right="0" w:hanging="0"/>
        <w:jc w:val="center"/>
        <w:rPr/>
      </w:pPr>
      <w:r>
        <w:rPr/>
        <w:t>​</w:t>
      </w:r>
    </w:p>
    <w:p>
      <w:pPr>
        <w:pStyle w:val="TextBody"/>
        <w:bidi w:val="0"/>
        <w:spacing w:lineRule="auto" w:line="283" w:before="0" w:after="0"/>
        <w:ind w:left="0" w:right="0" w:hanging="0"/>
        <w:jc w:val="center"/>
        <w:rPr/>
      </w:pPr>
      <w:r>
        <w:rPr/>
        <w:t>​</w:t>
      </w:r>
    </w:p>
    <w:p>
      <w:pPr>
        <w:pStyle w:val="Normal"/>
        <w:bidi w:val="0"/>
        <w:spacing w:before="0" w:after="0"/>
        <w:jc w:val="left"/>
        <w:rPr>
          <w:sz w:val="4"/>
          <w:szCs w:val="4"/>
        </w:rPr>
      </w:pPr>
      <w:r>
        <w:rPr>
          <w:sz w:val="4"/>
          <w:szCs w:val="4"/>
        </w:rPr>
      </w:r>
      <w:bookmarkStart w:id="3" w:name="Tc_cfzoSaKlQE-p0W2YIaMbCw_7_2"/>
      <w:bookmarkStart w:id="4" w:name="Tc_oa5Nfn0Tf0KUq4I4oliLpg_7_0"/>
      <w:bookmarkStart w:id="5" w:name="Tc_rZb8AXUMR0Okne3xwLibvA_6_0"/>
      <w:bookmarkStart w:id="6" w:name="Tc_LGYHYEHrmkuESEMirDna4w_5_0"/>
      <w:bookmarkStart w:id="7" w:name="Tc_SzCQvMKjWkqPbE-vlYZQaQ_3_2"/>
      <w:bookmarkStart w:id="8" w:name="Tc_99YzL3rLYEOgrdNGP14DAg_3_0"/>
      <w:bookmarkStart w:id="9" w:name="Tc_4cTNG8XcnE-OA1Y1vTfQuw_2_2"/>
      <w:bookmarkStart w:id="10" w:name="Tc_TdiZy4remkqj7tQKDiqkrA_2_0"/>
      <w:bookmarkStart w:id="11" w:name="_e7f04234_4853_40af_8d15_bacdf7a29870"/>
      <w:bookmarkStart w:id="12" w:name="Tc_cfzoSaKlQE-p0W2YIaMbCw_7_2"/>
      <w:bookmarkStart w:id="13" w:name="Tc_oa5Nfn0Tf0KUq4I4oliLpg_7_0"/>
      <w:bookmarkStart w:id="14" w:name="Tc_rZb8AXUMR0Okne3xwLibvA_6_0"/>
      <w:bookmarkStart w:id="15" w:name="Tc_LGYHYEHrmkuESEMirDna4w_5_0"/>
      <w:bookmarkStart w:id="16" w:name="Tc_SzCQvMKjWkqPbE-vlYZQaQ_3_2"/>
      <w:bookmarkStart w:id="17" w:name="Tc_99YzL3rLYEOgrdNGP14DAg_3_0"/>
      <w:bookmarkStart w:id="18" w:name="Tc_4cTNG8XcnE-OA1Y1vTfQuw_2_2"/>
      <w:bookmarkStart w:id="19" w:name="Tc_TdiZy4remkqj7tQKDiqkrA_2_0"/>
      <w:bookmarkStart w:id="20" w:name="_e7f04234_4853_40af_8d15_bacdf7a29870"/>
      <w:bookmarkEnd w:id="12"/>
      <w:bookmarkEnd w:id="13"/>
      <w:bookmarkEnd w:id="14"/>
      <w:bookmarkEnd w:id="15"/>
      <w:bookmarkEnd w:id="16"/>
      <w:bookmarkEnd w:id="17"/>
      <w:bookmarkEnd w:id="18"/>
      <w:bookmarkEnd w:id="19"/>
      <w:bookmarkEnd w:id="20"/>
    </w:p>
    <w:tbl>
      <w:tblPr>
        <w:tblW w:w="4963" w:type="dxa"/>
        <w:jc w:val="left"/>
        <w:tblInd w:w="0" w:type="dxa"/>
        <w:tblLayout w:type="fixed"/>
        <w:tblCellMar>
          <w:top w:w="0" w:type="dxa"/>
          <w:left w:w="0" w:type="dxa"/>
          <w:bottom w:w="0" w:type="dxa"/>
          <w:right w:w="0" w:type="dxa"/>
        </w:tblCellMar>
      </w:tblPr>
      <w:tblGrid>
        <w:gridCol w:w="3076"/>
        <w:gridCol w:w="326"/>
        <w:gridCol w:w="1561"/>
      </w:tblGrid>
      <w:tr>
        <w:trPr/>
        <w:tc>
          <w:tcPr>
            <w:tcW w:w="3076" w:type="dxa"/>
            <w:tcBorders/>
            <w:vAlign w:val="center"/>
          </w:tcPr>
          <w:p>
            <w:pPr>
              <w:pStyle w:val="TableContents"/>
              <w:bidi w:val="0"/>
              <w:spacing w:lineRule="auto" w:line="283" w:before="0" w:after="0"/>
              <w:ind w:left="0" w:right="0" w:hanging="0"/>
              <w:jc w:val="left"/>
              <w:rPr/>
            </w:pPr>
            <w:r>
              <w:rPr/>
              <w:t>​</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left"/>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Maryland</w:t>
            </w:r>
          </w:p>
        </w:tc>
        <w:tc>
          <w:tcPr>
            <w:tcW w:w="326" w:type="dxa"/>
            <w:tcBorders/>
            <w:vAlign w:val="center"/>
          </w:tcPr>
          <w:p>
            <w:pPr>
              <w:pStyle w:val="TableContents"/>
              <w:bidi w:val="0"/>
              <w:spacing w:lineRule="auto" w:line="283" w:before="0" w:after="0"/>
              <w:ind w:left="0" w:right="0" w:hanging="0"/>
              <w:jc w:val="left"/>
              <w:rPr/>
            </w:pPr>
            <w:r>
              <w:rPr/>
              <w:t>    </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59-0483700</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lineRule="auto" w:line="283" w:before="0" w:after="0"/>
              <w:ind w:left="0" w:right="0" w:hanging="0"/>
              <w:jc w:val="center"/>
              <w:rPr/>
            </w:pPr>
            <w:r>
              <w:rPr/>
              <w:t>​</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8"/>
              </w:rPr>
              <w:t>369 N. New York Avenue,</w:t>
            </w:r>
            <w:r>
              <w:rPr>
                <w:rFonts w:ascii="Times New Roman;Times;serif" w:hAnsi="Times New Roman;Times;serif"/>
                <w:sz w:val="20"/>
              </w:rPr>
              <w:t xml:space="preserve"> </w:t>
            </w:r>
            <w:r>
              <w:rPr>
                <w:rFonts w:ascii="Times New Roman;Times;serif" w:hAnsi="Times New Roman;Times;serif"/>
                <w:b/>
                <w:sz w:val="18"/>
              </w:rPr>
              <w:t>Suite 201</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pPr>
            <w:r>
              <w:rPr/>
              <w:t>​</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Winter Park, Florida</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32789</w:t>
            </w:r>
          </w:p>
        </w:tc>
      </w:tr>
      <w:tr>
        <w:trPr/>
        <w:tc>
          <w:tcPr>
            <w:tcW w:w="3076"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26" w:type="dxa"/>
            <w:tcBorders/>
            <w:vAlign w:val="center"/>
          </w:tcPr>
          <w:p>
            <w:pPr>
              <w:pStyle w:val="TableContents"/>
              <w:bidi w:val="0"/>
              <w:spacing w:lineRule="auto" w:line="283" w:before="0" w:after="0"/>
              <w:ind w:left="0" w:right="0" w:hanging="0"/>
              <w:jc w:val="left"/>
              <w:rPr/>
            </w:pPr>
            <w:r>
              <w:rPr/>
              <w:t>​</w:t>
            </w:r>
          </w:p>
        </w:tc>
        <w:tc>
          <w:tcPr>
            <w:tcW w:w="156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lineRule="auto" w:line="283" w:before="0" w:after="0"/>
        <w:ind w:left="0" w:right="0" w:hanging="0"/>
        <w:jc w:val="left"/>
        <w:rPr/>
      </w:pPr>
      <w:r>
        <w:rPr/>
        <w:t>​</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(407) 904-3324</w:t>
      </w:r>
    </w:p>
    <w:p>
      <w:pPr>
        <w:pStyle w:val="TextBody"/>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lineRule="auto" w:line="283" w:before="0" w:after="0"/>
        <w:ind w:left="0" w:right="0" w:hanging="0"/>
        <w:jc w:val="center"/>
        <w:rPr/>
      </w:pPr>
      <w:r>
        <w:rPr/>
        <w:t>​</w:t>
      </w:r>
    </w:p>
    <w:tbl>
      <w:tblPr>
        <w:tblW w:w="6451" w:type="dxa"/>
        <w:jc w:val="left"/>
        <w:tblInd w:w="0" w:type="dxa"/>
        <w:tblLayout w:type="fixed"/>
        <w:tblCellMar>
          <w:top w:w="0" w:type="dxa"/>
          <w:left w:w="0" w:type="dxa"/>
          <w:bottom w:w="0" w:type="dxa"/>
          <w:right w:w="0" w:type="dxa"/>
        </w:tblCellMar>
      </w:tblPr>
      <w:tblGrid>
        <w:gridCol w:w="6451"/>
      </w:tblGrid>
      <w:tr>
        <w:trPr/>
        <w:tc>
          <w:tcPr>
            <w:tcW w:w="6451" w:type="dxa"/>
            <w:tcBorders/>
            <w:vAlign w:val="center"/>
          </w:tcPr>
          <w:p>
            <w:pPr>
              <w:pStyle w:val="TableContents"/>
              <w:bidi w:val="0"/>
              <w:spacing w:before="0" w:after="0"/>
              <w:ind w:left="0" w:right="0" w:hanging="0"/>
              <w:jc w:val="left"/>
              <w:rPr/>
            </w:pPr>
            <w:r>
              <w:rPr/>
              <w:t>​</w:t>
            </w:r>
          </w:p>
        </w:tc>
      </w:tr>
      <w:tr>
        <w:trPr/>
        <w:tc>
          <w:tcPr>
            <w:tcW w:w="645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N/A</w:t>
            </w:r>
          </w:p>
        </w:tc>
      </w:tr>
      <w:tr>
        <w:trPr/>
        <w:tc>
          <w:tcPr>
            <w:tcW w:w="6451" w:type="dxa"/>
            <w:tcBorders/>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tc>
      </w:tr>
    </w:tbl>
    <w:p>
      <w:pPr>
        <w:pStyle w:val="TextBody"/>
        <w:bidi w:val="0"/>
        <w:spacing w:lineRule="auto" w:line="283" w:before="0" w:after="0"/>
        <w:ind w:left="0" w:right="0" w:hanging="0"/>
        <w:jc w:val="center"/>
        <w:rPr/>
      </w:pPr>
      <w:r>
        <w:rPr/>
        <w:t>​</w:t>
      </w:r>
    </w:p>
    <w:p>
      <w:pPr>
        <w:pStyle w:val="TextBody"/>
        <w:bidi w:val="0"/>
        <w:spacing w:lineRule="auto" w:line="283" w:before="0" w:after="24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21" w:name="Tc_l45mfuqULUyD1_T4Vs1p0Q_1_4"/>
      <w:bookmarkStart w:id="22" w:name="Tc_h7M3Ze1DW0e2HLwV1FWCxA_1_2"/>
      <w:bookmarkStart w:id="23" w:name="Tc_k68-EuwnZkGIvr2Ji_Cx-A_1_0"/>
      <w:bookmarkStart w:id="24" w:name="_9ee89ae9_cb0e_4a1f_81e2_41375375d8db"/>
      <w:bookmarkStart w:id="25" w:name="Tc_l45mfuqULUyD1_T4Vs1p0Q_1_4"/>
      <w:bookmarkStart w:id="26" w:name="Tc_h7M3Ze1DW0e2HLwV1FWCxA_1_2"/>
      <w:bookmarkStart w:id="27" w:name="Tc_k68-EuwnZkGIvr2Ji_Cx-A_1_0"/>
      <w:bookmarkStart w:id="28" w:name="_9ee89ae9_cb0e_4a1f_81e2_41375375d8db"/>
      <w:bookmarkEnd w:id="25"/>
      <w:bookmarkEnd w:id="26"/>
      <w:bookmarkEnd w:id="27"/>
      <w:bookmarkEnd w:id="28"/>
    </w:p>
    <w:tbl>
      <w:tblPr>
        <w:tblW w:w="10205" w:type="dxa"/>
        <w:jc w:val="left"/>
        <w:tblInd w:w="0" w:type="dxa"/>
        <w:tblLayout w:type="fixed"/>
        <w:tblCellMar>
          <w:top w:w="0" w:type="dxa"/>
          <w:left w:w="0" w:type="dxa"/>
          <w:bottom w:w="0" w:type="dxa"/>
          <w:right w:w="0" w:type="dxa"/>
        </w:tblCellMar>
      </w:tblPr>
      <w:tblGrid>
        <w:gridCol w:w="4796"/>
        <w:gridCol w:w="326"/>
        <w:gridCol w:w="1234"/>
        <w:gridCol w:w="326"/>
        <w:gridCol w:w="3523"/>
      </w:tblGrid>
      <w:tr>
        <w:trPr/>
        <w:tc>
          <w:tcPr>
            <w:tcW w:w="47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34"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523" w:type="dxa"/>
            <w:tcBorders/>
            <w:vAlign w:val="center"/>
          </w:tcPr>
          <w:p>
            <w:pPr>
              <w:pStyle w:val="TableContents"/>
              <w:bidi w:val="0"/>
              <w:spacing w:before="0" w:after="283"/>
              <w:ind w:left="0" w:right="0" w:hanging="0"/>
              <w:jc w:val="left"/>
              <w:rPr>
                <w:sz w:val="4"/>
                <w:szCs w:val="4"/>
              </w:rPr>
            </w:pPr>
            <w:r>
              <w:rPr>
                <w:sz w:val="4"/>
                <w:szCs w:val="4"/>
              </w:rPr>
            </w:r>
          </w:p>
        </w:tc>
      </w:tr>
      <w:tr>
        <w:trPr/>
        <w:tc>
          <w:tcPr>
            <w:tcW w:w="4796" w:type="dxa"/>
            <w:tcBorders>
              <w:bottom w:val="single" w:sz="2" w:space="0" w:color="000000"/>
            </w:tcBorders>
            <w:tcMar>
              <w:bottom w:w="28" w:type="dxa"/>
            </w:tcMar>
            <w:vAlign w:val="center"/>
          </w:tcPr>
          <w:p>
            <w:pPr>
              <w:pStyle w:val="TableContents"/>
              <w:pBdr/>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lineRule="auto" w:line="283" w:before="0" w:after="0"/>
              <w:ind w:left="0" w:right="0" w:hanging="0"/>
              <w:jc w:val="center"/>
              <w:rPr/>
            </w:pPr>
            <w:r>
              <w:rPr/>
              <w:t>    </w:t>
            </w:r>
          </w:p>
        </w:tc>
        <w:tc>
          <w:tcPr>
            <w:tcW w:w="1234"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pPr>
            <w:r>
              <w:rPr/>
              <w:t>    </w:t>
            </w:r>
          </w:p>
        </w:tc>
        <w:tc>
          <w:tcPr>
            <w:tcW w:w="3523" w:type="dxa"/>
            <w:tcBorders>
              <w:bottom w:val="single" w:sz="2" w:space="0" w:color="000000"/>
            </w:tcBorders>
            <w:tcMar>
              <w:bottom w:w="28" w:type="dxa"/>
            </w:tcMar>
            <w:vAlign w:val="center"/>
          </w:tcPr>
          <w:p>
            <w:pPr>
              <w:pStyle w:val="TableContents"/>
              <w:bidi w:val="0"/>
              <w:spacing w:lineRule="auto" w:line="283"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4796"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6"/>
              </w:rPr>
              <w:t>Common Stock, $0.01</w:t>
            </w:r>
            <w:r>
              <w:rPr>
                <w:rFonts w:ascii="Times New Roman;Times;serif" w:hAnsi="Times New Roman;Times;serif"/>
                <w:sz w:val="20"/>
              </w:rPr>
              <w:t xml:space="preserve"> </w:t>
            </w:r>
            <w:r>
              <w:rPr>
                <w:rFonts w:ascii="Times New Roman;Times;serif" w:hAnsi="Times New Roman;Times;serif"/>
                <w:b/>
                <w:sz w:val="16"/>
              </w:rPr>
              <w:t>par value per share</w:t>
            </w:r>
          </w:p>
        </w:tc>
        <w:tc>
          <w:tcPr>
            <w:tcW w:w="326" w:type="dxa"/>
            <w:tcBorders/>
            <w:vAlign w:val="center"/>
          </w:tcPr>
          <w:p>
            <w:pPr>
              <w:pStyle w:val="TableContents"/>
              <w:bidi w:val="0"/>
              <w:spacing w:lineRule="auto" w:line="283" w:before="0" w:after="0"/>
              <w:ind w:left="0" w:right="0" w:hanging="0"/>
              <w:jc w:val="left"/>
              <w:rPr/>
            </w:pPr>
            <w:r>
              <w:rPr/>
              <w:t>​</w:t>
            </w:r>
          </w:p>
        </w:tc>
        <w:tc>
          <w:tcPr>
            <w:tcW w:w="1234"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CTO</w:t>
            </w:r>
          </w:p>
        </w:tc>
        <w:tc>
          <w:tcPr>
            <w:tcW w:w="326" w:type="dxa"/>
            <w:tcBorders/>
            <w:vAlign w:val="center"/>
          </w:tcPr>
          <w:p>
            <w:pPr>
              <w:pStyle w:val="TableContents"/>
              <w:bidi w:val="0"/>
              <w:spacing w:lineRule="auto" w:line="283" w:before="0" w:after="0"/>
              <w:ind w:left="0" w:right="0" w:hanging="0"/>
              <w:jc w:val="left"/>
              <w:rPr/>
            </w:pPr>
            <w:r>
              <w:rPr/>
              <w:t>​</w:t>
            </w:r>
          </w:p>
        </w:tc>
        <w:tc>
          <w:tcPr>
            <w:tcW w:w="3523" w:type="dxa"/>
            <w:tcBorders>
              <w:top w:val="single" w:sz="2" w:space="0" w:color="000000"/>
            </w:tcBorders>
            <w:tcMar>
              <w:top w:w="28" w:type="dxa"/>
            </w:tcMar>
            <w:vAlign w:val="center"/>
          </w:tcPr>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r>
        <w:trPr/>
        <w:tc>
          <w:tcPr>
            <w:tcW w:w="4796" w:type="dxa"/>
            <w:tcBorders/>
            <w:vAlign w:val="center"/>
          </w:tcPr>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6"/>
              </w:rPr>
              <w:t>6.375% Series A Cumulative Redeemable Preferred Stock, $0.01</w:t>
            </w:r>
            <w:r>
              <w:rPr>
                <w:rFonts w:ascii="Times New Roman;Times;serif" w:hAnsi="Times New Roman;Times;serif"/>
                <w:sz w:val="20"/>
              </w:rPr>
              <w:t xml:space="preserve"> </w:t>
            </w:r>
            <w:r>
              <w:rPr>
                <w:rFonts w:ascii="Times New Roman;Times;serif" w:hAnsi="Times New Roman;Times;serif"/>
                <w:b/>
                <w:sz w:val="16"/>
              </w:rPr>
              <w:t>par value per share</w:t>
            </w:r>
          </w:p>
        </w:tc>
        <w:tc>
          <w:tcPr>
            <w:tcW w:w="326" w:type="dxa"/>
            <w:tcBorders/>
            <w:vAlign w:val="center"/>
          </w:tcPr>
          <w:p>
            <w:pPr>
              <w:pStyle w:val="TableContents"/>
              <w:bidi w:val="0"/>
              <w:spacing w:lineRule="auto" w:line="283" w:before="0" w:after="0"/>
              <w:ind w:left="0" w:right="0" w:hanging="0"/>
              <w:jc w:val="left"/>
              <w:rPr/>
            </w:pPr>
            <w:r>
              <w:rPr/>
              <w:t>​</w:t>
            </w:r>
          </w:p>
        </w:tc>
        <w:tc>
          <w:tcPr>
            <w:tcW w:w="1234" w:type="dxa"/>
            <w:tcBorders/>
            <w:vAlign w:val="center"/>
          </w:tcPr>
          <w:p>
            <w:pPr>
              <w:pStyle w:val="TableContents"/>
              <w:bidi w:val="0"/>
              <w:spacing w:lineRule="auto" w:line="283" w:before="0" w:after="0"/>
              <w:ind w:left="0" w:right="0" w:hanging="0"/>
              <w:jc w:val="center"/>
              <w:rPr/>
            </w:pPr>
            <w:r>
              <w:rPr/>
              <w:t>​</w:t>
            </w:r>
          </w:p>
          <w:p>
            <w:pPr>
              <w:pStyle w:val="TableContents"/>
              <w:bidi w:val="0"/>
              <w:spacing w:lineRule="auto" w:line="283" w:before="0" w:after="0"/>
              <w:ind w:left="0" w:right="0" w:hanging="0"/>
              <w:jc w:val="center"/>
              <w:rPr>
                <w:rFonts w:ascii="Times New Roman;Times;serif" w:hAnsi="Times New Roman;Times;serif"/>
                <w:sz w:val="20"/>
              </w:rPr>
            </w:pPr>
            <w:r>
              <w:rPr>
                <w:rFonts w:ascii="Times New Roman;Times;serif" w:hAnsi="Times New Roman;Times;serif"/>
                <w:b/>
                <w:sz w:val="16"/>
              </w:rPr>
              <w:t>CTO</w:t>
            </w:r>
            <w:r>
              <w:rPr>
                <w:rFonts w:ascii="Times New Roman;Times;serif" w:hAnsi="Times New Roman;Times;serif"/>
                <w:sz w:val="18"/>
              </w:rPr>
              <w:t>-</w:t>
            </w:r>
            <w:r>
              <w:rPr>
                <w:rFonts w:ascii="Times New Roman;Times;serif" w:hAnsi="Times New Roman;Times;serif"/>
                <w:b/>
                <w:sz w:val="16"/>
              </w:rPr>
              <w:t>PA</w:t>
            </w:r>
          </w:p>
        </w:tc>
        <w:tc>
          <w:tcPr>
            <w:tcW w:w="326" w:type="dxa"/>
            <w:tcBorders/>
            <w:vAlign w:val="center"/>
          </w:tcPr>
          <w:p>
            <w:pPr>
              <w:pStyle w:val="TableContents"/>
              <w:bidi w:val="0"/>
              <w:spacing w:lineRule="auto" w:line="283" w:before="0" w:after="0"/>
              <w:ind w:left="0" w:right="0" w:hanging="0"/>
              <w:jc w:val="left"/>
              <w:rPr/>
            </w:pPr>
            <w:r>
              <w:rPr/>
              <w:t>​</w:t>
            </w:r>
          </w:p>
        </w:tc>
        <w:tc>
          <w:tcPr>
            <w:tcW w:w="3523" w:type="dxa"/>
            <w:tcBorders/>
            <w:vAlign w:val="center"/>
          </w:tcPr>
          <w:p>
            <w:pPr>
              <w:pStyle w:val="TableContents"/>
              <w:bidi w:val="0"/>
              <w:spacing w:lineRule="auto" w:line="283" w:before="0" w:after="0"/>
              <w:ind w:left="0" w:right="0" w:hanging="0"/>
              <w:jc w:val="center"/>
              <w:rPr/>
            </w:pPr>
            <w:r>
              <w:rPr/>
              <w:t>​</w:t>
            </w:r>
          </w:p>
          <w:p>
            <w:pPr>
              <w:pStyle w:val="TableContents"/>
              <w:bidi w:val="0"/>
              <w:spacing w:lineRule="auto" w:line="283"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bl>
    <w:p>
      <w:pPr>
        <w:pStyle w:val="TextBody"/>
        <w:bidi w:val="0"/>
        <w:spacing w:lineRule="auto" w:line="283" w:before="0" w:after="0"/>
        <w:ind w:left="0" w:right="0" w:firstLine="490"/>
        <w:jc w:val="left"/>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3" w:before="0" w:after="0"/>
        <w:ind w:left="0" w:right="0" w:hanging="0"/>
        <w:jc w:val="left"/>
        <w:rPr/>
      </w:pPr>
      <w:r>
        <w:rPr/>
        <w:t>​</w:t>
      </w:r>
    </w:p>
    <w:p>
      <w:pPr>
        <w:pStyle w:val="Normal"/>
        <w:bidi w:val="0"/>
        <w:spacing w:before="0" w:after="0"/>
        <w:jc w:val="left"/>
        <w:rPr>
          <w:sz w:val="4"/>
          <w:szCs w:val="4"/>
        </w:rPr>
      </w:pPr>
      <w:r>
        <w:rPr>
          <w:sz w:val="4"/>
          <w:szCs w:val="4"/>
        </w:rPr>
      </w:r>
      <w:bookmarkStart w:id="29" w:name="Tc_mPthBQ-BAEaGVbAtebh29A_5_3"/>
      <w:bookmarkStart w:id="30" w:name="Tc_P1qb-qK9UUWzL6GLXOSZDQ_3_3"/>
      <w:bookmarkStart w:id="31" w:name="Tc_w_VczFeDGUqRioDSe2eiAg_3_1"/>
      <w:bookmarkStart w:id="32" w:name="Tc_jW6vmA-OU0WzQ4IRMuj11A_3_0"/>
      <w:bookmarkStart w:id="33" w:name="Tc_laiJUUNgOUmnlGJksy7Wvg_1_4"/>
      <w:bookmarkStart w:id="34" w:name="Tc_LRLIijgOLk6xD_4F_L2PXA_1_1"/>
      <w:bookmarkStart w:id="35" w:name="Tc_V8iN54FwZ0a7CjG_I8vVfg_1_0"/>
      <w:bookmarkStart w:id="36" w:name="_438bff81_bee6_4cb5_8c90_bddb2def7978"/>
      <w:bookmarkStart w:id="37" w:name="Tc_mPthBQ-BAEaGVbAtebh29A_5_3"/>
      <w:bookmarkStart w:id="38" w:name="Tc_P1qb-qK9UUWzL6GLXOSZDQ_3_3"/>
      <w:bookmarkStart w:id="39" w:name="Tc_w_VczFeDGUqRioDSe2eiAg_3_1"/>
      <w:bookmarkStart w:id="40" w:name="Tc_jW6vmA-OU0WzQ4IRMuj11A_3_0"/>
      <w:bookmarkStart w:id="41" w:name="Tc_laiJUUNgOUmnlGJksy7Wvg_1_4"/>
      <w:bookmarkStart w:id="42" w:name="Tc_LRLIijgOLk6xD_4F_L2PXA_1_1"/>
      <w:bookmarkStart w:id="43" w:name="Tc_V8iN54FwZ0a7CjG_I8vVfg_1_0"/>
      <w:bookmarkStart w:id="44" w:name="_438bff81_bee6_4cb5_8c90_bddb2def7978"/>
      <w:bookmarkEnd w:id="37"/>
      <w:bookmarkEnd w:id="38"/>
      <w:bookmarkEnd w:id="39"/>
      <w:bookmarkEnd w:id="40"/>
      <w:bookmarkEnd w:id="41"/>
      <w:bookmarkEnd w:id="42"/>
      <w:bookmarkEnd w:id="43"/>
      <w:bookmarkEnd w:id="44"/>
    </w:p>
    <w:tbl>
      <w:tblPr>
        <w:tblW w:w="4808" w:type="dxa"/>
        <w:jc w:val="left"/>
        <w:tblInd w:w="0" w:type="dxa"/>
        <w:tblLayout w:type="fixed"/>
        <w:tblCellMar>
          <w:top w:w="0" w:type="dxa"/>
          <w:left w:w="0" w:type="dxa"/>
          <w:bottom w:w="0" w:type="dxa"/>
          <w:right w:w="0" w:type="dxa"/>
        </w:tblCellMar>
      </w:tblPr>
      <w:tblGrid>
        <w:gridCol w:w="1771"/>
        <w:gridCol w:w="436"/>
        <w:gridCol w:w="109"/>
        <w:gridCol w:w="2131"/>
        <w:gridCol w:w="361"/>
      </w:tblGrid>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436" w:type="dxa"/>
            <w:tcBorders/>
            <w:vAlign w:val="center"/>
          </w:tcPr>
          <w:p>
            <w:pPr>
              <w:pStyle w:val="TableContents"/>
              <w:bidi w:val="0"/>
              <w:spacing w:lineRule="auto" w:line="283" w:before="0" w:after="0"/>
              <w:ind w:left="0" w:right="0" w:hanging="0"/>
              <w:jc w:val="left"/>
              <w:rPr/>
            </w:pPr>
            <w:r>
              <w:rPr/>
              <w:t>☐  </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pPr>
            <w:r>
              <w:rPr/>
              <w:t>​</w:t>
            </w:r>
          </w:p>
        </w:tc>
        <w:tc>
          <w:tcPr>
            <w:tcW w:w="361" w:type="dxa"/>
            <w:tcBorders/>
            <w:vAlign w:val="center"/>
          </w:tcPr>
          <w:p>
            <w:pPr>
              <w:pStyle w:val="TableContents"/>
              <w:bidi w:val="0"/>
              <w:spacing w:lineRule="auto" w:line="283" w:before="0" w:after="0"/>
              <w:ind w:left="0" w:right="0" w:hanging="0"/>
              <w:jc w:val="left"/>
              <w:rPr/>
            </w:pPr>
            <w:r>
              <w:rPr/>
              <w:t>​</w:t>
            </w:r>
          </w:p>
        </w:tc>
      </w:tr>
      <w:tr>
        <w:trPr/>
        <w:tc>
          <w:tcPr>
            <w:tcW w:w="1771" w:type="dxa"/>
            <w:tcBorders/>
            <w:vAlign w:val="center"/>
          </w:tcPr>
          <w:p>
            <w:pPr>
              <w:pStyle w:val="TableContents"/>
              <w:bidi w:val="0"/>
              <w:spacing w:lineRule="auto" w:line="283" w:before="0" w:after="0"/>
              <w:ind w:left="0" w:right="0" w:hanging="0"/>
              <w:jc w:val="left"/>
              <w:rPr/>
            </w:pPr>
            <w:r>
              <w:rPr/>
              <w:t>​</w:t>
            </w:r>
          </w:p>
        </w:tc>
        <w:tc>
          <w:tcPr>
            <w:tcW w:w="436" w:type="dxa"/>
            <w:tcBorders/>
            <w:vAlign w:val="center"/>
          </w:tcPr>
          <w:p>
            <w:pPr>
              <w:pStyle w:val="TableContents"/>
              <w:bidi w:val="0"/>
              <w:spacing w:lineRule="auto" w:line="283" w:before="0" w:after="0"/>
              <w:ind w:left="0" w:right="0" w:hanging="0"/>
              <w:jc w:val="left"/>
              <w:rPr/>
            </w:pPr>
            <w:r>
              <w:rPr/>
              <w:t>​</w:t>
            </w:r>
          </w:p>
        </w:tc>
        <w:tc>
          <w:tcPr>
            <w:tcW w:w="109" w:type="dxa"/>
            <w:tcBorders/>
            <w:vAlign w:val="center"/>
          </w:tcPr>
          <w:p>
            <w:pPr>
              <w:pStyle w:val="TableContents"/>
              <w:bidi w:val="0"/>
              <w:spacing w:lineRule="auto" w:line="283" w:before="0" w:after="0"/>
              <w:ind w:left="0" w:right="0" w:hanging="0"/>
              <w:jc w:val="left"/>
              <w:rPr/>
            </w:pPr>
            <w:r>
              <w:rPr/>
              <w:t>​</w:t>
            </w:r>
          </w:p>
        </w:tc>
        <w:tc>
          <w:tcPr>
            <w:tcW w:w="2131" w:type="dxa"/>
            <w:tcBorders/>
            <w:vAlign w:val="center"/>
          </w:tcPr>
          <w:p>
            <w:pPr>
              <w:pStyle w:val="TableContents"/>
              <w:bidi w:val="0"/>
              <w:spacing w:lineRule="auto" w:line="283"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lineRule="auto" w:line="283" w:before="0" w:after="0"/>
              <w:ind w:left="0" w:right="0" w:hanging="0"/>
              <w:jc w:val="left"/>
              <w:rPr/>
            </w:pPr>
            <w:r>
              <w:rPr/>
              <w:t>☐</w:t>
            </w:r>
          </w:p>
        </w:tc>
      </w:tr>
    </w:tbl>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3" w:before="0" w:after="0"/>
        <w:ind w:left="0" w:right="0" w:hanging="0"/>
        <w:jc w:val="both"/>
        <w:rPr/>
      </w:pPr>
      <w:r>
        <w:rPr/>
        <w:t>​</w:t>
      </w:r>
    </w:p>
    <w:p>
      <w:pPr>
        <w:pStyle w:val="TextBody"/>
        <w:bidi w:val="0"/>
        <w:spacing w:lineRule="auto" w:line="283" w:before="0" w:after="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3" w:before="0" w:after="0"/>
        <w:ind w:left="0" w:right="0" w:hanging="0"/>
        <w:jc w:val="left"/>
        <w:rPr/>
      </w:pPr>
      <w:r>
        <w:rPr/>
        <w:t>​</w:t>
      </w:r>
    </w:p>
    <w:p>
      <w:pPr>
        <w:pStyle w:val="TextBody"/>
        <w:bidi w:val="0"/>
        <w:spacing w:lineRule="auto" w:line="283" w:before="0" w:after="0"/>
        <w:ind w:left="0" w:right="0" w:firstLine="490"/>
        <w:jc w:val="left"/>
        <w:rPr>
          <w:rFonts w:ascii="Times New Roman;Times;serif" w:hAnsi="Times New Roman;Times;serif"/>
          <w:sz w:val="18"/>
        </w:rPr>
      </w:pPr>
      <w:r>
        <w:rPr>
          <w:rFonts w:ascii="Times New Roman;Times;serif" w:hAnsi="Times New Roman;Times;serif"/>
          <w:sz w:val="18"/>
        </w:rPr>
        <w:t>As of October 21, 2025, there were 32,372,291 shares of the registrant’s common stock, $0.01 par value per share, outstanding.</w:t>
      </w:r>
    </w:p>
    <w:p>
      <w:pPr>
        <w:pStyle w:val="TextBody"/>
        <w:bidi w:val="0"/>
        <w:spacing w:lineRule="auto" w:line="283" w:before="0" w:after="0"/>
        <w:ind w:left="0" w:right="0" w:hanging="0"/>
        <w:jc w:val="center"/>
        <w:rPr/>
      </w:pPr>
      <w:r>
        <w:rPr/>
        <w:t>​</w:t>
      </w:r>
    </w:p>
    <w:p>
      <w:pPr>
        <w:pStyle w:val="TextBody"/>
        <w:pBdr>
          <w:bottom w:val="single" w:sz="8" w:space="1" w:color="000000"/>
        </w:pBdr>
        <w:bidi w:val="0"/>
        <w:spacing w:before="0" w:after="0"/>
        <w:ind w:left="0" w:right="0" w:hanging="0"/>
        <w:jc w:val="center"/>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5" w:name="Toc"/>
      <w:bookmarkStart w:id="46" w:name="_49977bb0_b2b4_48e4_ad22_cce47c377fab"/>
      <w:bookmarkEnd w:id="45"/>
      <w:bookmarkEnd w:id="46"/>
      <w:r>
        <w:rPr>
          <w:rFonts w:ascii="Times New Roman;Times;serif" w:hAnsi="Times New Roman;Times;serif"/>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08"/>
        <w:gridCol w:w="326"/>
        <w:gridCol w:w="571"/>
      </w:tblGrid>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r>
      <w:tr>
        <w:trPr/>
        <w:tc>
          <w:tcPr>
            <w:tcW w:w="9308" w:type="dxa"/>
            <w:tcBorders/>
            <w:vAlign w:val="center"/>
          </w:tcPr>
          <w:p>
            <w:pPr>
              <w:pStyle w:val="TableContents"/>
              <w:bidi w:val="0"/>
              <w:spacing w:before="0" w:after="0"/>
              <w:ind w:left="0" w:right="0" w:hanging="0"/>
              <w:jc w:val="left"/>
              <w:rPr/>
            </w:pPr>
            <w:hyperlink w:anchor="PARTIFINANCIALINFORMATION_609111">
              <w:r>
                <w:rPr>
                  <w:rStyle w:val="InternetLink"/>
                  <w:rFonts w:ascii="Times New Roman;Times;serif" w:hAnsi="Times New Roman;Times;serif"/>
                  <w:b w:val="false"/>
                  <w:i w:val="false"/>
                  <w:caps w:val="false"/>
                  <w:smallCaps w:val="false"/>
                  <w:sz w:val="20"/>
                </w:rPr>
                <w:t>PART I—FINANCIAL INFORMATION</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FINANCIALSTATEMENTS_334556">
              <w:r>
                <w:rPr>
                  <w:rStyle w:val="InternetLink"/>
                  <w:rFonts w:ascii="Times New Roman;Times;serif" w:hAnsi="Times New Roman;Times;serif"/>
                  <w:b w:val="false"/>
                  <w:i w:val="false"/>
                  <w:caps w:val="false"/>
                  <w:smallCaps w:val="false"/>
                  <w:sz w:val="20"/>
                </w:rPr>
                <w:t>Item 1.      Financial Statements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BALANCESHEETS">
              <w:r>
                <w:rPr>
                  <w:rStyle w:val="InternetLink"/>
                  <w:rFonts w:ascii="Times New Roman;Times;serif" w:hAnsi="Times New Roman;Times;serif"/>
                  <w:b w:val="false"/>
                  <w:i w:val="false"/>
                  <w:caps w:val="false"/>
                  <w:smallCaps w:val="false"/>
                  <w:sz w:val="20"/>
                </w:rPr>
                <w:t>Consolidated Balance Sheets – September 30, 2025 (Unaudited) and December 31, 2024</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OPERATIONS_48896">
              <w:r>
                <w:rPr>
                  <w:rStyle w:val="InternetLink"/>
                  <w:rFonts w:ascii="Times New Roman;Times;serif" w:hAnsi="Times New Roman;Times;serif"/>
                  <w:b w:val="false"/>
                  <w:i w:val="false"/>
                  <w:caps w:val="false"/>
                  <w:smallCaps w:val="false"/>
                  <w:sz w:val="20"/>
                </w:rPr>
                <w:t>Consolidated Statements of Operations – Three and Nine months ended September 30, 2025 and 2024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 Three and Nine months ended September 30, 2025 and 2024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pBdr/>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Stockholders’ Equity – Three and Nine months ended September 30, 2025 and 2024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CASHFLOWS_277552">
              <w:r>
                <w:rPr>
                  <w:rStyle w:val="InternetLink"/>
                  <w:rFonts w:ascii="Times New Roman;Times;serif" w:hAnsi="Times New Roman;Times;serif"/>
                  <w:b w:val="false"/>
                  <w:i w:val="false"/>
                  <w:caps w:val="false"/>
                  <w:smallCaps w:val="false"/>
                  <w:sz w:val="20"/>
                </w:rPr>
                <w:t>Consolidated Statements of Cash Flows – Nine months ended September 30, 2025 and 2024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NOTE1DESCRIPTIONOFBUSINESSANDPRINCIPLES">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2MANAGEMENTSDISCUSSIONANDANALYSIS_90">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3QUANTITATIVEANDQUALITATIVE_871147">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4CONTROLSANDPROCEDURES_992496">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PARTIIOTHERINFORMATION_47745">
              <w:r>
                <w:rPr>
                  <w:rStyle w:val="InternetLink"/>
                  <w:rFonts w:ascii="Times New Roman;Times;serif" w:hAnsi="Times New Roman;Times;serif"/>
                  <w:b w:val="false"/>
                  <w:i w:val="false"/>
                  <w:caps w:val="false"/>
                  <w:smallCaps w:val="false"/>
                  <w:sz w:val="20"/>
                </w:rPr>
                <w:t>PART II—OTHER INFORMATION</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LEGALPROCEEDINGS_995157">
              <w:r>
                <w:rPr>
                  <w:rStyle w:val="InternetLink"/>
                  <w:rFonts w:ascii="Times New Roman;Times;serif" w:hAnsi="Times New Roman;Times;serif"/>
                  <w:b w:val="false"/>
                  <w:i w:val="false"/>
                  <w:caps w:val="false"/>
                  <w:smallCaps w:val="false"/>
                  <w:sz w:val="20"/>
                </w:rPr>
                <w:t>Item 1.      Legal Proceedings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ARISKFACTORS_785246">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2UNREGISTEREDSALESOFEQUITY_22926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3DEFAULTSUPONSENIORSECURITIES_987801">
              <w:r>
                <w:rPr>
                  <w:rStyle w:val="InternetLink"/>
                  <w:rFonts w:ascii="Times New Roman;Times;serif" w:hAnsi="Times New Roman;Times;serif"/>
                  <w:b w:val="false"/>
                  <w:i w:val="false"/>
                  <w:caps w:val="false"/>
                  <w:smallCaps w:val="false"/>
                  <w:sz w:val="20"/>
                </w:rPr>
                <w:t>Item 3.      Defaults Upon Senior Securities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4MINESAFETYDISCLOSURES_773804">
              <w:r>
                <w:rPr>
                  <w:rStyle w:val="InternetLink"/>
                  <w:rFonts w:ascii="Times New Roman;Times;serif" w:hAnsi="Times New Roman;Times;serif"/>
                  <w:b w:val="false"/>
                  <w:i w:val="false"/>
                  <w:caps w:val="false"/>
                  <w:smallCaps w:val="false"/>
                  <w:sz w:val="20"/>
                </w:rPr>
                <w:t>Item 4.      Mine Safety Disclosures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5OTHERINFORMATION_783928">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6EXHIBITS_552522">
              <w:r>
                <w:rPr>
                  <w:rStyle w:val="InternetLink"/>
                  <w:rFonts w:ascii="Times New Roman;Times;serif" w:hAnsi="Times New Roman;Times;serif"/>
                  <w:b w:val="false"/>
                  <w:i w:val="false"/>
                  <w:caps w:val="false"/>
                  <w:smallCaps w:val="false"/>
                  <w:sz w:val="20"/>
                </w:rPr>
                <w:t>Item 6.      Exhibits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93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Signatures_930257">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PARTIFINANCIALINFORMATION_609111"/>
      <w:bookmarkStart w:id="48" w:name="_102176bc_1345_4921_921a_cc069c08cd1c"/>
      <w:bookmarkEnd w:id="47"/>
      <w:bookmarkEnd w:id="48"/>
      <w:r>
        <w:rPr>
          <w:rFonts w:ascii="Times New Roman;Times;serif" w:hAnsi="Times New Roman;Times;serif"/>
          <w:b/>
          <w:sz w:val="20"/>
        </w:rPr>
        <w:t>PART I—FINANCIAL INFORMATION</w:t>
      </w:r>
    </w:p>
    <w:p>
      <w:pPr>
        <w:pStyle w:val="TextBody"/>
        <w:bidi w:val="0"/>
        <w:spacing w:before="0" w:after="0"/>
        <w:ind w:left="0" w:right="0" w:hanging="0"/>
        <w:jc w:val="center"/>
        <w:rPr>
          <w:rFonts w:ascii="Times New Roman;Times;serif" w:hAnsi="Times New Roman;Times;serif"/>
          <w:b/>
          <w:sz w:val="20"/>
        </w:rPr>
      </w:pPr>
      <w:bookmarkStart w:id="49" w:name="ITEM1FINANCIALSTATEMENTS_334556"/>
      <w:bookmarkEnd w:id="49"/>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50" w:name="CONSOLIDATEDBALANCESHEETS"/>
      <w:bookmarkEnd w:id="50"/>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1" w:name="Tc_krWCHXqeQ0Obe70EoSzrxw_39_5"/>
      <w:bookmarkStart w:id="52" w:name="Tc_H_gxsd21QEOklZy_GEygJw_39_2"/>
      <w:bookmarkStart w:id="53" w:name="Tc_5Id6Ib7I-0eq1TleT6l4Zw_39_0"/>
      <w:bookmarkStart w:id="54" w:name="Tc_6TjmaVpmQ02bv0NxhhPD1w_38_0"/>
      <w:bookmarkStart w:id="55" w:name="Tc_WFKZcugsnkiHN1cFFBT1sA_37_0"/>
      <w:bookmarkStart w:id="56" w:name="Tc_KzAYxUC6rkKCosYeJN6fuw_36_0"/>
      <w:bookmarkStart w:id="57" w:name="Tc_dqeTMu6hh0GXMOheEjcL0A_35_0"/>
      <w:bookmarkStart w:id="58" w:name="Tc_QFF-YgsY70GKzqZjNcYfdw_34_0"/>
      <w:bookmarkStart w:id="59" w:name="Tc_sL1QB87cN0es09br1H3YjA_33_0"/>
      <w:bookmarkStart w:id="60" w:name="Tc_XWqIzCWy1k-IlDiKY20thg_32_0"/>
      <w:bookmarkStart w:id="61" w:name="Tc_s-26YyhU10K9SMXKjXuALA_31_0"/>
      <w:bookmarkStart w:id="62" w:name="Tc_IKi5Ybpt_kKwMR6iQe5evQ_30_0"/>
      <w:bookmarkStart w:id="63" w:name="Tc_8I-qGb4HuUGoWm1zYqZ1pg_29_0"/>
      <w:bookmarkStart w:id="64" w:name="Tc_TzHEMw0nXEKLjQQErMWfsg_28_6"/>
      <w:bookmarkStart w:id="65" w:name="Tc_ztlWsW2b4E20JdLeWlPINg_28_0"/>
      <w:bookmarkStart w:id="66" w:name="Tc_j8BADVQ5LUaIwTQU5Bxe9A_27_0"/>
      <w:bookmarkStart w:id="67" w:name="Tc_2AX7b1n17EmInqj999W1JA_26_0"/>
      <w:bookmarkStart w:id="68" w:name="Tc_JQs9r9P2SU-Yy34m5LWdcg_25_0"/>
      <w:bookmarkStart w:id="69" w:name="Tc_yDkyWV0Eu06056zb054x7Q_24_5"/>
      <w:bookmarkStart w:id="70" w:name="Tc_43dyobPLfE-QT7fB-oFzxA_24_2"/>
      <w:bookmarkStart w:id="71" w:name="Tc_kNfd7t4z8kmoXqoLSVuJsg_24_0"/>
      <w:bookmarkStart w:id="72" w:name="Tc_iFg8aeiTtk6-if3B7k0igQ_23_0"/>
      <w:bookmarkStart w:id="73" w:name="Tc_c9_cbyz1WEiiuuF9sc910g_22_0"/>
      <w:bookmarkStart w:id="74" w:name="Tc_MTv7vCHmZ0-WfGZKiNGDCw_21_5"/>
      <w:bookmarkStart w:id="75" w:name="Tc_WTkVdumTPUy1U_80w_waJQ_21_2"/>
      <w:bookmarkStart w:id="76" w:name="Tc_-MSVUrSLjEGN4SO9_dT-rw_21_0"/>
      <w:bookmarkStart w:id="77" w:name="Tc_DaKSOppZrk2oN2iwMSMOWg_20_0"/>
      <w:bookmarkStart w:id="78" w:name="Tc_A7yS5G22TUqFnuU-s1n4Ag_19_0"/>
      <w:bookmarkStart w:id="79" w:name="Tc_nu3bzabqjkq0xWH27DtxUw_18_3"/>
      <w:bookmarkStart w:id="80" w:name="Tc_2pMe3OddxES4BFG8zahzzQ_18_0"/>
      <w:bookmarkStart w:id="81" w:name="Tc__UBYDCYYmki9PztPltZ_aw_17_0"/>
      <w:bookmarkStart w:id="82" w:name="Tc_NgcITpfaJkeSA3zrv_1xbw_16_0"/>
      <w:bookmarkStart w:id="83" w:name="Tc_l7VTTfyHjkmQNLdZtvEucQ_15_0"/>
      <w:bookmarkStart w:id="84" w:name="Tc_XPxEqlSOjEyABDSvUGvqZg_14_0"/>
      <w:bookmarkStart w:id="85" w:name="Tc_2LZXUgK600q2FuV10eAPGA_13_0"/>
      <w:bookmarkStart w:id="86" w:name="Tc_-QK6evxPFEWKeZVlneHVGQ_12_0"/>
      <w:bookmarkStart w:id="87" w:name="Tc_RpAI3oDDY0-e-GlZsmu4cg_11_0"/>
      <w:bookmarkStart w:id="88" w:name="Tc_rDqSZvwpbEmQ-6Bg0xRilA_10_0"/>
      <w:bookmarkStart w:id="89" w:name="Tc_lEIyoLiHx0uwJLWcousFOw_9_0"/>
      <w:bookmarkStart w:id="90" w:name="Tc_zk_EymueW0qQoh_lHGDj9Q_8_0"/>
      <w:bookmarkStart w:id="91" w:name="Tc_DA86o2nI40aCZokxaybUzg_7_0"/>
      <w:bookmarkStart w:id="92" w:name="Tc_58bWKQ_GO0C4FrFuc7eOOg_6_0"/>
      <w:bookmarkStart w:id="93" w:name="Tc_H9hOWBnP50WMnHcb0O9p-A_5_5"/>
      <w:bookmarkStart w:id="94" w:name="Tc_v1tEOBFsmU-ZRNOtyxJYkA_5_2"/>
      <w:bookmarkStart w:id="95" w:name="Tc_mVG-nv00Q0SGZq2Etkhwjg_5_0"/>
      <w:bookmarkStart w:id="96" w:name="Tc_G_tuPPpqAEGVqVvXl387XA_4_0"/>
      <w:bookmarkStart w:id="97" w:name="Tc_Q-qUNpVBPU6BGKufcU7REg_3_0"/>
      <w:bookmarkStart w:id="98" w:name="Tc_LgNUJ5Ism0OSP5h6m5OBYQ_2_5"/>
      <w:bookmarkStart w:id="99" w:name="Tc_VKvAGHG9ck-LmndGbGdhUg_2_2"/>
      <w:bookmarkStart w:id="100" w:name="Tc_iOYmg_X7_E-2wDA0aUDTJg_1_2"/>
      <w:bookmarkStart w:id="101" w:name="_072f47aa_2fec_4474_90c4_971cb29a3b3c"/>
      <w:bookmarkStart w:id="102" w:name="Tc_krWCHXqeQ0Obe70EoSzrxw_39_5"/>
      <w:bookmarkStart w:id="103" w:name="Tc_H_gxsd21QEOklZy_GEygJw_39_2"/>
      <w:bookmarkStart w:id="104" w:name="Tc_5Id6Ib7I-0eq1TleT6l4Zw_39_0"/>
      <w:bookmarkStart w:id="105" w:name="Tc_6TjmaVpmQ02bv0NxhhPD1w_38_0"/>
      <w:bookmarkStart w:id="106" w:name="Tc_WFKZcugsnkiHN1cFFBT1sA_37_0"/>
      <w:bookmarkStart w:id="107" w:name="Tc_KzAYxUC6rkKCosYeJN6fuw_36_0"/>
      <w:bookmarkStart w:id="108" w:name="Tc_dqeTMu6hh0GXMOheEjcL0A_35_0"/>
      <w:bookmarkStart w:id="109" w:name="Tc_QFF-YgsY70GKzqZjNcYfdw_34_0"/>
      <w:bookmarkStart w:id="110" w:name="Tc_sL1QB87cN0es09br1H3YjA_33_0"/>
      <w:bookmarkStart w:id="111" w:name="Tc_XWqIzCWy1k-IlDiKY20thg_32_0"/>
      <w:bookmarkStart w:id="112" w:name="Tc_s-26YyhU10K9SMXKjXuALA_31_0"/>
      <w:bookmarkStart w:id="113" w:name="Tc_IKi5Ybpt_kKwMR6iQe5evQ_30_0"/>
      <w:bookmarkStart w:id="114" w:name="Tc_8I-qGb4HuUGoWm1zYqZ1pg_29_0"/>
      <w:bookmarkStart w:id="115" w:name="Tc_TzHEMw0nXEKLjQQErMWfsg_28_6"/>
      <w:bookmarkStart w:id="116" w:name="Tc_ztlWsW2b4E20JdLeWlPINg_28_0"/>
      <w:bookmarkStart w:id="117" w:name="Tc_j8BADVQ5LUaIwTQU5Bxe9A_27_0"/>
      <w:bookmarkStart w:id="118" w:name="Tc_2AX7b1n17EmInqj999W1JA_26_0"/>
      <w:bookmarkStart w:id="119" w:name="Tc_JQs9r9P2SU-Yy34m5LWdcg_25_0"/>
      <w:bookmarkStart w:id="120" w:name="Tc_yDkyWV0Eu06056zb054x7Q_24_5"/>
      <w:bookmarkStart w:id="121" w:name="Tc_43dyobPLfE-QT7fB-oFzxA_24_2"/>
      <w:bookmarkStart w:id="122" w:name="Tc_kNfd7t4z8kmoXqoLSVuJsg_24_0"/>
      <w:bookmarkStart w:id="123" w:name="Tc_iFg8aeiTtk6-if3B7k0igQ_23_0"/>
      <w:bookmarkStart w:id="124" w:name="Tc_c9_cbyz1WEiiuuF9sc910g_22_0"/>
      <w:bookmarkStart w:id="125" w:name="Tc_MTv7vCHmZ0-WfGZKiNGDCw_21_5"/>
      <w:bookmarkStart w:id="126" w:name="Tc_WTkVdumTPUy1U_80w_waJQ_21_2"/>
      <w:bookmarkStart w:id="127" w:name="Tc_-MSVUrSLjEGN4SO9_dT-rw_21_0"/>
      <w:bookmarkStart w:id="128" w:name="Tc_DaKSOppZrk2oN2iwMSMOWg_20_0"/>
      <w:bookmarkStart w:id="129" w:name="Tc_A7yS5G22TUqFnuU-s1n4Ag_19_0"/>
      <w:bookmarkStart w:id="130" w:name="Tc_nu3bzabqjkq0xWH27DtxUw_18_3"/>
      <w:bookmarkStart w:id="131" w:name="Tc_2pMe3OddxES4BFG8zahzzQ_18_0"/>
      <w:bookmarkStart w:id="132" w:name="Tc__UBYDCYYmki9PztPltZ_aw_17_0"/>
      <w:bookmarkStart w:id="133" w:name="Tc_NgcITpfaJkeSA3zrv_1xbw_16_0"/>
      <w:bookmarkStart w:id="134" w:name="Tc_l7VTTfyHjkmQNLdZtvEucQ_15_0"/>
      <w:bookmarkStart w:id="135" w:name="Tc_XPxEqlSOjEyABDSvUGvqZg_14_0"/>
      <w:bookmarkStart w:id="136" w:name="Tc_2LZXUgK600q2FuV10eAPGA_13_0"/>
      <w:bookmarkStart w:id="137" w:name="Tc_-QK6evxPFEWKeZVlneHVGQ_12_0"/>
      <w:bookmarkStart w:id="138" w:name="Tc_RpAI3oDDY0-e-GlZsmu4cg_11_0"/>
      <w:bookmarkStart w:id="139" w:name="Tc_rDqSZvwpbEmQ-6Bg0xRilA_10_0"/>
      <w:bookmarkStart w:id="140" w:name="Tc_lEIyoLiHx0uwJLWcousFOw_9_0"/>
      <w:bookmarkStart w:id="141" w:name="Tc_zk_EymueW0qQoh_lHGDj9Q_8_0"/>
      <w:bookmarkStart w:id="142" w:name="Tc_DA86o2nI40aCZokxaybUzg_7_0"/>
      <w:bookmarkStart w:id="143" w:name="Tc_58bWKQ_GO0C4FrFuc7eOOg_6_0"/>
      <w:bookmarkStart w:id="144" w:name="Tc_H9hOWBnP50WMnHcb0O9p-A_5_5"/>
      <w:bookmarkStart w:id="145" w:name="Tc_v1tEOBFsmU-ZRNOtyxJYkA_5_2"/>
      <w:bookmarkStart w:id="146" w:name="Tc_mVG-nv00Q0SGZq2Etkhwjg_5_0"/>
      <w:bookmarkStart w:id="147" w:name="Tc_G_tuPPpqAEGVqVvXl387XA_4_0"/>
      <w:bookmarkStart w:id="148" w:name="Tc_Q-qUNpVBPU6BGKufcU7REg_3_0"/>
      <w:bookmarkStart w:id="149" w:name="Tc_LgNUJ5Ism0OSP5h6m5OBYQ_2_5"/>
      <w:bookmarkStart w:id="150" w:name="Tc_VKvAGHG9ck-LmndGbGdhUg_2_2"/>
      <w:bookmarkStart w:id="151" w:name="Tc_iOYmg_X7_E-2wDA0aUDTJg_1_2"/>
      <w:bookmarkStart w:id="152" w:name="_072f47aa_2fec_4474_90c4_971cb29a3b3c"/>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tbl>
      <w:tblPr>
        <w:tblW w:w="10205" w:type="dxa"/>
        <w:jc w:val="left"/>
        <w:tblInd w:w="0" w:type="dxa"/>
        <w:tblLayout w:type="fixed"/>
        <w:tblCellMar>
          <w:top w:w="0" w:type="dxa"/>
          <w:left w:w="0" w:type="dxa"/>
          <w:bottom w:w="0" w:type="dxa"/>
          <w:right w:w="0" w:type="dxa"/>
        </w:tblCellMar>
      </w:tblPr>
      <w:tblGrid>
        <w:gridCol w:w="6855"/>
        <w:gridCol w:w="326"/>
        <w:gridCol w:w="237"/>
        <w:gridCol w:w="1048"/>
        <w:gridCol w:w="326"/>
        <w:gridCol w:w="237"/>
        <w:gridCol w:w="1176"/>
      </w:tblGrid>
      <w:tr>
        <w:trPr/>
        <w:tc>
          <w:tcPr>
            <w:tcW w:w="68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07010" cy="175260"/>
                      <wp:effectExtent l="0" t="0" r="0" b="0"/>
                      <wp:wrapNone/>
                      <wp:docPr id="1" name="Frame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50495" cy="175260"/>
                      <wp:effectExtent l="0" t="0" r="0" b="0"/>
                      <wp:wrapNone/>
                      <wp:docPr id="2" name="Frame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5480" cy="175260"/>
                      <wp:effectExtent l="0" t="0" r="0" b="0"/>
                      <wp:wrapNone/>
                      <wp:docPr id="3" name="Frame3"/>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50495" cy="175260"/>
                      <wp:effectExtent l="0" t="0" r="0" b="0"/>
                      <wp:wrapNone/>
                      <wp:docPr id="5" name="Frame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46760" cy="175260"/>
                      <wp:effectExtent l="0" t="0" r="0" b="0"/>
                      <wp:wrapNone/>
                      <wp:docPr id="6" name="Frame6"/>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8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br/>
              <w:t>September 30, 2025</w:t>
            </w:r>
          </w:p>
        </w:tc>
        <w:tc>
          <w:tcPr>
            <w:tcW w:w="326" w:type="dxa"/>
            <w:tcBorders/>
            <w:vAlign w:val="center"/>
          </w:tcPr>
          <w:p>
            <w:pPr>
              <w:pStyle w:val="TableContents"/>
              <w:bidi w:val="0"/>
              <w:spacing w:before="0" w:after="0"/>
              <w:ind w:left="0" w:right="0" w:hanging="0"/>
              <w:jc w:val="center"/>
              <w:rPr/>
            </w:pPr>
            <w:r>
              <w:rPr/>
              <w:t>    </w:t>
            </w:r>
          </w:p>
        </w:tc>
        <w:tc>
          <w:tcPr>
            <w:tcW w:w="14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685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pPr>
            <w:r>
              <w:rPr/>
              <w:t>​</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pPr>
            <w:r>
              <w:rPr/>
              <w:t>​</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280,171</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257,748</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766,444</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720,480</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Furnishings and Equipment,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 at Cost</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5,091</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1,053,042</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984,202</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(108,883)</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(82,864)</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944,159</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901,338</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Land and Development Costs </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74,552</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79,198</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Alpine Income Property Trust, Inc.</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35,022</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39,666</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112,187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105,043</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9,281</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9,017</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8,289</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Refundable Income Taxes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Taxes—Net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Assets—See Note 11</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36,136</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36,201</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1,222,353</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1,181,644</w:t>
            </w:r>
          </w:p>
        </w:tc>
      </w:tr>
      <w:tr>
        <w:trPr/>
        <w:tc>
          <w:tcPr>
            <w:tcW w:w="68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pPr>
            <w:r>
              <w:rPr/>
              <w:t>​</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pPr>
            <w:r>
              <w:rPr/>
              <w:t>​</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Liabilities—See Note 17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30,919</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21,268</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Revenue—See Note 18</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13,361</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10,183</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14,780</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15,124</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pPr>
            <w:r>
              <w:rPr/>
              <w:t>—</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Debt—Net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604,163</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518,993</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665,100</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568,846</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Contingencies—See Note 21</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pPr>
            <w:r>
              <w:rPr/>
              <w:t>​</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pPr>
            <w:r>
              <w:rPr/>
              <w:t>​</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100,000,000 shares authorized; $0.01 par value, 6.375% Series A Cumulative Redeemable Preferred Stock, $25.00 Per Share Liquidation Preference, 4,713,069 shares issued and outstanding at September 30, 2025 and 4,713,069 shares issued and outstanding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500,000,000 shares authorized; $0.01 par value, 32,675,700 shares issued and outstanding at September 30, 2025 and 31,673,479 shares issued and outstanding at December 31, 2024</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386,634</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367,828</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170,829</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1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232,089</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12,517</w:t>
            </w:r>
          </w:p>
        </w:tc>
      </w:tr>
      <w:tr>
        <w:trPr/>
        <w:tc>
          <w:tcPr>
            <w:tcW w:w="6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557,253</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612,798</w:t>
            </w:r>
          </w:p>
        </w:tc>
      </w:tr>
      <w:tr>
        <w:trPr/>
        <w:tc>
          <w:tcPr>
            <w:tcW w:w="6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1,222,353</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1,181,644</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53" w:name="_621f32bb_8bb2_439d_9fd9_e4b4398e3a24"/>
      <w:bookmarkEnd w:id="153"/>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154" w:name="CONSOLIDATEDSTATEMENTSOFOPERATIONS_48896"/>
      <w:bookmarkEnd w:id="154"/>
      <w:r>
        <w:rPr>
          <w:rFonts w:ascii="Times New Roman;Times;serif" w:hAnsi="Times New Roman;Times;serif"/>
          <w:sz w:val="20"/>
        </w:rPr>
        <w:t>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5" w:name="Tc_rtlfSjyJpEaHQ5YP-cKXug_35_0"/>
      <w:bookmarkStart w:id="156" w:name="Tc_Kd-qy9GXBEWivbEfCD3mwg_34_0"/>
      <w:bookmarkStart w:id="157" w:name="Tc_XE3vcTMxEEyHubwCNKUzTQ_33_0"/>
      <w:bookmarkStart w:id="158" w:name="Tc_BDU1RTB0zkSCrHdVRYg29w_31_11"/>
      <w:bookmarkStart w:id="159" w:name="Tc_igkq-JyDFk27NgjVuFXKJQ_31_8"/>
      <w:bookmarkStart w:id="160" w:name="Tc_zqKGToLREkK9VORDXuGfRw_31_5"/>
      <w:bookmarkStart w:id="161" w:name="Tc_1FdLfYjv7UilwO9UcdLzcw_31_2"/>
      <w:bookmarkStart w:id="162" w:name="Tc_zlBuZbxCOECiPGe6IJeU9A_31_0"/>
      <w:bookmarkStart w:id="163" w:name="Tc_wTITNNQeO0ijys4-K6n86w_30_0"/>
      <w:bookmarkStart w:id="164" w:name="Tc_1dnVfCeymE63rGbGvBfeJQ_28_11"/>
      <w:bookmarkStart w:id="165" w:name="Tc_c9YoEs3GtUGKBDQdADaWlw_28_8"/>
      <w:bookmarkStart w:id="166" w:name="Tc_MqnjrXNF002iWWCn4JfPhw_28_5"/>
      <w:bookmarkStart w:id="167" w:name="Tc_oAhOqXXzmUKx1oQCmMHvAQ_28_2"/>
      <w:bookmarkStart w:id="168" w:name="Tc_JqBvvQS5JkGqcv_77UPcWg_28_0"/>
      <w:bookmarkStart w:id="169" w:name="Tc_x2VjNQetikeR6fgwcCOJ6g_27_0"/>
      <w:bookmarkStart w:id="170" w:name="Tc_TTwDiKHSCk-qXvppXzSBww_26_0"/>
      <w:bookmarkStart w:id="171" w:name="Tc_1FOX2GbkS0yEG-mmKxmZ8A_25_0"/>
      <w:bookmarkStart w:id="172" w:name="Tc__gAw-upYtkKCfxXlGwvZHQ_24_0"/>
      <w:bookmarkStart w:id="173" w:name="Tc_V3rNhJ3LfEqUZ_6E1pjDng_23_0"/>
      <w:bookmarkStart w:id="174" w:name="Tc_UIukvJWsDEiI_w7-aSj_-g_22_0"/>
      <w:bookmarkStart w:id="175" w:name="Tc_yHaGKHF-jEGRiUa7EaPesw_21_0"/>
      <w:bookmarkStart w:id="176" w:name="Tc_l8_xeSolwkmS4uZLSODVBg_20_0"/>
      <w:bookmarkStart w:id="177" w:name="Tc_lpZWqY2W20WNyyxW4Zm5kg_19_12"/>
      <w:bookmarkStart w:id="178" w:name="Tc_8-v7N-4x_EW0u-hzyAPRZw_19_6"/>
      <w:bookmarkStart w:id="179" w:name="Tc_6wx7CfVASUyxjE_4wZvxcQ_19_0"/>
      <w:bookmarkStart w:id="180" w:name="Tc_9nzznxCn-EyD_qFAUbu68g_18_0"/>
      <w:bookmarkStart w:id="181" w:name="Tc_y1xbz_1HqEydOsapHimVlQ_17_0"/>
      <w:bookmarkStart w:id="182" w:name="Tc_mffaRS63YkWynJ1tqcdJUw_16_0"/>
      <w:bookmarkStart w:id="183" w:name="Tc_NQRGiLukpkGg-eQL1Slpug_15_0"/>
      <w:bookmarkStart w:id="184" w:name="Tc_ub3DnlNdmka0_6XhSZ5YjQ_14_0"/>
      <w:bookmarkStart w:id="185" w:name="Tc_stLA11jTeEGpXVRBTMi_kw_13_0"/>
      <w:bookmarkStart w:id="186" w:name="Tc_IkENGRAJ6UmEzeDXQeNHPg_12_9"/>
      <w:bookmarkStart w:id="187" w:name="Tc_gdls9UaeIE2Uukd-iZZH3g_12_3"/>
      <w:bookmarkStart w:id="188" w:name="Tc_15qAbdViukS7oWIZSfqBfw_12_0"/>
      <w:bookmarkStart w:id="189" w:name="Tc_9KYoJmxhVkqyhEav4ZwaPg_11_0"/>
      <w:bookmarkStart w:id="190" w:name="Tc_l-EFNST-GU6tC3nwK4rLMg_10_0"/>
      <w:bookmarkStart w:id="191" w:name="Tc_RMgFgjbuqEaT7-3GtM5Sgw_9_0"/>
      <w:bookmarkStart w:id="192" w:name="Tc_xiqPjQ2p-kmpMOQBcc3cLw_8_9"/>
      <w:bookmarkStart w:id="193" w:name="Tc_YSs7vg9efkeJO922KuzFog_8_3"/>
      <w:bookmarkStart w:id="194" w:name="Tc_XCjd2867-UqZzXpuVTitQQ_8_0"/>
      <w:bookmarkStart w:id="195" w:name="Tc_xd_FQ-zffEerHLVjN2H1tg_7_0"/>
      <w:bookmarkStart w:id="196" w:name="Tc_zGKzq_TYtkihStCoqqUalQ_6_0"/>
      <w:bookmarkStart w:id="197" w:name="Tc_l4eZzuXCd0WiteQQxM1pdg_5_11"/>
      <w:bookmarkStart w:id="198" w:name="Tc_8sT2couxC0iLna929k2C3A_5_8"/>
      <w:bookmarkStart w:id="199" w:name="Tc_xR5kEDZRUEqLIZFgTjwP1g_5_5"/>
      <w:bookmarkStart w:id="200" w:name="Tc_cvpz3bATUEeTUhUwDf-Ygw_5_2"/>
      <w:bookmarkStart w:id="201" w:name="Tc_kCAYrFQnoEiIHTvrXTT__A_5_0"/>
      <w:bookmarkStart w:id="202" w:name="Tc_IwQAyRwXFkSD-q4de8RpVg_4_0"/>
      <w:bookmarkStart w:id="203" w:name="Tc_qubGkepb8EyCuztJeZzcxA_3_11"/>
      <w:bookmarkStart w:id="204" w:name="Tc_zV9htMmrRES79mLpNyozIQ_3_8"/>
      <w:bookmarkStart w:id="205" w:name="Tc_QWzAE6zSB0i-m4tWiAQw7Q_3_5"/>
      <w:bookmarkStart w:id="206" w:name="Tc_HRBh8T8mLUiw1iBSuzel5g_3_2"/>
      <w:bookmarkStart w:id="207" w:name="Tc_mK69V-ND4Em7GljZB_Q8Ig_2_11"/>
      <w:bookmarkStart w:id="208" w:name="Tc_eTds9CI8rEWQupnrb-EGng_2_8"/>
      <w:bookmarkStart w:id="209" w:name="Tc_oq_Sd724L0ewoHZeJgvGXA_2_5"/>
      <w:bookmarkStart w:id="210" w:name="Tc_viFZe1KB40CLJ7-NDNwc_A_2_2"/>
      <w:bookmarkStart w:id="211" w:name="Tc_OgSWobGwzUWIsNf1ZGwvKg_1_8"/>
      <w:bookmarkStart w:id="212" w:name="Tc_kziAwvHieEynwkq-qSvXhQ_1_2"/>
      <w:bookmarkStart w:id="213" w:name="_3de3f967_67b8_4f52_bf0c_e667a74c2220"/>
      <w:bookmarkStart w:id="214" w:name="_5d4bb681_a8b1_46eb_ae38_8f1b340bd4f1"/>
      <w:bookmarkStart w:id="215" w:name="Tc_rtlfSjyJpEaHQ5YP-cKXug_35_0"/>
      <w:bookmarkStart w:id="216" w:name="Tc_Kd-qy9GXBEWivbEfCD3mwg_34_0"/>
      <w:bookmarkStart w:id="217" w:name="Tc_XE3vcTMxEEyHubwCNKUzTQ_33_0"/>
      <w:bookmarkStart w:id="218" w:name="Tc_BDU1RTB0zkSCrHdVRYg29w_31_11"/>
      <w:bookmarkStart w:id="219" w:name="Tc_igkq-JyDFk27NgjVuFXKJQ_31_8"/>
      <w:bookmarkStart w:id="220" w:name="Tc_zqKGToLREkK9VORDXuGfRw_31_5"/>
      <w:bookmarkStart w:id="221" w:name="Tc_1FdLfYjv7UilwO9UcdLzcw_31_2"/>
      <w:bookmarkStart w:id="222" w:name="Tc_zlBuZbxCOECiPGe6IJeU9A_31_0"/>
      <w:bookmarkStart w:id="223" w:name="Tc_wTITNNQeO0ijys4-K6n86w_30_0"/>
      <w:bookmarkStart w:id="224" w:name="Tc_1dnVfCeymE63rGbGvBfeJQ_28_11"/>
      <w:bookmarkStart w:id="225" w:name="Tc_c9YoEs3GtUGKBDQdADaWlw_28_8"/>
      <w:bookmarkStart w:id="226" w:name="Tc_MqnjrXNF002iWWCn4JfPhw_28_5"/>
      <w:bookmarkStart w:id="227" w:name="Tc_oAhOqXXzmUKx1oQCmMHvAQ_28_2"/>
      <w:bookmarkStart w:id="228" w:name="Tc_JqBvvQS5JkGqcv_77UPcWg_28_0"/>
      <w:bookmarkStart w:id="229" w:name="Tc_x2VjNQetikeR6fgwcCOJ6g_27_0"/>
      <w:bookmarkStart w:id="230" w:name="Tc_TTwDiKHSCk-qXvppXzSBww_26_0"/>
      <w:bookmarkStart w:id="231" w:name="Tc_1FOX2GbkS0yEG-mmKxmZ8A_25_0"/>
      <w:bookmarkStart w:id="232" w:name="Tc__gAw-upYtkKCfxXlGwvZHQ_24_0"/>
      <w:bookmarkStart w:id="233" w:name="Tc_V3rNhJ3LfEqUZ_6E1pjDng_23_0"/>
      <w:bookmarkStart w:id="234" w:name="Tc_UIukvJWsDEiI_w7-aSj_-g_22_0"/>
      <w:bookmarkStart w:id="235" w:name="Tc_yHaGKHF-jEGRiUa7EaPesw_21_0"/>
      <w:bookmarkStart w:id="236" w:name="Tc_l8_xeSolwkmS4uZLSODVBg_20_0"/>
      <w:bookmarkStart w:id="237" w:name="Tc_lpZWqY2W20WNyyxW4Zm5kg_19_12"/>
      <w:bookmarkStart w:id="238" w:name="Tc_8-v7N-4x_EW0u-hzyAPRZw_19_6"/>
      <w:bookmarkStart w:id="239" w:name="Tc_6wx7CfVASUyxjE_4wZvxcQ_19_0"/>
      <w:bookmarkStart w:id="240" w:name="Tc_9nzznxCn-EyD_qFAUbu68g_18_0"/>
      <w:bookmarkStart w:id="241" w:name="Tc_y1xbz_1HqEydOsapHimVlQ_17_0"/>
      <w:bookmarkStart w:id="242" w:name="Tc_mffaRS63YkWynJ1tqcdJUw_16_0"/>
      <w:bookmarkStart w:id="243" w:name="Tc_NQRGiLukpkGg-eQL1Slpug_15_0"/>
      <w:bookmarkStart w:id="244" w:name="Tc_ub3DnlNdmka0_6XhSZ5YjQ_14_0"/>
      <w:bookmarkStart w:id="245" w:name="Tc_stLA11jTeEGpXVRBTMi_kw_13_0"/>
      <w:bookmarkStart w:id="246" w:name="Tc_IkENGRAJ6UmEzeDXQeNHPg_12_9"/>
      <w:bookmarkStart w:id="247" w:name="Tc_gdls9UaeIE2Uukd-iZZH3g_12_3"/>
      <w:bookmarkStart w:id="248" w:name="Tc_15qAbdViukS7oWIZSfqBfw_12_0"/>
      <w:bookmarkStart w:id="249" w:name="Tc_9KYoJmxhVkqyhEav4ZwaPg_11_0"/>
      <w:bookmarkStart w:id="250" w:name="Tc_l-EFNST-GU6tC3nwK4rLMg_10_0"/>
      <w:bookmarkStart w:id="251" w:name="Tc_RMgFgjbuqEaT7-3GtM5Sgw_9_0"/>
      <w:bookmarkStart w:id="252" w:name="Tc_xiqPjQ2p-kmpMOQBcc3cLw_8_9"/>
      <w:bookmarkStart w:id="253" w:name="Tc_YSs7vg9efkeJO922KuzFog_8_3"/>
      <w:bookmarkStart w:id="254" w:name="Tc_XCjd2867-UqZzXpuVTitQQ_8_0"/>
      <w:bookmarkStart w:id="255" w:name="Tc_xd_FQ-zffEerHLVjN2H1tg_7_0"/>
      <w:bookmarkStart w:id="256" w:name="Tc_zGKzq_TYtkihStCoqqUalQ_6_0"/>
      <w:bookmarkStart w:id="257" w:name="Tc_l4eZzuXCd0WiteQQxM1pdg_5_11"/>
      <w:bookmarkStart w:id="258" w:name="Tc_8sT2couxC0iLna929k2C3A_5_8"/>
      <w:bookmarkStart w:id="259" w:name="Tc_xR5kEDZRUEqLIZFgTjwP1g_5_5"/>
      <w:bookmarkStart w:id="260" w:name="Tc_cvpz3bATUEeTUhUwDf-Ygw_5_2"/>
      <w:bookmarkStart w:id="261" w:name="Tc_kCAYrFQnoEiIHTvrXTT__A_5_0"/>
      <w:bookmarkStart w:id="262" w:name="Tc_IwQAyRwXFkSD-q4de8RpVg_4_0"/>
      <w:bookmarkStart w:id="263" w:name="Tc_qubGkepb8EyCuztJeZzcxA_3_11"/>
      <w:bookmarkStart w:id="264" w:name="Tc_zV9htMmrRES79mLpNyozIQ_3_8"/>
      <w:bookmarkStart w:id="265" w:name="Tc_QWzAE6zSB0i-m4tWiAQw7Q_3_5"/>
      <w:bookmarkStart w:id="266" w:name="Tc_HRBh8T8mLUiw1iBSuzel5g_3_2"/>
      <w:bookmarkStart w:id="267" w:name="Tc_mK69V-ND4Em7GljZB_Q8Ig_2_11"/>
      <w:bookmarkStart w:id="268" w:name="Tc_eTds9CI8rEWQupnrb-EGng_2_8"/>
      <w:bookmarkStart w:id="269" w:name="Tc_oq_Sd724L0ewoHZeJgvGXA_2_5"/>
      <w:bookmarkStart w:id="270" w:name="Tc_viFZe1KB40CLJ7-NDNwc_A_2_2"/>
      <w:bookmarkStart w:id="271" w:name="Tc_OgSWobGwzUWIsNf1ZGwvKg_1_8"/>
      <w:bookmarkStart w:id="272" w:name="Tc_kziAwvHieEynwkq-qSvXhQ_1_2"/>
      <w:bookmarkStart w:id="273" w:name="_3de3f967_67b8_4f52_bf0c_e667a74c2220"/>
      <w:bookmarkStart w:id="274" w:name="_5d4bb681_a8b1_46eb_ae38_8f1b340bd4f1"/>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tbl>
      <w:tblPr>
        <w:tblW w:w="10205" w:type="dxa"/>
        <w:jc w:val="left"/>
        <w:tblInd w:w="0" w:type="dxa"/>
        <w:tblLayout w:type="fixed"/>
        <w:tblCellMar>
          <w:top w:w="0" w:type="dxa"/>
          <w:left w:w="0" w:type="dxa"/>
          <w:bottom w:w="0" w:type="dxa"/>
          <w:right w:w="0" w:type="dxa"/>
        </w:tblCellMar>
      </w:tblPr>
      <w:tblGrid>
        <w:gridCol w:w="3703"/>
        <w:gridCol w:w="326"/>
        <w:gridCol w:w="216"/>
        <w:gridCol w:w="1065"/>
        <w:gridCol w:w="326"/>
        <w:gridCol w:w="216"/>
        <w:gridCol w:w="1065"/>
        <w:gridCol w:w="326"/>
        <w:gridCol w:w="216"/>
        <w:gridCol w:w="1065"/>
        <w:gridCol w:w="326"/>
        <w:gridCol w:w="211"/>
        <w:gridCol w:w="1144"/>
      </w:tblGrid>
      <w:tr>
        <w:trPr/>
        <w:tc>
          <w:tcPr>
            <w:tcW w:w="37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7160" cy="175260"/>
                      <wp:effectExtent l="0" t="0" r="0" b="0"/>
                      <wp:wrapNone/>
                      <wp:docPr id="8" name="Frame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76275" cy="175260"/>
                      <wp:effectExtent l="0" t="0" r="0" b="0"/>
                      <wp:wrapNone/>
                      <wp:docPr id="9" name="Frame9"/>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7160" cy="175260"/>
                      <wp:effectExtent l="0" t="0" r="0" b="0"/>
                      <wp:wrapNone/>
                      <wp:docPr id="11" name="Frame1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76275" cy="175260"/>
                      <wp:effectExtent l="0" t="0" r="0" b="0"/>
                      <wp:wrapNone/>
                      <wp:docPr id="12" name="Frame12"/>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7160" cy="175260"/>
                      <wp:effectExtent l="0" t="0" r="0" b="0"/>
                      <wp:wrapNone/>
                      <wp:docPr id="14" name="Frame1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76275" cy="175260"/>
                      <wp:effectExtent l="0" t="0" r="0" b="0"/>
                      <wp:wrapNone/>
                      <wp:docPr id="15" name="Frame15"/>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26440" cy="175260"/>
                      <wp:effectExtent l="0" t="0" r="0" b="0"/>
                      <wp:wrapNone/>
                      <wp:docPr id="18" name="Frame18"/>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8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26" w:type="dxa"/>
            <w:tcBorders/>
            <w:vAlign w:val="center"/>
          </w:tcPr>
          <w:p>
            <w:pPr>
              <w:pStyle w:val="TableContents"/>
              <w:bidi w:val="0"/>
              <w:spacing w:before="0" w:after="0"/>
              <w:ind w:left="0" w:right="0" w:hanging="0"/>
              <w:jc w:val="center"/>
              <w:rPr/>
            </w:pPr>
            <w:r>
              <w:rPr/>
              <w:t>​</w:t>
            </w:r>
          </w:p>
        </w:tc>
        <w:tc>
          <w:tcPr>
            <w:tcW w:w="29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7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8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before="0" w:after="0"/>
              <w:ind w:left="0" w:right="0" w:hanging="0"/>
              <w:jc w:val="center"/>
              <w:rPr/>
            </w:pPr>
            <w:r>
              <w:rPr/>
              <w:t>​</w:t>
            </w:r>
          </w:p>
        </w:tc>
        <w:tc>
          <w:tcPr>
            <w:tcW w:w="128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before="0" w:after="0"/>
              <w:ind w:left="0" w:right="0" w:hanging="0"/>
              <w:jc w:val="center"/>
              <w:rPr/>
            </w:pPr>
            <w:r>
              <w:rPr/>
              <w:t>​</w:t>
            </w:r>
          </w:p>
        </w:tc>
        <w:tc>
          <w:tcPr>
            <w:tcW w:w="128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before="0" w:after="0"/>
              <w:ind w:left="0" w:right="0" w:hanging="0"/>
              <w:jc w:val="center"/>
              <w:rPr/>
            </w:pPr>
            <w:r>
              <w:rPr/>
              <w:t>​</w:t>
            </w:r>
          </w:p>
        </w:tc>
        <w:tc>
          <w:tcPr>
            <w:tcW w:w="13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r>
      <w:tr>
        <w:trPr/>
        <w:tc>
          <w:tcPr>
            <w:tcW w:w="370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2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2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3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33,439</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28,528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79,029</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37,757</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31,805</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88,777</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(9,274)</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(7,797)</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(22,630)</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 of Revenues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(9,274)</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(24,067)</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(11,750)</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(35,701)</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(29,051)</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(25,990)</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(72,171)</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8,308</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 (Loss)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8,308</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10,026</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24,914</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5,201</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(6,833)</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(5,632)</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(16,765)</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13,350</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6,227</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13,252</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(4,936)</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8,316</w:t>
            </w:r>
          </w:p>
        </w:tc>
      </w:tr>
      <w:tr>
        <w:trPr/>
        <w:tc>
          <w:tcPr>
            <w:tcW w:w="37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pPr>
            <w:r>
              <w:rPr/>
              <w:t>​</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Information—See Note 13: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(Loss) Attributable to Common Stockholders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r>
      <w:tr>
        <w:trPr/>
        <w:tc>
          <w:tcPr>
            <w:tcW w:w="370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pPr>
            <w:r>
              <w:rPr/>
              <w:t>​</w:t>
            </w:r>
          </w:p>
        </w:tc>
      </w:tr>
      <w:tr>
        <w:trPr/>
        <w:tc>
          <w:tcPr>
            <w:tcW w:w="37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32,651,101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25,445,411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32,298,304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23,601,389</w:t>
            </w:r>
          </w:p>
        </w:tc>
      </w:tr>
      <w:tr>
        <w:trPr/>
        <w:tc>
          <w:tcPr>
            <w:tcW w:w="37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32,682,775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25,521,749</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32,313,895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23,625,369</w:t>
            </w:r>
          </w:p>
        </w:tc>
      </w:tr>
    </w:tbl>
    <w:p>
      <w:pPr>
        <w:pStyle w:val="TextBody"/>
        <w:bidi w:val="0"/>
        <w:spacing w:before="0" w:after="0"/>
        <w:ind w:left="0" w:right="0" w:hanging="0"/>
        <w:jc w:val="center"/>
        <w:rPr/>
      </w:pPr>
      <w:r>
        <w:rPr/>
        <w:t>​</w:t>
      </w:r>
    </w:p>
    <w:p>
      <w:pPr>
        <w:pStyle w:val="TextBody"/>
        <w:bidi w:val="0"/>
        <w:spacing w:before="4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75" w:name="_ae3a3e26_ece0_4414_83c7_e1790449992c"/>
      <w:bookmarkEnd w:id="275"/>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276" w:name="CONSOLIDATEDSTATEMENTSOFCOMPREHENSIVEINC"/>
      <w:bookmarkEnd w:id="276"/>
      <w:r>
        <w:rPr>
          <w:rFonts w:ascii="Times New Roman;Times;serif" w:hAnsi="Times New Roman;Times;serif"/>
          <w:sz w:val="20"/>
        </w:rPr>
        <w:t>CONSOLIDATED STATEMENTS OF COMPREHENSIVE INCOME (LOSS)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7" w:name="Tc_L97j-abakk6yMUu5EcgroQ_7_11"/>
      <w:bookmarkStart w:id="278" w:name="Tc_5WvhxMtMXEy7Eb9zz-i0dQ_7_8"/>
      <w:bookmarkStart w:id="279" w:name="Tc_GE5e-KGHEkWKUbarMnoKxA_7_5"/>
      <w:bookmarkStart w:id="280" w:name="Tc_L1CNqPaaHUeFQ9EV2k_3Eg_7_2"/>
      <w:bookmarkStart w:id="281" w:name="Tc_M-htLuVwZ0Wlh-mjE7AaNQ_7_0"/>
      <w:bookmarkStart w:id="282" w:name="Tc_F_nWPKrJ-0OmlNL2gozxGg_6_0"/>
      <w:bookmarkStart w:id="283" w:name="Tc_6D4L6e0Mxku7ZkNLw4Hqzw_5_0"/>
      <w:bookmarkStart w:id="284" w:name="Tc_lgvDjAfsYEOLge1kxjavqw_4_0"/>
      <w:bookmarkStart w:id="285" w:name="Tc_snmZWb2utkKWI5K3cjyEMQ_3_11"/>
      <w:bookmarkStart w:id="286" w:name="Tc_b9JUaMz3TkCnLmCZ7oc-KA_3_8"/>
      <w:bookmarkStart w:id="287" w:name="Tc_PeGP3MfDAkqLJsqc0ON0sg_3_5"/>
      <w:bookmarkStart w:id="288" w:name="Tc_yKQRV2VnSUWGS_jCcCggPg_3_2"/>
      <w:bookmarkStart w:id="289" w:name="Tc_2YjODVcp-0SflfJr6orvjA_3_0"/>
      <w:bookmarkStart w:id="290" w:name="Tc_abtWgo28oEeGu_OOJgzTUA_2_11"/>
      <w:bookmarkStart w:id="291" w:name="Tc_INcKt06pU06p9cja1dfw6A_2_8"/>
      <w:bookmarkStart w:id="292" w:name="Tc_kfgVPcNioEmY6Lu6Fvp6gw_2_5"/>
      <w:bookmarkStart w:id="293" w:name="Tc_saP6g7C5I06Gafd4Ag4PsA_2_2"/>
      <w:bookmarkStart w:id="294" w:name="Tc_9DdcliGVWEKhU_NCp97YIA_1_8"/>
      <w:bookmarkStart w:id="295" w:name="Tc_dZpIYPXBbkKTqNkMNaz-Rg_1_2"/>
      <w:bookmarkStart w:id="296" w:name="_fb6ee026_1109_451a_850f_0bed5a0105de"/>
      <w:bookmarkStart w:id="297" w:name="Tc_L97j-abakk6yMUu5EcgroQ_7_11"/>
      <w:bookmarkStart w:id="298" w:name="Tc_5WvhxMtMXEy7Eb9zz-i0dQ_7_8"/>
      <w:bookmarkStart w:id="299" w:name="Tc_GE5e-KGHEkWKUbarMnoKxA_7_5"/>
      <w:bookmarkStart w:id="300" w:name="Tc_L1CNqPaaHUeFQ9EV2k_3Eg_7_2"/>
      <w:bookmarkStart w:id="301" w:name="Tc_M-htLuVwZ0Wlh-mjE7AaNQ_7_0"/>
      <w:bookmarkStart w:id="302" w:name="Tc_F_nWPKrJ-0OmlNL2gozxGg_6_0"/>
      <w:bookmarkStart w:id="303" w:name="Tc_6D4L6e0Mxku7ZkNLw4Hqzw_5_0"/>
      <w:bookmarkStart w:id="304" w:name="Tc_lgvDjAfsYEOLge1kxjavqw_4_0"/>
      <w:bookmarkStart w:id="305" w:name="Tc_snmZWb2utkKWI5K3cjyEMQ_3_11"/>
      <w:bookmarkStart w:id="306" w:name="Tc_b9JUaMz3TkCnLmCZ7oc-KA_3_8"/>
      <w:bookmarkStart w:id="307" w:name="Tc_PeGP3MfDAkqLJsqc0ON0sg_3_5"/>
      <w:bookmarkStart w:id="308" w:name="Tc_yKQRV2VnSUWGS_jCcCggPg_3_2"/>
      <w:bookmarkStart w:id="309" w:name="Tc_2YjODVcp-0SflfJr6orvjA_3_0"/>
      <w:bookmarkStart w:id="310" w:name="Tc_abtWgo28oEeGu_OOJgzTUA_2_11"/>
      <w:bookmarkStart w:id="311" w:name="Tc_INcKt06pU06p9cja1dfw6A_2_8"/>
      <w:bookmarkStart w:id="312" w:name="Tc_kfgVPcNioEmY6Lu6Fvp6gw_2_5"/>
      <w:bookmarkStart w:id="313" w:name="Tc_saP6g7C5I06Gafd4Ag4PsA_2_2"/>
      <w:bookmarkStart w:id="314" w:name="Tc_9DdcliGVWEKhU_NCp97YIA_1_8"/>
      <w:bookmarkStart w:id="315" w:name="Tc_dZpIYPXBbkKTqNkMNaz-Rg_1_2"/>
      <w:bookmarkStart w:id="316" w:name="_fb6ee026_1109_451a_850f_0bed5a0105de"/>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tbl>
      <w:tblPr>
        <w:tblW w:w="10205" w:type="dxa"/>
        <w:jc w:val="left"/>
        <w:tblInd w:w="0" w:type="dxa"/>
        <w:tblLayout w:type="fixed"/>
        <w:tblCellMar>
          <w:top w:w="0" w:type="dxa"/>
          <w:left w:w="0" w:type="dxa"/>
          <w:bottom w:w="0" w:type="dxa"/>
          <w:right w:w="0" w:type="dxa"/>
        </w:tblCellMar>
      </w:tblPr>
      <w:tblGrid>
        <w:gridCol w:w="2902"/>
        <w:gridCol w:w="109"/>
        <w:gridCol w:w="386"/>
        <w:gridCol w:w="1156"/>
        <w:gridCol w:w="326"/>
        <w:gridCol w:w="342"/>
        <w:gridCol w:w="1200"/>
        <w:gridCol w:w="326"/>
        <w:gridCol w:w="342"/>
        <w:gridCol w:w="1200"/>
        <w:gridCol w:w="326"/>
        <w:gridCol w:w="358"/>
        <w:gridCol w:w="1232"/>
      </w:tblGrid>
      <w:tr>
        <w:trPr/>
        <w:tc>
          <w:tcPr>
            <w:tcW w:w="2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842770" cy="175260"/>
                      <wp:effectExtent l="0" t="0" r="0" b="0"/>
                      <wp:wrapNone/>
                      <wp:docPr id="19" name="Frame19"/>
                      <a:graphic xmlns:a="http://schemas.openxmlformats.org/drawingml/2006/main">
                        <a:graphicData uri="http://schemas.microsoft.com/office/word/2010/wordprocessingShape">
                          <wps:wsp>
                            <wps:cNvSpPr txBox="1"/>
                            <wps:spPr>
                              <a:xfrm>
                                <a:off x="0" y="0"/>
                                <a:ext cx="184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45110" cy="175260"/>
                      <wp:effectExtent l="0" t="0" r="0" b="0"/>
                      <wp:wrapNone/>
                      <wp:docPr id="21" name="Frame2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34060" cy="175260"/>
                      <wp:effectExtent l="0" t="0" r="0" b="0"/>
                      <wp:wrapNone/>
                      <wp:docPr id="22" name="Frame2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7170" cy="175260"/>
                      <wp:effectExtent l="0" t="0" r="0" b="0"/>
                      <wp:wrapNone/>
                      <wp:docPr id="24" name="Frame24"/>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62000" cy="175260"/>
                      <wp:effectExtent l="0" t="0" r="0" b="0"/>
                      <wp:wrapNone/>
                      <wp:docPr id="25" name="Frame25"/>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7170" cy="175260"/>
                      <wp:effectExtent l="0" t="0" r="0" b="0"/>
                      <wp:wrapNone/>
                      <wp:docPr id="27" name="Frame27"/>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762000" cy="175260"/>
                      <wp:effectExtent l="0" t="0" r="0" b="0"/>
                      <wp:wrapNone/>
                      <wp:docPr id="28" name="Frame28"/>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27330" cy="175260"/>
                      <wp:effectExtent l="0" t="0" r="0" b="0"/>
                      <wp:wrapNone/>
                      <wp:docPr id="30" name="Frame30"/>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82320" cy="175260"/>
                      <wp:effectExtent l="0" t="0" r="0" b="0"/>
                      <wp:wrapNone/>
                      <wp:docPr id="31" name="Frame31"/>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0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4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26" w:type="dxa"/>
            <w:tcBorders/>
            <w:vAlign w:val="center"/>
          </w:tcPr>
          <w:p>
            <w:pPr>
              <w:pStyle w:val="TableContents"/>
              <w:bidi w:val="0"/>
              <w:spacing w:before="0" w:after="0"/>
              <w:ind w:left="0" w:right="0" w:hanging="0"/>
              <w:jc w:val="center"/>
              <w:rPr/>
            </w:pPr>
            <w:r>
              <w:rPr/>
              <w:t>​</w:t>
            </w:r>
          </w:p>
        </w:tc>
        <w:tc>
          <w:tcPr>
            <w:tcW w:w="34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29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center"/>
              <w:rPr/>
            </w:pPr>
            <w:r>
              <w:rPr/>
              <w:t>    </w:t>
            </w:r>
          </w:p>
        </w:tc>
        <w:tc>
          <w:tcPr>
            <w:tcW w:w="1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326" w:type="dxa"/>
            <w:tcBorders/>
            <w:vAlign w:val="center"/>
          </w:tcPr>
          <w:p>
            <w:pPr>
              <w:pStyle w:val="TableContents"/>
              <w:bidi w:val="0"/>
              <w:spacing w:before="0" w:after="0"/>
              <w:ind w:left="0" w:right="0" w:hanging="0"/>
              <w:jc w:val="center"/>
              <w:rPr/>
            </w:pPr>
            <w:r>
              <w:rPr/>
              <w:t>    </w:t>
            </w:r>
          </w:p>
        </w:tc>
        <w:tc>
          <w:tcPr>
            <w:tcW w:w="15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center"/>
              <w:rPr/>
            </w:pPr>
            <w:r>
              <w:rPr/>
              <w:t>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6,227</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(18,243)</w:t>
            </w:r>
          </w:p>
        </w:tc>
        <w:tc>
          <w:tcPr>
            <w:tcW w:w="326"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13,252</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09"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right"/>
              <w:rPr/>
            </w:pPr>
            <w:r>
              <w:rPr/>
              <w:t>​</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(15,791)</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(13,101)</w:t>
            </w:r>
          </w:p>
        </w:tc>
        <w:tc>
          <w:tcPr>
            <w:tcW w:w="326"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(7,296)</w:t>
            </w:r>
          </w:p>
        </w:tc>
      </w:tr>
      <w:tr>
        <w:trPr/>
        <w:tc>
          <w:tcPr>
            <w:tcW w:w="2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w:t>
            </w:r>
          </w:p>
        </w:tc>
        <w:tc>
          <w:tcPr>
            <w:tcW w:w="109"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(15,791)</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(13,101)</w:t>
            </w:r>
          </w:p>
        </w:tc>
        <w:tc>
          <w:tcPr>
            <w:tcW w:w="326" w:type="dxa"/>
            <w:tcBorders/>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(7,296)</w:t>
            </w:r>
          </w:p>
        </w:tc>
      </w:tr>
      <w:tr>
        <w:trPr/>
        <w:tc>
          <w:tcPr>
            <w:tcW w:w="29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(9,564)</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(31,344)</w:t>
            </w:r>
          </w:p>
        </w:tc>
        <w:tc>
          <w:tcPr>
            <w:tcW w:w="326" w:type="dxa"/>
            <w:tcBorders/>
            <w:shd w:fill="CCEEFF" w:val="clear"/>
            <w:vAlign w:val="center"/>
          </w:tcPr>
          <w:p>
            <w:pPr>
              <w:pStyle w:val="TableContents"/>
              <w:bidi w:val="0"/>
              <w:spacing w:before="0" w:after="0"/>
              <w:ind w:left="0" w:right="0" w:hanging="0"/>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5,956</w:t>
            </w:r>
          </w:p>
        </w:tc>
      </w:tr>
    </w:tbl>
    <w:p>
      <w:pPr>
        <w:pStyle w:val="TextBody"/>
        <w:bidi w:val="0"/>
        <w:spacing w:before="0" w:after="0"/>
        <w:ind w:left="0" w:right="0" w:hanging="0"/>
        <w:jc w:val="center"/>
        <w:rPr/>
      </w:pPr>
      <w:r>
        <w:rPr/>
        <w:t>​</w:t>
      </w:r>
    </w:p>
    <w:p>
      <w:pPr>
        <w:pStyle w:val="TextBody"/>
        <w:bidi w:val="0"/>
        <w:spacing w:before="4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317" w:name="_315bfa50_140d_4455_91a6_5530e78353e0"/>
      <w:bookmarkEnd w:id="317"/>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318" w:name="CONSOLIDATEDSTATEMENTSOFSHAREHOLDERSEQUI"/>
      <w:bookmarkEnd w:id="318"/>
      <w:r>
        <w:rPr>
          <w:rFonts w:ascii="Times New Roman;Times;serif" w:hAnsi="Times New Roman;Times;serif"/>
          <w:sz w:val="20"/>
        </w:rPr>
        <w:t>CONSOLIDATED STATEMENTS OF STOCKHOLDERS’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three months ended September 30,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9" w:name="Tc_uAXs5dv5KESOJid4acblew_10_17"/>
      <w:bookmarkStart w:id="320" w:name="Tc_0vLeduuqRUa4GvwgK13l1Q_10_14"/>
      <w:bookmarkStart w:id="321" w:name="Tc_I8KE-n1EbUaVk-ds_PcmfA_10_11"/>
      <w:bookmarkStart w:id="322" w:name="Tc_3h8L6ztQ-kCYgbHf3_DKcA_10_8"/>
      <w:bookmarkStart w:id="323" w:name="Tc_WkwiXpA07EWFg91UdfMQdw_10_5"/>
      <w:bookmarkStart w:id="324" w:name="Tc_OaKYM3nnaEC2CS4pc4mtfA_10_2"/>
      <w:bookmarkStart w:id="325" w:name="Tc_Cbh81OclO02xEfqgMkRrgg_10_0"/>
      <w:bookmarkStart w:id="326" w:name="Tc__mvBHXMBVEG7S5ORiv7VFQ_9_12"/>
      <w:bookmarkStart w:id="327" w:name="Tc_sEK2Ux0QxkGNvOSTZjyK9Q_9_9"/>
      <w:bookmarkStart w:id="328" w:name="Tc_Sdtbida2KU28m8BR701zSQ_9_6"/>
      <w:bookmarkStart w:id="329" w:name="Tc_TIqQDwJwUkqZzDUiIYpeQw_9_3"/>
      <w:bookmarkStart w:id="330" w:name="Tc_lzV50niyVEuTSTaWESAhmw_9_0"/>
      <w:bookmarkStart w:id="331" w:name="Tc_Dipq2EORVUamdup6hzKnrA_8_15"/>
      <w:bookmarkStart w:id="332" w:name="Tc_vB6n1URpPkqen6WJ6JZYjA_8_9"/>
      <w:bookmarkStart w:id="333" w:name="Tc_UkX8UNZ5vUuVessUhR3ARA_8_6"/>
      <w:bookmarkStart w:id="334" w:name="Tc_teQlh8vyuki4J7xt6y5zMg_8_3"/>
      <w:bookmarkStart w:id="335" w:name="Tc_ZSVpFm-lJkeL4Sa9YvTraQ_8_0"/>
      <w:bookmarkStart w:id="336" w:name="Tc_ddvF_1IdPkicXyruaZKxnw_7_15"/>
      <w:bookmarkStart w:id="337" w:name="Tc_RyqWO3ZDvEyzfYUckBarSQ_7_9"/>
      <w:bookmarkStart w:id="338" w:name="Tc_4g_51KLcLUibibeiM46ISQ_7_6"/>
      <w:bookmarkStart w:id="339" w:name="Tc_nVnjAcxbX0aO2j3tlYbuJQ_7_3"/>
      <w:bookmarkStart w:id="340" w:name="Tc_1tl6se_xnUm7ELIlhw-ZeA_7_0"/>
      <w:bookmarkStart w:id="341" w:name="Tc_OlhZU_H3KEq256nWwO8P2g_6_15"/>
      <w:bookmarkStart w:id="342" w:name="Tc_mqSRI9eWlEeXCMf25cvozQ_6_12"/>
      <w:bookmarkStart w:id="343" w:name="Tc_NbPCULRtKU2PlZSKh3TTyA_6_6"/>
      <w:bookmarkStart w:id="344" w:name="Tc_1LkNdsFa3ECre4UdENO0Xw_6_3"/>
      <w:bookmarkStart w:id="345" w:name="Tc_HyGQaCNBJ0CLOJolRlaGiA_6_0"/>
      <w:bookmarkStart w:id="346" w:name="Tc__2r5kgcDNU2gwPmwUlSrIg_5_15"/>
      <w:bookmarkStart w:id="347" w:name="Tc_k3_Lqu7G1kGK8GbzKaanFg_5_12"/>
      <w:bookmarkStart w:id="348" w:name="Tc_NErrpbrEIE-GIBpPVo4XIw_5_3"/>
      <w:bookmarkStart w:id="349" w:name="Tc_O0FWBgg_OUWZIH6VWRiMdg_5_0"/>
      <w:bookmarkStart w:id="350" w:name="Tc_Hb0fhN0i20KSaWaXwgBrYw_4_15"/>
      <w:bookmarkStart w:id="351" w:name="Tc__9CYvRYlpUuz0TS19bhBYQ_4_12"/>
      <w:bookmarkStart w:id="352" w:name="Tc_7GTnMbHrPkW_184XwX3wGQ_4_3"/>
      <w:bookmarkStart w:id="353" w:name="Tc_oXRROznmY06WYvFBeb-wWg_4_0"/>
      <w:bookmarkStart w:id="354" w:name="Tc_aCyfz4IfJky-9KgQ3Bg_Yw_3_15"/>
      <w:bookmarkStart w:id="355" w:name="Tc_1bQd_ztrkUee0Qk1q1-6PA_3_9"/>
      <w:bookmarkStart w:id="356" w:name="Tc_C6drF_Z2VEWzOYk2TYAAbg_3_6"/>
      <w:bookmarkStart w:id="357" w:name="Tc_pd3cpKShHkC8tYyrZwSgSw_3_3"/>
      <w:bookmarkStart w:id="358" w:name="Tc_dkrOFFzGJ0-c4FNHJU9VnQ_3_0"/>
      <w:bookmarkStart w:id="359" w:name="Tc_PoJaeR6KaEmy-_yzbkFbMw_2_17"/>
      <w:bookmarkStart w:id="360" w:name="Tc_r1uEsojQvkWiNOAyKLRaZA_2_14"/>
      <w:bookmarkStart w:id="361" w:name="Tc_T5xxicEN7Eq_CzQky6pyPA_2_11"/>
      <w:bookmarkStart w:id="362" w:name="Tc_PZXUyC88YUmog3tgANBVVw_2_8"/>
      <w:bookmarkStart w:id="363" w:name="Tc_CWcs_wS2okC8VyFuAKK15A_2_5"/>
      <w:bookmarkStart w:id="364" w:name="Tc_JPCEZnP5IUKfMV2T9n7WsQ_2_2"/>
      <w:bookmarkStart w:id="365" w:name="Tc_VA2Rhvzv7k2tGX9MQahlyw_2_0"/>
      <w:bookmarkStart w:id="366" w:name="Tc_hLrQ9kc3ckCh-u4G3DzEyg_1_17"/>
      <w:bookmarkStart w:id="367" w:name="Tc_2losRKDV8kmlMukqZkQKqA_1_14"/>
      <w:bookmarkStart w:id="368" w:name="Tc_NRux5504Z0elpMAiLK9aBA_1_11"/>
      <w:bookmarkStart w:id="369" w:name="Tc_A3cm6B2170-tAyFBxjfYbw_1_8"/>
      <w:bookmarkStart w:id="370" w:name="Tc_5Lw9riWF7Em1OpeSixh3PA_1_5"/>
      <w:bookmarkStart w:id="371" w:name="Tc_5T-K3QHlNE6-MY0-PaO-zA_1_2"/>
      <w:bookmarkStart w:id="372" w:name="_0437583f_2c2e_4e59_96b6_5cc729cd6740"/>
      <w:bookmarkStart w:id="373" w:name="Tc_uAXs5dv5KESOJid4acblew_10_17"/>
      <w:bookmarkStart w:id="374" w:name="Tc_0vLeduuqRUa4GvwgK13l1Q_10_14"/>
      <w:bookmarkStart w:id="375" w:name="Tc_I8KE-n1EbUaVk-ds_PcmfA_10_11"/>
      <w:bookmarkStart w:id="376" w:name="Tc_3h8L6ztQ-kCYgbHf3_DKcA_10_8"/>
      <w:bookmarkStart w:id="377" w:name="Tc_WkwiXpA07EWFg91UdfMQdw_10_5"/>
      <w:bookmarkStart w:id="378" w:name="Tc_OaKYM3nnaEC2CS4pc4mtfA_10_2"/>
      <w:bookmarkStart w:id="379" w:name="Tc_Cbh81OclO02xEfqgMkRrgg_10_0"/>
      <w:bookmarkStart w:id="380" w:name="Tc__mvBHXMBVEG7S5ORiv7VFQ_9_12"/>
      <w:bookmarkStart w:id="381" w:name="Tc_sEK2Ux0QxkGNvOSTZjyK9Q_9_9"/>
      <w:bookmarkStart w:id="382" w:name="Tc_Sdtbida2KU28m8BR701zSQ_9_6"/>
      <w:bookmarkStart w:id="383" w:name="Tc_TIqQDwJwUkqZzDUiIYpeQw_9_3"/>
      <w:bookmarkStart w:id="384" w:name="Tc_lzV50niyVEuTSTaWESAhmw_9_0"/>
      <w:bookmarkStart w:id="385" w:name="Tc_Dipq2EORVUamdup6hzKnrA_8_15"/>
      <w:bookmarkStart w:id="386" w:name="Tc_vB6n1URpPkqen6WJ6JZYjA_8_9"/>
      <w:bookmarkStart w:id="387" w:name="Tc_UkX8UNZ5vUuVessUhR3ARA_8_6"/>
      <w:bookmarkStart w:id="388" w:name="Tc_teQlh8vyuki4J7xt6y5zMg_8_3"/>
      <w:bookmarkStart w:id="389" w:name="Tc_ZSVpFm-lJkeL4Sa9YvTraQ_8_0"/>
      <w:bookmarkStart w:id="390" w:name="Tc_ddvF_1IdPkicXyruaZKxnw_7_15"/>
      <w:bookmarkStart w:id="391" w:name="Tc_RyqWO3ZDvEyzfYUckBarSQ_7_9"/>
      <w:bookmarkStart w:id="392" w:name="Tc_4g_51KLcLUibibeiM46ISQ_7_6"/>
      <w:bookmarkStart w:id="393" w:name="Tc_nVnjAcxbX0aO2j3tlYbuJQ_7_3"/>
      <w:bookmarkStart w:id="394" w:name="Tc_1tl6se_xnUm7ELIlhw-ZeA_7_0"/>
      <w:bookmarkStart w:id="395" w:name="Tc_OlhZU_H3KEq256nWwO8P2g_6_15"/>
      <w:bookmarkStart w:id="396" w:name="Tc_mqSRI9eWlEeXCMf25cvozQ_6_12"/>
      <w:bookmarkStart w:id="397" w:name="Tc_NbPCULRtKU2PlZSKh3TTyA_6_6"/>
      <w:bookmarkStart w:id="398" w:name="Tc_1LkNdsFa3ECre4UdENO0Xw_6_3"/>
      <w:bookmarkStart w:id="399" w:name="Tc_HyGQaCNBJ0CLOJolRlaGiA_6_0"/>
      <w:bookmarkStart w:id="400" w:name="Tc__2r5kgcDNU2gwPmwUlSrIg_5_15"/>
      <w:bookmarkStart w:id="401" w:name="Tc_k3_Lqu7G1kGK8GbzKaanFg_5_12"/>
      <w:bookmarkStart w:id="402" w:name="Tc_NErrpbrEIE-GIBpPVo4XIw_5_3"/>
      <w:bookmarkStart w:id="403" w:name="Tc_O0FWBgg_OUWZIH6VWRiMdg_5_0"/>
      <w:bookmarkStart w:id="404" w:name="Tc_Hb0fhN0i20KSaWaXwgBrYw_4_15"/>
      <w:bookmarkStart w:id="405" w:name="Tc__9CYvRYlpUuz0TS19bhBYQ_4_12"/>
      <w:bookmarkStart w:id="406" w:name="Tc_7GTnMbHrPkW_184XwX3wGQ_4_3"/>
      <w:bookmarkStart w:id="407" w:name="Tc_oXRROznmY06WYvFBeb-wWg_4_0"/>
      <w:bookmarkStart w:id="408" w:name="Tc_aCyfz4IfJky-9KgQ3Bg_Yw_3_15"/>
      <w:bookmarkStart w:id="409" w:name="Tc_1bQd_ztrkUee0Qk1q1-6PA_3_9"/>
      <w:bookmarkStart w:id="410" w:name="Tc_C6drF_Z2VEWzOYk2TYAAbg_3_6"/>
      <w:bookmarkStart w:id="411" w:name="Tc_pd3cpKShHkC8tYyrZwSgSw_3_3"/>
      <w:bookmarkStart w:id="412" w:name="Tc_dkrOFFzGJ0-c4FNHJU9VnQ_3_0"/>
      <w:bookmarkStart w:id="413" w:name="Tc_PoJaeR6KaEmy-_yzbkFbMw_2_17"/>
      <w:bookmarkStart w:id="414" w:name="Tc_r1uEsojQvkWiNOAyKLRaZA_2_14"/>
      <w:bookmarkStart w:id="415" w:name="Tc_T5xxicEN7Eq_CzQky6pyPA_2_11"/>
      <w:bookmarkStart w:id="416" w:name="Tc_PZXUyC88YUmog3tgANBVVw_2_8"/>
      <w:bookmarkStart w:id="417" w:name="Tc_CWcs_wS2okC8VyFuAKK15A_2_5"/>
      <w:bookmarkStart w:id="418" w:name="Tc_JPCEZnP5IUKfMV2T9n7WsQ_2_2"/>
      <w:bookmarkStart w:id="419" w:name="Tc_VA2Rhvzv7k2tGX9MQahlyw_2_0"/>
      <w:bookmarkStart w:id="420" w:name="Tc_hLrQ9kc3ckCh-u4G3DzEyg_1_17"/>
      <w:bookmarkStart w:id="421" w:name="Tc_2losRKDV8kmlMukqZkQKqA_1_14"/>
      <w:bookmarkStart w:id="422" w:name="Tc_NRux5504Z0elpMAiLK9aBA_1_11"/>
      <w:bookmarkStart w:id="423" w:name="Tc_A3cm6B2170-tAyFBxjfYbw_1_8"/>
      <w:bookmarkStart w:id="424" w:name="Tc_5Lw9riWF7Em1OpeSixh3PA_1_5"/>
      <w:bookmarkStart w:id="425" w:name="Tc_5T-K3QHlNE6-MY0-PaO-zA_1_2"/>
      <w:bookmarkStart w:id="426" w:name="_0437583f_2c2e_4e59_96b6_5cc729cd6740"/>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tbl>
      <w:tblPr>
        <w:tblW w:w="10205" w:type="dxa"/>
        <w:jc w:val="left"/>
        <w:tblInd w:w="0" w:type="dxa"/>
        <w:tblLayout w:type="fixed"/>
        <w:tblCellMar>
          <w:top w:w="0" w:type="dxa"/>
          <w:left w:w="0" w:type="dxa"/>
          <w:bottom w:w="0" w:type="dxa"/>
          <w:right w:w="0" w:type="dxa"/>
        </w:tblCellMar>
      </w:tblPr>
      <w:tblGrid>
        <w:gridCol w:w="1992"/>
        <w:gridCol w:w="109"/>
        <w:gridCol w:w="346"/>
        <w:gridCol w:w="612"/>
        <w:gridCol w:w="109"/>
        <w:gridCol w:w="312"/>
        <w:gridCol w:w="600"/>
        <w:gridCol w:w="109"/>
        <w:gridCol w:w="282"/>
        <w:gridCol w:w="997"/>
        <w:gridCol w:w="109"/>
        <w:gridCol w:w="232"/>
        <w:gridCol w:w="835"/>
        <w:gridCol w:w="109"/>
        <w:gridCol w:w="520"/>
        <w:gridCol w:w="1521"/>
        <w:gridCol w:w="109"/>
        <w:gridCol w:w="255"/>
        <w:gridCol w:w="1047"/>
      </w:tblGrid>
      <w:tr>
        <w:trPr/>
        <w:tc>
          <w:tcPr>
            <w:tcW w:w="1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64920" cy="175260"/>
                      <wp:effectExtent l="0" t="0" r="0" b="0"/>
                      <wp:wrapNone/>
                      <wp:docPr id="32" name="Frame32"/>
                      <a:graphic xmlns:a="http://schemas.openxmlformats.org/drawingml/2006/main">
                        <a:graphicData uri="http://schemas.microsoft.com/office/word/2010/wordprocessingShape">
                          <wps:wsp>
                            <wps:cNvSpPr txBox="1"/>
                            <wps:spPr>
                              <a:xfrm>
                                <a:off x="0" y="0"/>
                                <a:ext cx="1264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88620" cy="175260"/>
                      <wp:effectExtent l="0" t="0" r="0" b="0"/>
                      <wp:wrapNone/>
                      <wp:docPr id="35" name="Frame35"/>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98120" cy="175260"/>
                      <wp:effectExtent l="0" t="0" r="0" b="0"/>
                      <wp:wrapNone/>
                      <wp:docPr id="37" name="Frame37"/>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81000" cy="175260"/>
                      <wp:effectExtent l="0" t="0" r="0" b="0"/>
                      <wp:wrapNone/>
                      <wp:docPr id="38" name="Frame38"/>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9070" cy="175260"/>
                      <wp:effectExtent l="0" t="0" r="0" b="0"/>
                      <wp:wrapNone/>
                      <wp:docPr id="40" name="Frame4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33095" cy="175260"/>
                      <wp:effectExtent l="0" t="0" r="0" b="0"/>
                      <wp:wrapNone/>
                      <wp:docPr id="41" name="Frame41"/>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7320" cy="175260"/>
                      <wp:effectExtent l="0" t="0" r="0" b="0"/>
                      <wp:wrapNone/>
                      <wp:docPr id="43" name="Frame4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30225" cy="175260"/>
                      <wp:effectExtent l="0" t="0" r="0" b="0"/>
                      <wp:wrapNone/>
                      <wp:docPr id="44" name="Frame44"/>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30200" cy="175260"/>
                      <wp:effectExtent l="0" t="0" r="0" b="0"/>
                      <wp:wrapNone/>
                      <wp:docPr id="46" name="Frame46"/>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65835" cy="175260"/>
                      <wp:effectExtent l="0" t="0" r="0" b="0"/>
                      <wp:wrapNone/>
                      <wp:docPr id="47" name="Frame47"/>
                      <a:graphic xmlns:a="http://schemas.openxmlformats.org/drawingml/2006/main">
                        <a:graphicData uri="http://schemas.microsoft.com/office/word/2010/wordprocessingShape">
                          <wps:wsp>
                            <wps:cNvSpPr txBox="1"/>
                            <wps:spPr>
                              <a:xfrm>
                                <a:off x="0" y="0"/>
                                <a:ext cx="965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61925" cy="175260"/>
                      <wp:effectExtent l="0" t="0" r="0" b="0"/>
                      <wp:wrapNone/>
                      <wp:docPr id="49" name="Frame4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4845" cy="175260"/>
                      <wp:effectExtent l="0" t="0" r="0" b="0"/>
                      <wp:wrapNone/>
                      <wp:docPr id="50" name="Frame50"/>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vAlign w:val="center"/>
          </w:tcPr>
          <w:p>
            <w:pPr>
              <w:pStyle w:val="TableContents"/>
              <w:bidi w:val="0"/>
              <w:spacing w:before="0" w:after="0"/>
              <w:ind w:left="0" w:right="0" w:hanging="0"/>
              <w:jc w:val="left"/>
              <w:rPr/>
            </w:pPr>
            <w:r>
              <w:rPr/>
              <w:t>​</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center"/>
              <w:rPr/>
            </w:pPr>
            <w:r>
              <w:rPr/>
              <w:t>​</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vAlign w:val="center"/>
          </w:tcPr>
          <w:p>
            <w:pPr>
              <w:pStyle w:val="TableContents"/>
              <w:bidi w:val="0"/>
              <w:spacing w:before="0" w:after="0"/>
              <w:ind w:left="0" w:right="0" w:hanging="0"/>
              <w:jc w:val="center"/>
              <w:rPr/>
            </w:pPr>
            <w:r>
              <w:rPr/>
              <w:t>​</w:t>
            </w:r>
          </w:p>
        </w:tc>
        <w:tc>
          <w:tcPr>
            <w:tcW w:w="2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 (Loss)</w:t>
            </w:r>
          </w:p>
        </w:tc>
        <w:tc>
          <w:tcPr>
            <w:tcW w:w="109" w:type="dxa"/>
            <w:tcBorders/>
            <w:vAlign w:val="center"/>
          </w:tcPr>
          <w:p>
            <w:pPr>
              <w:pStyle w:val="TableContents"/>
              <w:bidi w:val="0"/>
              <w:spacing w:before="0" w:after="0"/>
              <w:ind w:left="0" w:right="0" w:hanging="0"/>
              <w:jc w:val="center"/>
              <w:rPr/>
            </w:pPr>
            <w:r>
              <w:rPr/>
              <w:t>​</w:t>
            </w:r>
          </w:p>
        </w:tc>
        <w:tc>
          <w:tcPr>
            <w:tcW w:w="13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July 1, 2025</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390,003</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182,362</w:t>
            </w:r>
          </w:p>
        </w:tc>
        <w:tc>
          <w:tcPr>
            <w:tcW w:w="109"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1,321</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574,062</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2,914</w:t>
            </w:r>
          </w:p>
        </w:tc>
        <w:tc>
          <w:tcPr>
            <w:tcW w:w="109"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pPr>
            <w:r>
              <w:rPr/>
              <w:t>​</w:t>
            </w:r>
          </w:p>
        </w:tc>
        <w:tc>
          <w:tcPr>
            <w:tcW w:w="15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2,914</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(4,305)</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15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(4,308)</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to Directors</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pPr>
            <w:r>
              <w:rPr/>
              <w:t>​</w:t>
            </w:r>
          </w:p>
        </w:tc>
        <w:tc>
          <w:tcPr>
            <w:tcW w:w="15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15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w:t>
            </w:r>
          </w:p>
        </w:tc>
        <w:tc>
          <w:tcPr>
            <w:tcW w:w="109"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pPr>
            <w:r>
              <w:rPr/>
              <w:t>​</w:t>
            </w:r>
          </w:p>
        </w:tc>
        <w:tc>
          <w:tcPr>
            <w:tcW w:w="15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(12,569)</w:t>
            </w:r>
          </w:p>
        </w:tc>
        <w:tc>
          <w:tcPr>
            <w:tcW w:w="109"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15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(12,569)</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Comprehensive Loss </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(1,905)</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(1,905)</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September 30, 2025</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386,634</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170,829</w:t>
            </w:r>
          </w:p>
        </w:tc>
        <w:tc>
          <w:tcPr>
            <w:tcW w:w="109" w:type="dxa"/>
            <w:tcBorders/>
            <w:shd w:fill="CCEEFF" w:val="clear"/>
            <w:vAlign w:val="center"/>
          </w:tcPr>
          <w:p>
            <w:pPr>
              <w:pStyle w:val="TableContents"/>
              <w:bidi w:val="0"/>
              <w:spacing w:before="0" w:after="0"/>
              <w:ind w:left="0" w:right="0" w:hanging="0"/>
              <w:jc w:val="left"/>
              <w:rPr/>
            </w:pPr>
            <w:r>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5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557,253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three months ended September 30, 2024:</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27" w:name="Tc_aJ--FpPmK0eBK0pFup_qAQ_10_17"/>
      <w:bookmarkStart w:id="428" w:name="Tc_X4fAucjogkiiwysQ5AbOyA_10_14"/>
      <w:bookmarkStart w:id="429" w:name="Tc_iS3Zr0v3nkC4Wm9pV-shCA_10_11"/>
      <w:bookmarkStart w:id="430" w:name="Tc_45Uucn4-LU2yMafFVtPKBg_10_8"/>
      <w:bookmarkStart w:id="431" w:name="Tc_Si1c93ar8kaGpXXxO7vffQ_10_5"/>
      <w:bookmarkStart w:id="432" w:name="Tc_Uvmhda0jKEedn7mB-VN8rw_10_2"/>
      <w:bookmarkStart w:id="433" w:name="Tc_2SHyYALFaUGNhzobEAZvAQ_10_0"/>
      <w:bookmarkStart w:id="434" w:name="Tc_Iwva3rMwM0qwifmUi7XgpQ_9_12"/>
      <w:bookmarkStart w:id="435" w:name="Tc_v21TuGzGc023a1dbIoncIA_9_9"/>
      <w:bookmarkStart w:id="436" w:name="Tc_q8GVDT_eV0e6LMYT3vwfUw_9_6"/>
      <w:bookmarkStart w:id="437" w:name="Tc_YLVW0AhCv0GL9vafkhMICw_9_3"/>
      <w:bookmarkStart w:id="438" w:name="Tc_8TgjWrzyh06I5Jc9KpneyQ_9_0"/>
      <w:bookmarkStart w:id="439" w:name="Tc_W2KpHubyIUmGvbfDU5_jzg_8_15"/>
      <w:bookmarkStart w:id="440" w:name="Tc_N6-Hyim7SUeafk9ElmAE3w_8_9"/>
      <w:bookmarkStart w:id="441" w:name="Tc_JLugMMGRrUuiZbX6e7UMdg_8_6"/>
      <w:bookmarkStart w:id="442" w:name="Tc_xaXY2pgQnkakQsHhTNXFpw_8_3"/>
      <w:bookmarkStart w:id="443" w:name="Tc_z6ySAKvuA0ujamgGDhCwmQ_8_0"/>
      <w:bookmarkStart w:id="444" w:name="Tc_UD1tKaMozkinqQ6ESYdNDg_7_15"/>
      <w:bookmarkStart w:id="445" w:name="Tc_FaSpDxo7HkiNQomoY3S3NA_7_9"/>
      <w:bookmarkStart w:id="446" w:name="Tc_y8KzT-ArsESgjLpe3xWECA_7_6"/>
      <w:bookmarkStart w:id="447" w:name="Tc_cou0USi4IkiYWklVvoI5lw_7_3"/>
      <w:bookmarkStart w:id="448" w:name="Tc_DdrM9ML9_kiHpTcQrZDtZg_7_0"/>
      <w:bookmarkStart w:id="449" w:name="Tc_LY3rRyQaNEmzz_MH03FHmA_6_15"/>
      <w:bookmarkStart w:id="450" w:name="Tc_tsURDUpzUkakr-FeZccqWg_6_12"/>
      <w:bookmarkStart w:id="451" w:name="Tc_gTd12ih1GE2ovgzRUkKm9A_6_6"/>
      <w:bookmarkStart w:id="452" w:name="Tc_Bj0M9F3ru0y9IWse2fxT-A_6_3"/>
      <w:bookmarkStart w:id="453" w:name="Tc_XA0jA3_J6EyZ5s9FCtt9mg_6_0"/>
      <w:bookmarkStart w:id="454" w:name="Tc_7rHv4U-fHEWAzUUl5qAqRA_5_15"/>
      <w:bookmarkStart w:id="455" w:name="Tc_8FwEsfqEO02wH95fP0LRZg_5_3"/>
      <w:bookmarkStart w:id="456" w:name="Tc_ttPLKwRa1UKX-3Xg41EqDA_5_0"/>
      <w:bookmarkStart w:id="457" w:name="Tc_vOgfjFF7F0mC-KOs2w9kKA_4_15"/>
      <w:bookmarkStart w:id="458" w:name="Tc_4nRd7KrXSkq3YIXyPP5Lfg_4_12"/>
      <w:bookmarkStart w:id="459" w:name="Tc_lmAeVL8j-kmZfnlhjFjWaA_4_6"/>
      <w:bookmarkStart w:id="460" w:name="Tc_CvC12CpdqUqvjD5t8VkIvg_4_3"/>
      <w:bookmarkStart w:id="461" w:name="Tc_P4h4Q0bGHkeN64BAYY0YoA_4_0"/>
      <w:bookmarkStart w:id="462" w:name="Tc_qgVuObEQvEWvFJhffDjgPg_3_15"/>
      <w:bookmarkStart w:id="463" w:name="Tc_Vtag_0ot906VoqSCh_A44g_3_9"/>
      <w:bookmarkStart w:id="464" w:name="Tc_NERVbPBJyEigynCGUdExng_3_6"/>
      <w:bookmarkStart w:id="465" w:name="Tc_1c-E2RYN6EKBJH8OKOdyTA_3_3"/>
      <w:bookmarkStart w:id="466" w:name="Tc_xLUVAcC-5UmInEMxTOYhQw_3_0"/>
      <w:bookmarkStart w:id="467" w:name="Tc_qZqk87sdLEGwKe6489VoPw_2_17"/>
      <w:bookmarkStart w:id="468" w:name="Tc_yDELfIcHgUy5GYz3aYEn0A_2_14"/>
      <w:bookmarkStart w:id="469" w:name="Tc_WjwkouXUb0urIXHhyyevSQ_2_11"/>
      <w:bookmarkStart w:id="470" w:name="Tc_BHP8bIEeyEqLd0clkjC-Iw_2_8"/>
      <w:bookmarkStart w:id="471" w:name="Tc_PsoOE53saEGPhiIqInotbA_2_5"/>
      <w:bookmarkStart w:id="472" w:name="Tc_3nh8d1-P90erN4I-h3nkTQ_2_2"/>
      <w:bookmarkStart w:id="473" w:name="Tc_NebFoWfXpU6wV5vyheuoBA_2_0"/>
      <w:bookmarkStart w:id="474" w:name="Tc_RJdYgjlprUSHCPzkIOmmag_1_17"/>
      <w:bookmarkStart w:id="475" w:name="Tc_QQopkxOvAE2nuJ_VaDX_Tg_1_14"/>
      <w:bookmarkStart w:id="476" w:name="Tc_hzsEc-lkzEallUN4WwW5OQ_1_11"/>
      <w:bookmarkStart w:id="477" w:name="Tc_lr4qMfucj06vbJHjNm9jHg_1_8"/>
      <w:bookmarkStart w:id="478" w:name="Tc_F3mYVeJaMk-f892HzXKCAA_1_5"/>
      <w:bookmarkStart w:id="479" w:name="Tc_BK0_O0Cy6EavhgcbpYLiJg_1_2"/>
      <w:bookmarkStart w:id="480" w:name="_5549a9b2_8f93_4f29_855e_f90d2a76c351"/>
      <w:bookmarkStart w:id="481" w:name="Tc_aJ--FpPmK0eBK0pFup_qAQ_10_17"/>
      <w:bookmarkStart w:id="482" w:name="Tc_X4fAucjogkiiwysQ5AbOyA_10_14"/>
      <w:bookmarkStart w:id="483" w:name="Tc_iS3Zr0v3nkC4Wm9pV-shCA_10_11"/>
      <w:bookmarkStart w:id="484" w:name="Tc_45Uucn4-LU2yMafFVtPKBg_10_8"/>
      <w:bookmarkStart w:id="485" w:name="Tc_Si1c93ar8kaGpXXxO7vffQ_10_5"/>
      <w:bookmarkStart w:id="486" w:name="Tc_Uvmhda0jKEedn7mB-VN8rw_10_2"/>
      <w:bookmarkStart w:id="487" w:name="Tc_2SHyYALFaUGNhzobEAZvAQ_10_0"/>
      <w:bookmarkStart w:id="488" w:name="Tc_Iwva3rMwM0qwifmUi7XgpQ_9_12"/>
      <w:bookmarkStart w:id="489" w:name="Tc_v21TuGzGc023a1dbIoncIA_9_9"/>
      <w:bookmarkStart w:id="490" w:name="Tc_q8GVDT_eV0e6LMYT3vwfUw_9_6"/>
      <w:bookmarkStart w:id="491" w:name="Tc_YLVW0AhCv0GL9vafkhMICw_9_3"/>
      <w:bookmarkStart w:id="492" w:name="Tc_8TgjWrzyh06I5Jc9KpneyQ_9_0"/>
      <w:bookmarkStart w:id="493" w:name="Tc_W2KpHubyIUmGvbfDU5_jzg_8_15"/>
      <w:bookmarkStart w:id="494" w:name="Tc_N6-Hyim7SUeafk9ElmAE3w_8_9"/>
      <w:bookmarkStart w:id="495" w:name="Tc_JLugMMGRrUuiZbX6e7UMdg_8_6"/>
      <w:bookmarkStart w:id="496" w:name="Tc_xaXY2pgQnkakQsHhTNXFpw_8_3"/>
      <w:bookmarkStart w:id="497" w:name="Tc_z6ySAKvuA0ujamgGDhCwmQ_8_0"/>
      <w:bookmarkStart w:id="498" w:name="Tc_UD1tKaMozkinqQ6ESYdNDg_7_15"/>
      <w:bookmarkStart w:id="499" w:name="Tc_FaSpDxo7HkiNQomoY3S3NA_7_9"/>
      <w:bookmarkStart w:id="500" w:name="Tc_y8KzT-ArsESgjLpe3xWECA_7_6"/>
      <w:bookmarkStart w:id="501" w:name="Tc_cou0USi4IkiYWklVvoI5lw_7_3"/>
      <w:bookmarkStart w:id="502" w:name="Tc_DdrM9ML9_kiHpTcQrZDtZg_7_0"/>
      <w:bookmarkStart w:id="503" w:name="Tc_LY3rRyQaNEmzz_MH03FHmA_6_15"/>
      <w:bookmarkStart w:id="504" w:name="Tc_tsURDUpzUkakr-FeZccqWg_6_12"/>
      <w:bookmarkStart w:id="505" w:name="Tc_gTd12ih1GE2ovgzRUkKm9A_6_6"/>
      <w:bookmarkStart w:id="506" w:name="Tc_Bj0M9F3ru0y9IWse2fxT-A_6_3"/>
      <w:bookmarkStart w:id="507" w:name="Tc_XA0jA3_J6EyZ5s9FCtt9mg_6_0"/>
      <w:bookmarkStart w:id="508" w:name="Tc_7rHv4U-fHEWAzUUl5qAqRA_5_15"/>
      <w:bookmarkStart w:id="509" w:name="Tc_8FwEsfqEO02wH95fP0LRZg_5_3"/>
      <w:bookmarkStart w:id="510" w:name="Tc_ttPLKwRa1UKX-3Xg41EqDA_5_0"/>
      <w:bookmarkStart w:id="511" w:name="Tc_vOgfjFF7F0mC-KOs2w9kKA_4_15"/>
      <w:bookmarkStart w:id="512" w:name="Tc_4nRd7KrXSkq3YIXyPP5Lfg_4_12"/>
      <w:bookmarkStart w:id="513" w:name="Tc_lmAeVL8j-kmZfnlhjFjWaA_4_6"/>
      <w:bookmarkStart w:id="514" w:name="Tc_CvC12CpdqUqvjD5t8VkIvg_4_3"/>
      <w:bookmarkStart w:id="515" w:name="Tc_P4h4Q0bGHkeN64BAYY0YoA_4_0"/>
      <w:bookmarkStart w:id="516" w:name="Tc_qgVuObEQvEWvFJhffDjgPg_3_15"/>
      <w:bookmarkStart w:id="517" w:name="Tc_Vtag_0ot906VoqSCh_A44g_3_9"/>
      <w:bookmarkStart w:id="518" w:name="Tc_NERVbPBJyEigynCGUdExng_3_6"/>
      <w:bookmarkStart w:id="519" w:name="Tc_1c-E2RYN6EKBJH8OKOdyTA_3_3"/>
      <w:bookmarkStart w:id="520" w:name="Tc_xLUVAcC-5UmInEMxTOYhQw_3_0"/>
      <w:bookmarkStart w:id="521" w:name="Tc_qZqk87sdLEGwKe6489VoPw_2_17"/>
      <w:bookmarkStart w:id="522" w:name="Tc_yDELfIcHgUy5GYz3aYEn0A_2_14"/>
      <w:bookmarkStart w:id="523" w:name="Tc_WjwkouXUb0urIXHhyyevSQ_2_11"/>
      <w:bookmarkStart w:id="524" w:name="Tc_BHP8bIEeyEqLd0clkjC-Iw_2_8"/>
      <w:bookmarkStart w:id="525" w:name="Tc_PsoOE53saEGPhiIqInotbA_2_5"/>
      <w:bookmarkStart w:id="526" w:name="Tc_3nh8d1-P90erN4I-h3nkTQ_2_2"/>
      <w:bookmarkStart w:id="527" w:name="Tc_NebFoWfXpU6wV5vyheuoBA_2_0"/>
      <w:bookmarkStart w:id="528" w:name="Tc_RJdYgjlprUSHCPzkIOmmag_1_17"/>
      <w:bookmarkStart w:id="529" w:name="Tc_QQopkxOvAE2nuJ_VaDX_Tg_1_14"/>
      <w:bookmarkStart w:id="530" w:name="Tc_hzsEc-lkzEallUN4WwW5OQ_1_11"/>
      <w:bookmarkStart w:id="531" w:name="Tc_lr4qMfucj06vbJHjNm9jHg_1_8"/>
      <w:bookmarkStart w:id="532" w:name="Tc_F3mYVeJaMk-f892HzXKCAA_1_5"/>
      <w:bookmarkStart w:id="533" w:name="Tc_BK0_O0Cy6EavhgcbpYLiJg_1_2"/>
      <w:bookmarkStart w:id="534" w:name="_5549a9b2_8f93_4f29_855e_f90d2a76c351"/>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tbl>
      <w:tblPr>
        <w:tblW w:w="10205" w:type="dxa"/>
        <w:jc w:val="left"/>
        <w:tblInd w:w="0" w:type="dxa"/>
        <w:tblLayout w:type="fixed"/>
        <w:tblCellMar>
          <w:top w:w="0" w:type="dxa"/>
          <w:left w:w="0" w:type="dxa"/>
          <w:bottom w:w="0" w:type="dxa"/>
          <w:right w:w="0" w:type="dxa"/>
        </w:tblCellMar>
      </w:tblPr>
      <w:tblGrid>
        <w:gridCol w:w="1992"/>
        <w:gridCol w:w="109"/>
        <w:gridCol w:w="346"/>
        <w:gridCol w:w="612"/>
        <w:gridCol w:w="109"/>
        <w:gridCol w:w="312"/>
        <w:gridCol w:w="600"/>
        <w:gridCol w:w="109"/>
        <w:gridCol w:w="282"/>
        <w:gridCol w:w="997"/>
        <w:gridCol w:w="109"/>
        <w:gridCol w:w="232"/>
        <w:gridCol w:w="835"/>
        <w:gridCol w:w="109"/>
        <w:gridCol w:w="466"/>
        <w:gridCol w:w="1574"/>
        <w:gridCol w:w="109"/>
        <w:gridCol w:w="255"/>
        <w:gridCol w:w="1048"/>
      </w:tblGrid>
      <w:tr>
        <w:trPr/>
        <w:tc>
          <w:tcPr>
            <w:tcW w:w="1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64920" cy="175260"/>
                      <wp:effectExtent l="0" t="0" r="0" b="0"/>
                      <wp:wrapNone/>
                      <wp:docPr id="51" name="Frame51"/>
                      <a:graphic xmlns:a="http://schemas.openxmlformats.org/drawingml/2006/main">
                        <a:graphicData uri="http://schemas.microsoft.com/office/word/2010/wordprocessingShape">
                          <wps:wsp>
                            <wps:cNvSpPr txBox="1"/>
                            <wps:spPr>
                              <a:xfrm>
                                <a:off x="0" y="0"/>
                                <a:ext cx="1264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88620" cy="175260"/>
                      <wp:effectExtent l="0" t="0" r="0" b="0"/>
                      <wp:wrapNone/>
                      <wp:docPr id="54" name="Frame54"/>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98120" cy="175260"/>
                      <wp:effectExtent l="0" t="0" r="0" b="0"/>
                      <wp:wrapNone/>
                      <wp:docPr id="56" name="Frame56"/>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81000" cy="175260"/>
                      <wp:effectExtent l="0" t="0" r="0" b="0"/>
                      <wp:wrapNone/>
                      <wp:docPr id="57" name="Frame57"/>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79070" cy="175260"/>
                      <wp:effectExtent l="0" t="0" r="0" b="0"/>
                      <wp:wrapNone/>
                      <wp:docPr id="59" name="Frame59"/>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33095" cy="175260"/>
                      <wp:effectExtent l="0" t="0" r="0" b="0"/>
                      <wp:wrapNone/>
                      <wp:docPr id="60" name="Frame60"/>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7320" cy="175260"/>
                      <wp:effectExtent l="0" t="0" r="0" b="0"/>
                      <wp:wrapNone/>
                      <wp:docPr id="62" name="Frame6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30225" cy="175260"/>
                      <wp:effectExtent l="0" t="0" r="0" b="0"/>
                      <wp:wrapNone/>
                      <wp:docPr id="63" name="Frame63"/>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95910" cy="175260"/>
                      <wp:effectExtent l="0" t="0" r="0" b="0"/>
                      <wp:wrapNone/>
                      <wp:docPr id="65" name="Frame6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999490" cy="175260"/>
                      <wp:effectExtent l="0" t="0" r="0" b="0"/>
                      <wp:wrapNone/>
                      <wp:docPr id="66" name="Frame66"/>
                      <a:graphic xmlns:a="http://schemas.openxmlformats.org/drawingml/2006/main">
                        <a:graphicData uri="http://schemas.microsoft.com/office/word/2010/wordprocessingShape">
                          <wps:wsp>
                            <wps:cNvSpPr txBox="1"/>
                            <wps:spPr>
                              <a:xfrm>
                                <a:off x="0" y="0"/>
                                <a:ext cx="999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61925" cy="175260"/>
                      <wp:effectExtent l="0" t="0" r="0" b="0"/>
                      <wp:wrapNone/>
                      <wp:docPr id="68" name="Frame6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5480" cy="175260"/>
                      <wp:effectExtent l="0" t="0" r="0" b="0"/>
                      <wp:wrapNone/>
                      <wp:docPr id="69" name="Frame69"/>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vAlign w:val="center"/>
          </w:tcPr>
          <w:p>
            <w:pPr>
              <w:pStyle w:val="TableContents"/>
              <w:bidi w:val="0"/>
              <w:spacing w:before="0" w:after="0"/>
              <w:ind w:left="0" w:right="0" w:hanging="0"/>
              <w:jc w:val="left"/>
              <w:rPr/>
            </w:pPr>
            <w:r>
              <w:rPr/>
              <w:t>​</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center"/>
              <w:rPr/>
            </w:pPr>
            <w:r>
              <w:rPr/>
              <w:t>​</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vAlign w:val="center"/>
          </w:tcPr>
          <w:p>
            <w:pPr>
              <w:pStyle w:val="TableContents"/>
              <w:bidi w:val="0"/>
              <w:spacing w:before="0" w:after="0"/>
              <w:ind w:left="0" w:right="0" w:hanging="0"/>
              <w:jc w:val="center"/>
              <w:rPr/>
            </w:pPr>
            <w:r>
              <w:rPr/>
              <w:t>​</w:t>
            </w:r>
          </w:p>
        </w:tc>
        <w:tc>
          <w:tcPr>
            <w:tcW w:w="2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 (Loss)</w:t>
            </w:r>
          </w:p>
        </w:tc>
        <w:tc>
          <w:tcPr>
            <w:tcW w:w="109" w:type="dxa"/>
            <w:tcBorders/>
            <w:vAlign w:val="center"/>
          </w:tcPr>
          <w:p>
            <w:pPr>
              <w:pStyle w:val="TableContents"/>
              <w:bidi w:val="0"/>
              <w:spacing w:before="0" w:after="0"/>
              <w:ind w:left="0" w:right="0" w:hanging="0"/>
              <w:jc w:val="center"/>
              <w:rPr/>
            </w:pPr>
            <w:r>
              <w:rPr/>
              <w:t>​</w:t>
            </w:r>
          </w:p>
        </w:tc>
        <w:tc>
          <w:tcPr>
            <w:tcW w:w="13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July 1, 2024</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207,882</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268,269</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15,386</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491,815</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6,227</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6,227</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15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Net of Equity Issuance Costs</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125,835</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125,904</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661</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15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661</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(11,245)</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15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(11,245)</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Comprehensive Loss </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(15,791)</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(15,791)</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September 30, 2024</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334,467</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261,373</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5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595,782</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STOCKHOLDERS’ EQUITY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nine months ended September 30, 2025:</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35" w:name="Tc__9PNHJfWaEuWLQk9U0hNHg_13_17"/>
      <w:bookmarkStart w:id="536" w:name="Tc_QReJ7DiVCE2KVQKCKCxPLA_13_14"/>
      <w:bookmarkStart w:id="537" w:name="Tc_ff2HOCwu-Uufo-p5jzDfEw_13_11"/>
      <w:bookmarkStart w:id="538" w:name="Tc_eQDuJKH_OEOG75nbfDn6hQ_13_8"/>
      <w:bookmarkStart w:id="539" w:name="Tc_9LnfjiFFc0mnGlwTRoDMtg_13_5"/>
      <w:bookmarkStart w:id="540" w:name="Tc_tJu77fXma0OmpXj1j_ah7g_13_2"/>
      <w:bookmarkStart w:id="541" w:name="Tc_FiEmad3VfkCVP5ogQu-m-Q_13_0"/>
      <w:bookmarkStart w:id="542" w:name="Tc_ZqCsBA9HM0SzR7L7NA4Djw_12_12"/>
      <w:bookmarkStart w:id="543" w:name="Tc_8pe9UK7XRUa2AKrc2CKVxw_12_9"/>
      <w:bookmarkStart w:id="544" w:name="Tc_7zgSCyUg_0GrhZ_nOnKLzA_12_6"/>
      <w:bookmarkStart w:id="545" w:name="Tc_SkpvvKJhpUe4sf_Evm59Qw_12_3"/>
      <w:bookmarkStart w:id="546" w:name="Tc_YtDWkgfSmk26ce04PQMdxA_12_0"/>
      <w:bookmarkStart w:id="547" w:name="Tc_3wpsUrRrCUWltj8gjHXLXA_11_15"/>
      <w:bookmarkStart w:id="548" w:name="Tc_3WFxLQdzN0G5Myfi3jDpVg_11_9"/>
      <w:bookmarkStart w:id="549" w:name="Tc_E5UW-DIH00e3IwxgcTFc3w_11_6"/>
      <w:bookmarkStart w:id="550" w:name="Tc_E2s0ZNg98UuPzFjdh3MDlg_11_3"/>
      <w:bookmarkStart w:id="551" w:name="Tc_8KrpIdRkBEq7BHvJEt8yIA_11_0"/>
      <w:bookmarkStart w:id="552" w:name="Tc_EjE1QNOmmkCFk91zV86hWg_10_15"/>
      <w:bookmarkStart w:id="553" w:name="Tc_2HyBxT-3qUWiKuUnoG0qFQ_10_9"/>
      <w:bookmarkStart w:id="554" w:name="Tc_1Ly2AWjPaEiLwRlBWDwIMg_10_6"/>
      <w:bookmarkStart w:id="555" w:name="Tc_0BmE9NYsakGtfhKOye5CCw_10_3"/>
      <w:bookmarkStart w:id="556" w:name="Tc_MQdyW1NhMkK5vO5PqCBfag_10_0"/>
      <w:bookmarkStart w:id="557" w:name="Tc_NiP0mYWaNkG2ks3O7EwxMA_9_15"/>
      <w:bookmarkStart w:id="558" w:name="Tc_Zs23GyfKSUeHklo8CmF_rQ_9_12"/>
      <w:bookmarkStart w:id="559" w:name="Tc_cLl2tJv4j0Oi-Keb3vVRfw_9_6"/>
      <w:bookmarkStart w:id="560" w:name="Tc_T_tTomBMoUa7_LxTKbsNUw_9_3"/>
      <w:bookmarkStart w:id="561" w:name="Tc_gjEEXkNHQUuIYvRuy7IedQ_9_0"/>
      <w:bookmarkStart w:id="562" w:name="Tc_cWIa2TVVQkizcStQ-XXV_g_8_15"/>
      <w:bookmarkStart w:id="563" w:name="Tc_DepC8SS20UqsJZ-PcJJU4Q_8_12"/>
      <w:bookmarkStart w:id="564" w:name="Tc_3aonEcAqX0Cyo1PQOyZaqA_8_3"/>
      <w:bookmarkStart w:id="565" w:name="Tc_mLPDUE7GQk2oHk78H1aQGw_8_0"/>
      <w:bookmarkStart w:id="566" w:name="Tc_7semue3H60-JdvQZZDyIBw_7_15"/>
      <w:bookmarkStart w:id="567" w:name="Tc_43WQdEbp4ke0eVfFNI01iw_7_12"/>
      <w:bookmarkStart w:id="568" w:name="Tc_zT1k4v4IaUut6eaznY00QQ_7_6"/>
      <w:bookmarkStart w:id="569" w:name="Tc_sTKh9WBe80u-MhZD0u8sFg_7_3"/>
      <w:bookmarkStart w:id="570" w:name="Tc_3q58E5fjckGijKQX8772Jg_7_0"/>
      <w:bookmarkStart w:id="571" w:name="Tc_gBfSyDW_WEy07HtjM1BTQg_6_15"/>
      <w:bookmarkStart w:id="572" w:name="Tc_a-tVdf_gfkGv3FSgBFhpLw_6_12"/>
      <w:bookmarkStart w:id="573" w:name="Tc_QfH54Jsr8Uap8OALNRQcnQ_6_3"/>
      <w:bookmarkStart w:id="574" w:name="Tc_SEKKNnsH60i-wwoavyiOPw_6_0"/>
      <w:bookmarkStart w:id="575" w:name="Tc_izl5Htn5YE-eEemFTpWYtw_5_15"/>
      <w:bookmarkStart w:id="576" w:name="Tc_tu0aI_QIp0Si6ZzNr3Fa5w_5_12"/>
      <w:bookmarkStart w:id="577" w:name="Tc_VavX63nTBkux9kwpf72wpQ_5_3"/>
      <w:bookmarkStart w:id="578" w:name="Tc_kNPIWAe_J0WCHRCvcsobbA_5_0"/>
      <w:bookmarkStart w:id="579" w:name="Tc_Uxh_P0GE9E6t3wk6zn9dyw_4_15"/>
      <w:bookmarkStart w:id="580" w:name="Tc_S2BGYXYkKUGDJDZe5y4daA_4_12"/>
      <w:bookmarkStart w:id="581" w:name="Tc_r3qpqY911kGtmHw2c8DeIA_4_3"/>
      <w:bookmarkStart w:id="582" w:name="Tc_KcYpBiG2skWKNS0p77EfUA_4_0"/>
      <w:bookmarkStart w:id="583" w:name="Tc_tcPCq1Jsh06VCsmMvTzDGA_3_15"/>
      <w:bookmarkStart w:id="584" w:name="Tc_HgUtWjYIV0CVjdQd7a5EiA_3_9"/>
      <w:bookmarkStart w:id="585" w:name="Tc_lZPewdgMGUu4feEeTkhbzw_3_6"/>
      <w:bookmarkStart w:id="586" w:name="Tc_RFJO95o8kEOYLeaezLKbNQ_3_3"/>
      <w:bookmarkStart w:id="587" w:name="Tc_oF3WAJkejUW03wm00yl4jQ_3_0"/>
      <w:bookmarkStart w:id="588" w:name="Tc_a4hvSmhh_UWjMnHhEUTD-Q_2_17"/>
      <w:bookmarkStart w:id="589" w:name="Tc_MbgDnamw5EyuUfjnTLVCCw_2_14"/>
      <w:bookmarkStart w:id="590" w:name="Tc_rem3EnC4LECFl8xM2r2kng_2_11"/>
      <w:bookmarkStart w:id="591" w:name="Tc_Is3dmiSl402RtA1yBQXz1Q_2_8"/>
      <w:bookmarkStart w:id="592" w:name="Tc_Y4tDj4BoV06Nh08NlROWeg_2_5"/>
      <w:bookmarkStart w:id="593" w:name="Tc_txXs6stW6E-gbP4sv9O_kA_2_2"/>
      <w:bookmarkStart w:id="594" w:name="Tc_TBWztB-5KECrx3ZmcU1img_2_0"/>
      <w:bookmarkStart w:id="595" w:name="Tc_a5gbBzevCk-3K2oJxUgLUw_1_17"/>
      <w:bookmarkStart w:id="596" w:name="Tc_xiwgRlbvwE6Wqbq3STZ1aA_1_14"/>
      <w:bookmarkStart w:id="597" w:name="Tc_Kco62N-GI0qW0wppu0oElA_1_11"/>
      <w:bookmarkStart w:id="598" w:name="Tc_0qlCzqlxyUaZRcol0Wv_0A_1_8"/>
      <w:bookmarkStart w:id="599" w:name="Tc_jugFxFMQgEqFKjcwQqfVBQ_1_5"/>
      <w:bookmarkStart w:id="600" w:name="Tc_D5ZGJyFVDUKA6QLAhjOncg_1_2"/>
      <w:bookmarkStart w:id="601" w:name="_8a32099a_a40c_400a_9e30_93bc5ad58b9d"/>
      <w:bookmarkStart w:id="602" w:name="Tc__9PNHJfWaEuWLQk9U0hNHg_13_17"/>
      <w:bookmarkStart w:id="603" w:name="Tc_QReJ7DiVCE2KVQKCKCxPLA_13_14"/>
      <w:bookmarkStart w:id="604" w:name="Tc_ff2HOCwu-Uufo-p5jzDfEw_13_11"/>
      <w:bookmarkStart w:id="605" w:name="Tc_eQDuJKH_OEOG75nbfDn6hQ_13_8"/>
      <w:bookmarkStart w:id="606" w:name="Tc_9LnfjiFFc0mnGlwTRoDMtg_13_5"/>
      <w:bookmarkStart w:id="607" w:name="Tc_tJu77fXma0OmpXj1j_ah7g_13_2"/>
      <w:bookmarkStart w:id="608" w:name="Tc_FiEmad3VfkCVP5ogQu-m-Q_13_0"/>
      <w:bookmarkStart w:id="609" w:name="Tc_ZqCsBA9HM0SzR7L7NA4Djw_12_12"/>
      <w:bookmarkStart w:id="610" w:name="Tc_8pe9UK7XRUa2AKrc2CKVxw_12_9"/>
      <w:bookmarkStart w:id="611" w:name="Tc_7zgSCyUg_0GrhZ_nOnKLzA_12_6"/>
      <w:bookmarkStart w:id="612" w:name="Tc_SkpvvKJhpUe4sf_Evm59Qw_12_3"/>
      <w:bookmarkStart w:id="613" w:name="Tc_YtDWkgfSmk26ce04PQMdxA_12_0"/>
      <w:bookmarkStart w:id="614" w:name="Tc_3wpsUrRrCUWltj8gjHXLXA_11_15"/>
      <w:bookmarkStart w:id="615" w:name="Tc_3WFxLQdzN0G5Myfi3jDpVg_11_9"/>
      <w:bookmarkStart w:id="616" w:name="Tc_E5UW-DIH00e3IwxgcTFc3w_11_6"/>
      <w:bookmarkStart w:id="617" w:name="Tc_E2s0ZNg98UuPzFjdh3MDlg_11_3"/>
      <w:bookmarkStart w:id="618" w:name="Tc_8KrpIdRkBEq7BHvJEt8yIA_11_0"/>
      <w:bookmarkStart w:id="619" w:name="Tc_EjE1QNOmmkCFk91zV86hWg_10_15"/>
      <w:bookmarkStart w:id="620" w:name="Tc_2HyBxT-3qUWiKuUnoG0qFQ_10_9"/>
      <w:bookmarkStart w:id="621" w:name="Tc_1Ly2AWjPaEiLwRlBWDwIMg_10_6"/>
      <w:bookmarkStart w:id="622" w:name="Tc_0BmE9NYsakGtfhKOye5CCw_10_3"/>
      <w:bookmarkStart w:id="623" w:name="Tc_MQdyW1NhMkK5vO5PqCBfag_10_0"/>
      <w:bookmarkStart w:id="624" w:name="Tc_NiP0mYWaNkG2ks3O7EwxMA_9_15"/>
      <w:bookmarkStart w:id="625" w:name="Tc_Zs23GyfKSUeHklo8CmF_rQ_9_12"/>
      <w:bookmarkStart w:id="626" w:name="Tc_cLl2tJv4j0Oi-Keb3vVRfw_9_6"/>
      <w:bookmarkStart w:id="627" w:name="Tc_T_tTomBMoUa7_LxTKbsNUw_9_3"/>
      <w:bookmarkStart w:id="628" w:name="Tc_gjEEXkNHQUuIYvRuy7IedQ_9_0"/>
      <w:bookmarkStart w:id="629" w:name="Tc_cWIa2TVVQkizcStQ-XXV_g_8_15"/>
      <w:bookmarkStart w:id="630" w:name="Tc_DepC8SS20UqsJZ-PcJJU4Q_8_12"/>
      <w:bookmarkStart w:id="631" w:name="Tc_3aonEcAqX0Cyo1PQOyZaqA_8_3"/>
      <w:bookmarkStart w:id="632" w:name="Tc_mLPDUE7GQk2oHk78H1aQGw_8_0"/>
      <w:bookmarkStart w:id="633" w:name="Tc_7semue3H60-JdvQZZDyIBw_7_15"/>
      <w:bookmarkStart w:id="634" w:name="Tc_43WQdEbp4ke0eVfFNI01iw_7_12"/>
      <w:bookmarkStart w:id="635" w:name="Tc_zT1k4v4IaUut6eaznY00QQ_7_6"/>
      <w:bookmarkStart w:id="636" w:name="Tc_sTKh9WBe80u-MhZD0u8sFg_7_3"/>
      <w:bookmarkStart w:id="637" w:name="Tc_3q58E5fjckGijKQX8772Jg_7_0"/>
      <w:bookmarkStart w:id="638" w:name="Tc_gBfSyDW_WEy07HtjM1BTQg_6_15"/>
      <w:bookmarkStart w:id="639" w:name="Tc_a-tVdf_gfkGv3FSgBFhpLw_6_12"/>
      <w:bookmarkStart w:id="640" w:name="Tc_QfH54Jsr8Uap8OALNRQcnQ_6_3"/>
      <w:bookmarkStart w:id="641" w:name="Tc_SEKKNnsH60i-wwoavyiOPw_6_0"/>
      <w:bookmarkStart w:id="642" w:name="Tc_izl5Htn5YE-eEemFTpWYtw_5_15"/>
      <w:bookmarkStart w:id="643" w:name="Tc_tu0aI_QIp0Si6ZzNr3Fa5w_5_12"/>
      <w:bookmarkStart w:id="644" w:name="Tc_VavX63nTBkux9kwpf72wpQ_5_3"/>
      <w:bookmarkStart w:id="645" w:name="Tc_kNPIWAe_J0WCHRCvcsobbA_5_0"/>
      <w:bookmarkStart w:id="646" w:name="Tc_Uxh_P0GE9E6t3wk6zn9dyw_4_15"/>
      <w:bookmarkStart w:id="647" w:name="Tc_S2BGYXYkKUGDJDZe5y4daA_4_12"/>
      <w:bookmarkStart w:id="648" w:name="Tc_r3qpqY911kGtmHw2c8DeIA_4_3"/>
      <w:bookmarkStart w:id="649" w:name="Tc_KcYpBiG2skWKNS0p77EfUA_4_0"/>
      <w:bookmarkStart w:id="650" w:name="Tc_tcPCq1Jsh06VCsmMvTzDGA_3_15"/>
      <w:bookmarkStart w:id="651" w:name="Tc_HgUtWjYIV0CVjdQd7a5EiA_3_9"/>
      <w:bookmarkStart w:id="652" w:name="Tc_lZPewdgMGUu4feEeTkhbzw_3_6"/>
      <w:bookmarkStart w:id="653" w:name="Tc_RFJO95o8kEOYLeaezLKbNQ_3_3"/>
      <w:bookmarkStart w:id="654" w:name="Tc_oF3WAJkejUW03wm00yl4jQ_3_0"/>
      <w:bookmarkStart w:id="655" w:name="Tc_a4hvSmhh_UWjMnHhEUTD-Q_2_17"/>
      <w:bookmarkStart w:id="656" w:name="Tc_MbgDnamw5EyuUfjnTLVCCw_2_14"/>
      <w:bookmarkStart w:id="657" w:name="Tc_rem3EnC4LECFl8xM2r2kng_2_11"/>
      <w:bookmarkStart w:id="658" w:name="Tc_Is3dmiSl402RtA1yBQXz1Q_2_8"/>
      <w:bookmarkStart w:id="659" w:name="Tc_Y4tDj4BoV06Nh08NlROWeg_2_5"/>
      <w:bookmarkStart w:id="660" w:name="Tc_txXs6stW6E-gbP4sv9O_kA_2_2"/>
      <w:bookmarkStart w:id="661" w:name="Tc_TBWztB-5KECrx3ZmcU1img_2_0"/>
      <w:bookmarkStart w:id="662" w:name="Tc_a5gbBzevCk-3K2oJxUgLUw_1_17"/>
      <w:bookmarkStart w:id="663" w:name="Tc_xiwgRlbvwE6Wqbq3STZ1aA_1_14"/>
      <w:bookmarkStart w:id="664" w:name="Tc_Kco62N-GI0qW0wppu0oElA_1_11"/>
      <w:bookmarkStart w:id="665" w:name="Tc_0qlCzqlxyUaZRcol0Wv_0A_1_8"/>
      <w:bookmarkStart w:id="666" w:name="Tc_jugFxFMQgEqFKjcwQqfVBQ_1_5"/>
      <w:bookmarkStart w:id="667" w:name="Tc_D5ZGJyFVDUKA6QLAhjOncg_1_2"/>
      <w:bookmarkStart w:id="668" w:name="_8a32099a_a40c_400a_9e30_93bc5ad58b9d"/>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tbl>
      <w:tblPr>
        <w:tblW w:w="10205" w:type="dxa"/>
        <w:jc w:val="left"/>
        <w:tblInd w:w="0" w:type="dxa"/>
        <w:tblLayout w:type="fixed"/>
        <w:tblCellMar>
          <w:top w:w="0" w:type="dxa"/>
          <w:left w:w="0" w:type="dxa"/>
          <w:bottom w:w="0" w:type="dxa"/>
          <w:right w:w="0" w:type="dxa"/>
        </w:tblCellMar>
      </w:tblPr>
      <w:tblGrid>
        <w:gridCol w:w="1992"/>
        <w:gridCol w:w="109"/>
        <w:gridCol w:w="346"/>
        <w:gridCol w:w="612"/>
        <w:gridCol w:w="109"/>
        <w:gridCol w:w="312"/>
        <w:gridCol w:w="600"/>
        <w:gridCol w:w="109"/>
        <w:gridCol w:w="282"/>
        <w:gridCol w:w="997"/>
        <w:gridCol w:w="109"/>
        <w:gridCol w:w="232"/>
        <w:gridCol w:w="835"/>
        <w:gridCol w:w="109"/>
        <w:gridCol w:w="466"/>
        <w:gridCol w:w="1574"/>
        <w:gridCol w:w="109"/>
        <w:gridCol w:w="255"/>
        <w:gridCol w:w="1048"/>
      </w:tblGrid>
      <w:tr>
        <w:trPr/>
        <w:tc>
          <w:tcPr>
            <w:tcW w:w="1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64920" cy="175260"/>
                      <wp:effectExtent l="0" t="0" r="0" b="0"/>
                      <wp:wrapNone/>
                      <wp:docPr id="70" name="Frame70"/>
                      <a:graphic xmlns:a="http://schemas.openxmlformats.org/drawingml/2006/main">
                        <a:graphicData uri="http://schemas.microsoft.com/office/word/2010/wordprocessingShape">
                          <wps:wsp>
                            <wps:cNvSpPr txBox="1"/>
                            <wps:spPr>
                              <a:xfrm>
                                <a:off x="0" y="0"/>
                                <a:ext cx="1264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88620" cy="175260"/>
                      <wp:effectExtent l="0" t="0" r="0" b="0"/>
                      <wp:wrapNone/>
                      <wp:docPr id="73" name="Frame73"/>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98120" cy="175260"/>
                      <wp:effectExtent l="0" t="0" r="0" b="0"/>
                      <wp:wrapNone/>
                      <wp:docPr id="75" name="Frame75"/>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81000" cy="175260"/>
                      <wp:effectExtent l="0" t="0" r="0" b="0"/>
                      <wp:wrapNone/>
                      <wp:docPr id="76" name="Frame76"/>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79070" cy="175260"/>
                      <wp:effectExtent l="0" t="0" r="0" b="0"/>
                      <wp:wrapNone/>
                      <wp:docPr id="78" name="Frame78"/>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33095" cy="175260"/>
                      <wp:effectExtent l="0" t="0" r="0" b="0"/>
                      <wp:wrapNone/>
                      <wp:docPr id="79" name="Frame79"/>
                      <a:graphic xmlns:a="http://schemas.openxmlformats.org/drawingml/2006/main">
                        <a:graphicData uri="http://schemas.microsoft.com/office/word/2010/wordprocessingShape">
                          <wps:wsp>
                            <wps:cNvSpPr txBox="1"/>
                            <wps:spPr>
                              <a:xfrm>
                                <a:off x="0" y="0"/>
                                <a:ext cx="633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7320" cy="175260"/>
                      <wp:effectExtent l="0" t="0" r="0" b="0"/>
                      <wp:wrapNone/>
                      <wp:docPr id="81" name="Frame8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30225" cy="175260"/>
                      <wp:effectExtent l="0" t="0" r="0" b="0"/>
                      <wp:wrapNone/>
                      <wp:docPr id="82" name="Frame82"/>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95910" cy="175260"/>
                      <wp:effectExtent l="0" t="0" r="0" b="0"/>
                      <wp:wrapNone/>
                      <wp:docPr id="84" name="Frame8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999490" cy="175260"/>
                      <wp:effectExtent l="0" t="0" r="0" b="0"/>
                      <wp:wrapNone/>
                      <wp:docPr id="85" name="Frame85"/>
                      <a:graphic xmlns:a="http://schemas.openxmlformats.org/drawingml/2006/main">
                        <a:graphicData uri="http://schemas.microsoft.com/office/word/2010/wordprocessingShape">
                          <wps:wsp>
                            <wps:cNvSpPr txBox="1"/>
                            <wps:spPr>
                              <a:xfrm>
                                <a:off x="0" y="0"/>
                                <a:ext cx="999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1925" cy="175260"/>
                      <wp:effectExtent l="0" t="0" r="0" b="0"/>
                      <wp:wrapNone/>
                      <wp:docPr id="87" name="Frame8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5480" cy="175260"/>
                      <wp:effectExtent l="0" t="0" r="0" b="0"/>
                      <wp:wrapNone/>
                      <wp:docPr id="88" name="Frame88"/>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vAlign w:val="center"/>
          </w:tcPr>
          <w:p>
            <w:pPr>
              <w:pStyle w:val="TableContents"/>
              <w:bidi w:val="0"/>
              <w:spacing w:before="0" w:after="0"/>
              <w:ind w:left="0" w:right="0" w:hanging="0"/>
              <w:jc w:val="left"/>
              <w:rPr/>
            </w:pPr>
            <w:r>
              <w:rPr/>
              <w:t>​</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center"/>
              <w:rPr/>
            </w:pPr>
            <w:r>
              <w:rPr/>
              <w:t>​</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vAlign w:val="center"/>
          </w:tcPr>
          <w:p>
            <w:pPr>
              <w:pStyle w:val="TableContents"/>
              <w:bidi w:val="0"/>
              <w:spacing w:before="0" w:after="0"/>
              <w:ind w:left="0" w:right="0" w:hanging="0"/>
              <w:jc w:val="center"/>
              <w:rPr/>
            </w:pPr>
            <w:r>
              <w:rPr/>
              <w:t>​</w:t>
            </w:r>
          </w:p>
        </w:tc>
        <w:tc>
          <w:tcPr>
            <w:tcW w:w="2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 (Loss)</w:t>
            </w:r>
          </w:p>
        </w:tc>
        <w:tc>
          <w:tcPr>
            <w:tcW w:w="109" w:type="dxa"/>
            <w:tcBorders/>
            <w:vAlign w:val="center"/>
          </w:tcPr>
          <w:p>
            <w:pPr>
              <w:pStyle w:val="TableContents"/>
              <w:bidi w:val="0"/>
              <w:spacing w:before="0" w:after="0"/>
              <w:ind w:left="0" w:right="0" w:hanging="0"/>
              <w:jc w:val="center"/>
              <w:rPr/>
            </w:pPr>
            <w:r>
              <w:rPr/>
              <w:t>​</w:t>
            </w:r>
          </w:p>
        </w:tc>
        <w:tc>
          <w:tcPr>
            <w:tcW w:w="13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2025</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367,828</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232,089</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5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12,517</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612,798</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Attributable to the Company</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(18,243)</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(18,243)</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(4,342)</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15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(4,345)</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(1,035)</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15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Equity Issuance Costs</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Settlement of 2025 Notes</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21,037</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15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21,048</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2,642</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2,642</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60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9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(5,634)</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15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(5,634)</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60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(37,383)</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15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(37,383)</w:t>
            </w:r>
          </w:p>
        </w:tc>
      </w:tr>
      <w:tr>
        <w:trPr/>
        <w:tc>
          <w:tcPr>
            <w:tcW w:w="19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(13,101)</w:t>
            </w:r>
          </w:p>
        </w:tc>
        <w:tc>
          <w:tcPr>
            <w:tcW w:w="109"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(13,101)</w:t>
            </w:r>
          </w:p>
        </w:tc>
      </w:tr>
      <w:tr>
        <w:trPr/>
        <w:tc>
          <w:tcPr>
            <w:tcW w:w="19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September 30, 2025</w:t>
            </w:r>
          </w:p>
        </w:tc>
        <w:tc>
          <w:tcPr>
            <w:tcW w:w="109"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vAlign w:val="center"/>
          </w:tcPr>
          <w:p>
            <w:pPr>
              <w:pStyle w:val="TableContents"/>
              <w:bidi w:val="0"/>
              <w:spacing w:before="0" w:after="0"/>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w:t>
            </w:r>
          </w:p>
        </w:tc>
        <w:tc>
          <w:tcPr>
            <w:tcW w:w="109" w:type="dxa"/>
            <w:tcBorders/>
            <w:vAlign w:val="center"/>
          </w:tcPr>
          <w:p>
            <w:pPr>
              <w:pStyle w:val="TableContents"/>
              <w:bidi w:val="0"/>
              <w:spacing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386,634</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170,829</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5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w:t>
            </w:r>
          </w:p>
        </w:tc>
        <w:tc>
          <w:tcPr>
            <w:tcW w:w="109"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557,253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 the nine months ended September 30, 2024:</w:t>
        <w:br/>
        <w:t>​</w:t>
      </w:r>
    </w:p>
    <w:p>
      <w:pPr>
        <w:pStyle w:val="Normal"/>
        <w:bidi w:val="0"/>
        <w:spacing w:before="0" w:after="0"/>
        <w:jc w:val="left"/>
        <w:rPr>
          <w:sz w:val="4"/>
          <w:szCs w:val="4"/>
        </w:rPr>
      </w:pPr>
      <w:r>
        <w:rPr>
          <w:sz w:val="4"/>
          <w:szCs w:val="4"/>
        </w:rPr>
      </w:r>
      <w:bookmarkStart w:id="669" w:name="Tc_ckGZUXyDUkikh6cTpKQWnA_13_17"/>
      <w:bookmarkStart w:id="670" w:name="Tc_GC03l6BzHk-zS0acUZYBTA_13_14"/>
      <w:bookmarkStart w:id="671" w:name="Tc_WMVW8xmZyEq4nU3NPhW-2Q_13_11"/>
      <w:bookmarkStart w:id="672" w:name="Tc_Vpyg8oeFqkmikxriOn3D_g_13_8"/>
      <w:bookmarkStart w:id="673" w:name="Tc_0LEYP1W2YUqev5bwXm1qLw_13_5"/>
      <w:bookmarkStart w:id="674" w:name="Tc_eDHxgV4ArUCVanYEiQuOQA_13_2"/>
      <w:bookmarkStart w:id="675" w:name="Tc_VPR79ut1qEWYiLFAyWSzIg_13_0"/>
      <w:bookmarkStart w:id="676" w:name="Tc_j9r4XlGPyEaHXh2-Ee1a8g_12_12"/>
      <w:bookmarkStart w:id="677" w:name="Tc_W4tRFoBCikeBDj6-tOCQCQ_12_9"/>
      <w:bookmarkStart w:id="678" w:name="Tc_ymzcbX0YdkiqwpK41AWjCg_12_6"/>
      <w:bookmarkStart w:id="679" w:name="Tc_UYV5QaWsTkSCjXyKdUMf5g_12_3"/>
      <w:bookmarkStart w:id="680" w:name="Tc_ZQyNwpAJnkSznP9Yek-6xw_12_0"/>
      <w:bookmarkStart w:id="681" w:name="Tc_zlS6W0s9jUOMAI2zpTR51A_11_15"/>
      <w:bookmarkStart w:id="682" w:name="Tc_PKFcLT7WXUSC_FhUujyj1g_11_9"/>
      <w:bookmarkStart w:id="683" w:name="Tc_gdWILCUyskqrjwv0Vo8FpA_11_6"/>
      <w:bookmarkStart w:id="684" w:name="Tc_WgbCyvoDiUyWShkojwbkwg_11_3"/>
      <w:bookmarkStart w:id="685" w:name="Tc_d7lPUNQbEUiYmWVUWffOEw_11_0"/>
      <w:bookmarkStart w:id="686" w:name="Tc_Eh9qC2IWfUyvrvp-Vk3Sgg_10_15"/>
      <w:bookmarkStart w:id="687" w:name="Tc_5ieIPosOJU-dREVhN1EJbA_10_9"/>
      <w:bookmarkStart w:id="688" w:name="Tc_WBzp1NcjnEuWFid9Lf1Ztw_10_6"/>
      <w:bookmarkStart w:id="689" w:name="Tc_K4MX5MTarEue82ZkRHUFkw_10_3"/>
      <w:bookmarkStart w:id="690" w:name="Tc_IqgE1Qs58UiEIGIRpQxGCA_10_0"/>
      <w:bookmarkStart w:id="691" w:name="Tc_Tpkq8uageU-EM5KY73RW3w_9_15"/>
      <w:bookmarkStart w:id="692" w:name="Tc_IMR_mmBM-kKWBZDcEQRbYw_9_12"/>
      <w:bookmarkStart w:id="693" w:name="Tc_dH3wKiQSgEyHpRQiPxuPAQ_9_6"/>
      <w:bookmarkStart w:id="694" w:name="Tc_6oEh_Dm520KShhyqhskTUg_9_3"/>
      <w:bookmarkStart w:id="695" w:name="Tc_4W5zkYCzsEWPE0xG8AEx2Q_9_0"/>
      <w:bookmarkStart w:id="696" w:name="Tc_Aa8vKs5u8EKk6lRi7YWWUA_8_15"/>
      <w:bookmarkStart w:id="697" w:name="Tc_gYBTMxqis0iiskF8hRZ20A_8_3"/>
      <w:bookmarkStart w:id="698" w:name="Tc_7NF3Q4Ht90OycTsG460ksw_8_0"/>
      <w:bookmarkStart w:id="699" w:name="Tc_issFdnBhc0iNyCQiSIoiQQ_7_15"/>
      <w:bookmarkStart w:id="700" w:name="Tc_i_k80twrO0C_FZP-FKbX1A_7_12"/>
      <w:bookmarkStart w:id="701" w:name="Tc_1fcp-rJCqUa68Eooag2ckg_7_6"/>
      <w:bookmarkStart w:id="702" w:name="Tc_g3Bxt8HbF0Oc5z68TfeCUQ_7_0"/>
      <w:bookmarkStart w:id="703" w:name="Tc_QiLlFtkmYE-isYfNhshcJQ_6_15"/>
      <w:bookmarkStart w:id="704" w:name="Tc_icB8BvXuZE2QylpSiTjiTw_6_12"/>
      <w:bookmarkStart w:id="705" w:name="Tc_Mg-VR-UAYE2zGaCbn-yPtQ_6_6"/>
      <w:bookmarkStart w:id="706" w:name="Tc_YV0AGeiF7kSLSoGsH88d9g_6_3"/>
      <w:bookmarkStart w:id="707" w:name="Tc_-WwcC2txrkmRsWMmmUIEhw_6_0"/>
      <w:bookmarkStart w:id="708" w:name="Tc_hplI0YuWvUiJG_1azJXVsA_5_15"/>
      <w:bookmarkStart w:id="709" w:name="Tc_UOF2gxmGC0GeuJ6LWKRXBw_5_12"/>
      <w:bookmarkStart w:id="710" w:name="Tc_6WQfW3Huq0yV_4u-bH5loA_5_3"/>
      <w:bookmarkStart w:id="711" w:name="Tc_aDphlkGxckWOBMsXy3R32w_5_0"/>
      <w:bookmarkStart w:id="712" w:name="Tc_kRnp3PRyf0W-nSSr4lBmkg_4_15"/>
      <w:bookmarkStart w:id="713" w:name="Tc_hgjjUFkmsUWHRNgpjte0Uw_4_12"/>
      <w:bookmarkStart w:id="714" w:name="Tc_2CytiDMv8kaW3ySWDe43zg_4_6"/>
      <w:bookmarkStart w:id="715" w:name="Tc_2xKyogukUUOtzGW-MxnLrA_4_3"/>
      <w:bookmarkStart w:id="716" w:name="Tc_TFmNdvpoIkOyJuvJw-xEYQ_4_0"/>
      <w:bookmarkStart w:id="717" w:name="Tc_RhO2IkFkdk2WIwAJpqPwvg_3_15"/>
      <w:bookmarkStart w:id="718" w:name="Tc_FYJtVFjOXUeCiKuTSs4sKA_3_9"/>
      <w:bookmarkStart w:id="719" w:name="Tc_XvPDuPOIv0WX6J3bwQhlEg_3_6"/>
      <w:bookmarkStart w:id="720" w:name="Tc_DfvidZkH20-yZqDs0Jb9jw_3_3"/>
      <w:bookmarkStart w:id="721" w:name="Tc_WlSd3UF05k6yx91RkNluQg_3_0"/>
      <w:bookmarkStart w:id="722" w:name="Tc_auq0KWkJFkiLqB5Bdf3txA_2_17"/>
      <w:bookmarkStart w:id="723" w:name="Tc_lgibahV3R0KJq8ZB_u2lpQ_2_14"/>
      <w:bookmarkStart w:id="724" w:name="Tc_wuqx1Z6jyE2bg8aN7a3W9A_2_11"/>
      <w:bookmarkStart w:id="725" w:name="Tc_M0-g9zovJ02HTRuDd_VbLA_2_8"/>
      <w:bookmarkStart w:id="726" w:name="Tc_wNVBjUIP10GlT0xOo_z3Og_2_5"/>
      <w:bookmarkStart w:id="727" w:name="Tc_d6tIApMlikW1IcNruRgC-Q_2_2"/>
      <w:bookmarkStart w:id="728" w:name="Tc_-JF2NiUWLk67pAgX5BZilw_2_0"/>
      <w:bookmarkStart w:id="729" w:name="Tc_hphOoJ2c80Ol2MttVFHRDw_1_17"/>
      <w:bookmarkStart w:id="730" w:name="Tc_OtttgURlI0iEowAoelsz8Q_1_14"/>
      <w:bookmarkStart w:id="731" w:name="Tc__oeavOBTpUqU8bdg7g7yfw_1_11"/>
      <w:bookmarkStart w:id="732" w:name="Tc_3K5afB5ltEiXnuaX10yfhw_1_8"/>
      <w:bookmarkStart w:id="733" w:name="Tc_xha7FXxOIk6bsXVuZ3G94g_1_5"/>
      <w:bookmarkStart w:id="734" w:name="Tc_oeewXcab2kCfsEJVCaesaw_1_2"/>
      <w:bookmarkStart w:id="735" w:name="_10851fe3_6a13_42d9_be15_9548ceb62a6d"/>
      <w:bookmarkStart w:id="736" w:name="Tc_ckGZUXyDUkikh6cTpKQWnA_13_17"/>
      <w:bookmarkStart w:id="737" w:name="Tc_GC03l6BzHk-zS0acUZYBTA_13_14"/>
      <w:bookmarkStart w:id="738" w:name="Tc_WMVW8xmZyEq4nU3NPhW-2Q_13_11"/>
      <w:bookmarkStart w:id="739" w:name="Tc_Vpyg8oeFqkmikxriOn3D_g_13_8"/>
      <w:bookmarkStart w:id="740" w:name="Tc_0LEYP1W2YUqev5bwXm1qLw_13_5"/>
      <w:bookmarkStart w:id="741" w:name="Tc_eDHxgV4ArUCVanYEiQuOQA_13_2"/>
      <w:bookmarkStart w:id="742" w:name="Tc_VPR79ut1qEWYiLFAyWSzIg_13_0"/>
      <w:bookmarkStart w:id="743" w:name="Tc_j9r4XlGPyEaHXh2-Ee1a8g_12_12"/>
      <w:bookmarkStart w:id="744" w:name="Tc_W4tRFoBCikeBDj6-tOCQCQ_12_9"/>
      <w:bookmarkStart w:id="745" w:name="Tc_ymzcbX0YdkiqwpK41AWjCg_12_6"/>
      <w:bookmarkStart w:id="746" w:name="Tc_UYV5QaWsTkSCjXyKdUMf5g_12_3"/>
      <w:bookmarkStart w:id="747" w:name="Tc_ZQyNwpAJnkSznP9Yek-6xw_12_0"/>
      <w:bookmarkStart w:id="748" w:name="Tc_zlS6W0s9jUOMAI2zpTR51A_11_15"/>
      <w:bookmarkStart w:id="749" w:name="Tc_PKFcLT7WXUSC_FhUujyj1g_11_9"/>
      <w:bookmarkStart w:id="750" w:name="Tc_gdWILCUyskqrjwv0Vo8FpA_11_6"/>
      <w:bookmarkStart w:id="751" w:name="Tc_WgbCyvoDiUyWShkojwbkwg_11_3"/>
      <w:bookmarkStart w:id="752" w:name="Tc_d7lPUNQbEUiYmWVUWffOEw_11_0"/>
      <w:bookmarkStart w:id="753" w:name="Tc_Eh9qC2IWfUyvrvp-Vk3Sgg_10_15"/>
      <w:bookmarkStart w:id="754" w:name="Tc_5ieIPosOJU-dREVhN1EJbA_10_9"/>
      <w:bookmarkStart w:id="755" w:name="Tc_WBzp1NcjnEuWFid9Lf1Ztw_10_6"/>
      <w:bookmarkStart w:id="756" w:name="Tc_K4MX5MTarEue82ZkRHUFkw_10_3"/>
      <w:bookmarkStart w:id="757" w:name="Tc_IqgE1Qs58UiEIGIRpQxGCA_10_0"/>
      <w:bookmarkStart w:id="758" w:name="Tc_Tpkq8uageU-EM5KY73RW3w_9_15"/>
      <w:bookmarkStart w:id="759" w:name="Tc_IMR_mmBM-kKWBZDcEQRbYw_9_12"/>
      <w:bookmarkStart w:id="760" w:name="Tc_dH3wKiQSgEyHpRQiPxuPAQ_9_6"/>
      <w:bookmarkStart w:id="761" w:name="Tc_6oEh_Dm520KShhyqhskTUg_9_3"/>
      <w:bookmarkStart w:id="762" w:name="Tc_4W5zkYCzsEWPE0xG8AEx2Q_9_0"/>
      <w:bookmarkStart w:id="763" w:name="Tc_Aa8vKs5u8EKk6lRi7YWWUA_8_15"/>
      <w:bookmarkStart w:id="764" w:name="Tc_gYBTMxqis0iiskF8hRZ20A_8_3"/>
      <w:bookmarkStart w:id="765" w:name="Tc_7NF3Q4Ht90OycTsG460ksw_8_0"/>
      <w:bookmarkStart w:id="766" w:name="Tc_issFdnBhc0iNyCQiSIoiQQ_7_15"/>
      <w:bookmarkStart w:id="767" w:name="Tc_i_k80twrO0C_FZP-FKbX1A_7_12"/>
      <w:bookmarkStart w:id="768" w:name="Tc_1fcp-rJCqUa68Eooag2ckg_7_6"/>
      <w:bookmarkStart w:id="769" w:name="Tc_g3Bxt8HbF0Oc5z68TfeCUQ_7_0"/>
      <w:bookmarkStart w:id="770" w:name="Tc_QiLlFtkmYE-isYfNhshcJQ_6_15"/>
      <w:bookmarkStart w:id="771" w:name="Tc_icB8BvXuZE2QylpSiTjiTw_6_12"/>
      <w:bookmarkStart w:id="772" w:name="Tc_Mg-VR-UAYE2zGaCbn-yPtQ_6_6"/>
      <w:bookmarkStart w:id="773" w:name="Tc_YV0AGeiF7kSLSoGsH88d9g_6_3"/>
      <w:bookmarkStart w:id="774" w:name="Tc_-WwcC2txrkmRsWMmmUIEhw_6_0"/>
      <w:bookmarkStart w:id="775" w:name="Tc_hplI0YuWvUiJG_1azJXVsA_5_15"/>
      <w:bookmarkStart w:id="776" w:name="Tc_UOF2gxmGC0GeuJ6LWKRXBw_5_12"/>
      <w:bookmarkStart w:id="777" w:name="Tc_6WQfW3Huq0yV_4u-bH5loA_5_3"/>
      <w:bookmarkStart w:id="778" w:name="Tc_aDphlkGxckWOBMsXy3R32w_5_0"/>
      <w:bookmarkStart w:id="779" w:name="Tc_kRnp3PRyf0W-nSSr4lBmkg_4_15"/>
      <w:bookmarkStart w:id="780" w:name="Tc_hgjjUFkmsUWHRNgpjte0Uw_4_12"/>
      <w:bookmarkStart w:id="781" w:name="Tc_2CytiDMv8kaW3ySWDe43zg_4_6"/>
      <w:bookmarkStart w:id="782" w:name="Tc_2xKyogukUUOtzGW-MxnLrA_4_3"/>
      <w:bookmarkStart w:id="783" w:name="Tc_TFmNdvpoIkOyJuvJw-xEYQ_4_0"/>
      <w:bookmarkStart w:id="784" w:name="Tc_RhO2IkFkdk2WIwAJpqPwvg_3_15"/>
      <w:bookmarkStart w:id="785" w:name="Tc_FYJtVFjOXUeCiKuTSs4sKA_3_9"/>
      <w:bookmarkStart w:id="786" w:name="Tc_XvPDuPOIv0WX6J3bwQhlEg_3_6"/>
      <w:bookmarkStart w:id="787" w:name="Tc_DfvidZkH20-yZqDs0Jb9jw_3_3"/>
      <w:bookmarkStart w:id="788" w:name="Tc_WlSd3UF05k6yx91RkNluQg_3_0"/>
      <w:bookmarkStart w:id="789" w:name="Tc_auq0KWkJFkiLqB5Bdf3txA_2_17"/>
      <w:bookmarkStart w:id="790" w:name="Tc_lgibahV3R0KJq8ZB_u2lpQ_2_14"/>
      <w:bookmarkStart w:id="791" w:name="Tc_wuqx1Z6jyE2bg8aN7a3W9A_2_11"/>
      <w:bookmarkStart w:id="792" w:name="Tc_M0-g9zovJ02HTRuDd_VbLA_2_8"/>
      <w:bookmarkStart w:id="793" w:name="Tc_wNVBjUIP10GlT0xOo_z3Og_2_5"/>
      <w:bookmarkStart w:id="794" w:name="Tc_d6tIApMlikW1IcNruRgC-Q_2_2"/>
      <w:bookmarkStart w:id="795" w:name="Tc_-JF2NiUWLk67pAgX5BZilw_2_0"/>
      <w:bookmarkStart w:id="796" w:name="Tc_hphOoJ2c80Ol2MttVFHRDw_1_17"/>
      <w:bookmarkStart w:id="797" w:name="Tc_OtttgURlI0iEowAoelsz8Q_1_14"/>
      <w:bookmarkStart w:id="798" w:name="Tc__oeavOBTpUqU8bdg7g7yfw_1_11"/>
      <w:bookmarkStart w:id="799" w:name="Tc_3K5afB5ltEiXnuaX10yfhw_1_8"/>
      <w:bookmarkStart w:id="800" w:name="Tc_xha7FXxOIk6bsXVuZ3G94g_1_5"/>
      <w:bookmarkStart w:id="801" w:name="Tc_oeewXcab2kCfsEJVCaesaw_1_2"/>
      <w:bookmarkStart w:id="802" w:name="_10851fe3_6a13_42d9_be15_9548ceb62a6d"/>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tbl>
      <w:tblPr>
        <w:tblW w:w="10205" w:type="dxa"/>
        <w:jc w:val="left"/>
        <w:tblInd w:w="0" w:type="dxa"/>
        <w:tblLayout w:type="fixed"/>
        <w:tblCellMar>
          <w:top w:w="0" w:type="dxa"/>
          <w:left w:w="0" w:type="dxa"/>
          <w:bottom w:w="0" w:type="dxa"/>
          <w:right w:w="0" w:type="dxa"/>
        </w:tblCellMar>
      </w:tblPr>
      <w:tblGrid>
        <w:gridCol w:w="2293"/>
        <w:gridCol w:w="109"/>
        <w:gridCol w:w="337"/>
        <w:gridCol w:w="596"/>
        <w:gridCol w:w="109"/>
        <w:gridCol w:w="304"/>
        <w:gridCol w:w="585"/>
        <w:gridCol w:w="109"/>
        <w:gridCol w:w="268"/>
        <w:gridCol w:w="947"/>
        <w:gridCol w:w="109"/>
        <w:gridCol w:w="226"/>
        <w:gridCol w:w="812"/>
        <w:gridCol w:w="109"/>
        <w:gridCol w:w="486"/>
        <w:gridCol w:w="1421"/>
        <w:gridCol w:w="109"/>
        <w:gridCol w:w="250"/>
        <w:gridCol w:w="1026"/>
      </w:tblGrid>
      <w:tr>
        <w:trPr/>
        <w:tc>
          <w:tcPr>
            <w:tcW w:w="2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56055" cy="175260"/>
                      <wp:effectExtent l="0" t="0" r="0" b="0"/>
                      <wp:wrapNone/>
                      <wp:docPr id="89" name="Frame89"/>
                      <a:graphic xmlns:a="http://schemas.openxmlformats.org/drawingml/2006/main">
                        <a:graphicData uri="http://schemas.microsoft.com/office/word/2010/wordprocessingShape">
                          <wps:wsp>
                            <wps:cNvSpPr txBox="1"/>
                            <wps:spPr>
                              <a:xfrm>
                                <a:off x="0" y="0"/>
                                <a:ext cx="145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3995" cy="175260"/>
                      <wp:effectExtent l="0" t="0" r="0" b="0"/>
                      <wp:wrapNone/>
                      <wp:docPr id="91" name="Frame9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78460" cy="175260"/>
                      <wp:effectExtent l="0" t="0" r="0" b="0"/>
                      <wp:wrapNone/>
                      <wp:docPr id="92" name="Frame92"/>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93040" cy="175260"/>
                      <wp:effectExtent l="0" t="0" r="0" b="0"/>
                      <wp:wrapNone/>
                      <wp:docPr id="94" name="Frame9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71475" cy="175260"/>
                      <wp:effectExtent l="0" t="0" r="0" b="0"/>
                      <wp:wrapNone/>
                      <wp:docPr id="95" name="Frame95"/>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0180" cy="175260"/>
                      <wp:effectExtent l="0" t="0" r="0" b="0"/>
                      <wp:wrapNone/>
                      <wp:docPr id="97" name="Frame97"/>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01345" cy="175260"/>
                      <wp:effectExtent l="0" t="0" r="0" b="0"/>
                      <wp:wrapNone/>
                      <wp:docPr id="98" name="Frame98"/>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3510" cy="175260"/>
                      <wp:effectExtent l="0" t="0" r="0" b="0"/>
                      <wp:wrapNone/>
                      <wp:docPr id="100" name="Frame10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15620" cy="175260"/>
                      <wp:effectExtent l="0" t="0" r="0" b="0"/>
                      <wp:wrapNone/>
                      <wp:docPr id="101" name="Frame101"/>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2"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08610" cy="175260"/>
                      <wp:effectExtent l="0" t="0" r="0" b="0"/>
                      <wp:wrapNone/>
                      <wp:docPr id="103" name="Frame103"/>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902335" cy="175260"/>
                      <wp:effectExtent l="0" t="0" r="0" b="0"/>
                      <wp:wrapNone/>
                      <wp:docPr id="104" name="Frame104"/>
                      <a:graphic xmlns:a="http://schemas.openxmlformats.org/drawingml/2006/main">
                        <a:graphicData uri="http://schemas.microsoft.com/office/word/2010/wordprocessingShape">
                          <wps:wsp>
                            <wps:cNvSpPr txBox="1"/>
                            <wps:spPr>
                              <a:xfrm>
                                <a:off x="0" y="0"/>
                                <a:ext cx="90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58750" cy="175260"/>
                      <wp:effectExtent l="0" t="0" r="0" b="0"/>
                      <wp:wrapNone/>
                      <wp:docPr id="106" name="Frame10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51510" cy="175260"/>
                      <wp:effectExtent l="0" t="0" r="0" b="0"/>
                      <wp:wrapNone/>
                      <wp:docPr id="107" name="Frame107"/>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109" w:type="dxa"/>
            <w:tcBorders/>
            <w:vAlign w:val="center"/>
          </w:tcPr>
          <w:p>
            <w:pPr>
              <w:pStyle w:val="TableContents"/>
              <w:bidi w:val="0"/>
              <w:spacing w:before="0" w:after="0"/>
              <w:ind w:left="0" w:right="0" w:hanging="0"/>
              <w:jc w:val="left"/>
              <w:rPr/>
            </w:pPr>
            <w:r>
              <w:rPr/>
              <w:t>​</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vAlign w:val="center"/>
          </w:tcPr>
          <w:p>
            <w:pPr>
              <w:pStyle w:val="TableContents"/>
              <w:bidi w:val="0"/>
              <w:spacing w:before="0" w:after="0"/>
              <w:ind w:left="0" w:right="0" w:hanging="0"/>
              <w:jc w:val="center"/>
              <w:rPr/>
            </w:pPr>
            <w:r>
              <w:rPr/>
              <w:t>​</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Additional Paid-In Capital </w:t>
            </w:r>
          </w:p>
        </w:tc>
        <w:tc>
          <w:tcPr>
            <w:tcW w:w="109" w:type="dxa"/>
            <w:tcBorders/>
            <w:vAlign w:val="center"/>
          </w:tcPr>
          <w:p>
            <w:pPr>
              <w:pStyle w:val="TableContents"/>
              <w:bidi w:val="0"/>
              <w:spacing w:before="0" w:after="0"/>
              <w:ind w:left="0" w:right="0" w:hanging="0"/>
              <w:jc w:val="center"/>
              <w:rPr/>
            </w:pPr>
            <w:r>
              <w:rPr/>
              <w:t>​</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Earnings</w:t>
            </w:r>
          </w:p>
        </w:tc>
        <w:tc>
          <w:tcPr>
            <w:tcW w:w="109" w:type="dxa"/>
            <w:tcBorders/>
            <w:vAlign w:val="center"/>
          </w:tcPr>
          <w:p>
            <w:pPr>
              <w:pStyle w:val="TableContents"/>
              <w:bidi w:val="0"/>
              <w:spacing w:before="0" w:after="0"/>
              <w:ind w:left="0" w:right="0" w:hanging="0"/>
              <w:jc w:val="center"/>
              <w:rPr/>
            </w:pPr>
            <w:r>
              <w:rPr/>
              <w:t>​</w:t>
            </w:r>
          </w:p>
        </w:tc>
        <w:tc>
          <w:tcPr>
            <w:tcW w:w="1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 (Loss)</w:t>
            </w:r>
          </w:p>
        </w:tc>
        <w:tc>
          <w:tcPr>
            <w:tcW w:w="109" w:type="dxa"/>
            <w:tcBorders/>
            <w:vAlign w:val="center"/>
          </w:tcPr>
          <w:p>
            <w:pPr>
              <w:pStyle w:val="TableContents"/>
              <w:bidi w:val="0"/>
              <w:spacing w:before="0" w:after="0"/>
              <w:ind w:left="0" w:right="0" w:hanging="0"/>
              <w:jc w:val="center"/>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January 1, 2024</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168,435</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281,944</w:t>
            </w:r>
          </w:p>
        </w:tc>
        <w:tc>
          <w:tcPr>
            <w:tcW w:w="109"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6,891</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457,526</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Attributable to the Company</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13,252</w:t>
            </w:r>
          </w:p>
        </w:tc>
        <w:tc>
          <w:tcPr>
            <w:tcW w:w="109"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left"/>
              <w:rPr/>
            </w:pPr>
            <w:r>
              <w:rPr/>
              <w:t>​</w:t>
            </w:r>
          </w:p>
        </w:tc>
        <w:tc>
          <w:tcPr>
            <w:tcW w:w="1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13,252</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Repurchase</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left"/>
              <w:rPr/>
            </w:pPr>
            <w:r>
              <w:rPr/>
              <w:t>​</w:t>
            </w:r>
          </w:p>
        </w:tc>
        <w:tc>
          <w:tcPr>
            <w:tcW w:w="14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Restricted Stock and Performance Shares</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(1,275)</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left"/>
              <w:rPr/>
            </w:pPr>
            <w:r>
              <w:rPr/>
              <w:t>​</w:t>
            </w:r>
          </w:p>
        </w:tc>
        <w:tc>
          <w:tcPr>
            <w:tcW w:w="1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to Directors</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left"/>
              <w:rPr/>
            </w:pPr>
            <w:r>
              <w:rPr/>
              <w:t>​</w:t>
            </w:r>
          </w:p>
        </w:tc>
        <w:tc>
          <w:tcPr>
            <w:tcW w:w="14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Preferred Stock, Net of Underwriting Discount and Expenses</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32,979</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left"/>
              <w:rPr/>
            </w:pPr>
            <w:r>
              <w:rPr/>
              <w:t>​</w:t>
            </w:r>
          </w:p>
        </w:tc>
        <w:tc>
          <w:tcPr>
            <w:tcW w:w="1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32,996</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Issuance, Net of Equity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132,127</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left"/>
              <w:rPr/>
            </w:pPr>
            <w:r>
              <w:rPr/>
              <w:t>​</w:t>
            </w:r>
          </w:p>
        </w:tc>
        <w:tc>
          <w:tcPr>
            <w:tcW w:w="14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132,200</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2,307</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left"/>
              <w:rPr/>
            </w:pPr>
            <w:r>
              <w:rPr/>
              <w:t>​</w:t>
            </w:r>
          </w:p>
        </w:tc>
        <w:tc>
          <w:tcPr>
            <w:tcW w:w="1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2,307</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 Declared for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(4,936)</w:t>
            </w:r>
          </w:p>
        </w:tc>
        <w:tc>
          <w:tcPr>
            <w:tcW w:w="109"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left"/>
              <w:rPr/>
            </w:pPr>
            <w:r>
              <w:rPr/>
              <w:t>​</w:t>
            </w:r>
          </w:p>
        </w:tc>
        <w:tc>
          <w:tcPr>
            <w:tcW w:w="14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(4,936)</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for the Period</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(28,887)</w:t>
            </w:r>
          </w:p>
        </w:tc>
        <w:tc>
          <w:tcPr>
            <w:tcW w:w="109"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left"/>
              <w:rPr/>
            </w:pPr>
            <w:r>
              <w:rPr/>
              <w:t>​</w:t>
            </w:r>
          </w:p>
        </w:tc>
        <w:tc>
          <w:tcPr>
            <w:tcW w:w="1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(28,887)</w:t>
            </w:r>
          </w:p>
        </w:tc>
      </w:tr>
      <w:tr>
        <w:trPr/>
        <w:tc>
          <w:tcPr>
            <w:tcW w:w="2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(7,296)</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(7,296)</w:t>
            </w:r>
          </w:p>
        </w:tc>
      </w:tr>
      <w:tr>
        <w:trPr/>
        <w:tc>
          <w:tcPr>
            <w:tcW w:w="22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September 30, 2024</w:t>
            </w:r>
          </w:p>
        </w:tc>
        <w:tc>
          <w:tcPr>
            <w:tcW w:w="109"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334,467</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261,373</w:t>
            </w:r>
          </w:p>
        </w:tc>
        <w:tc>
          <w:tcPr>
            <w:tcW w:w="109" w:type="dxa"/>
            <w:tcBorders/>
            <w:vAlign w:val="center"/>
          </w:tcPr>
          <w:p>
            <w:pPr>
              <w:pStyle w:val="TableContents"/>
              <w:bidi w:val="0"/>
              <w:spacing w:before="0" w:after="0"/>
              <w:ind w:left="0" w:right="0" w:hanging="0"/>
              <w:jc w:val="left"/>
              <w:rPr/>
            </w:pPr>
            <w:r>
              <w:rPr/>
              <w:t>​</w:t>
            </w:r>
          </w:p>
        </w:tc>
        <w:tc>
          <w:tcPr>
            <w:tcW w:w="4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595,782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803" w:name="_9424c85a_d9b3_479c_9454_0238ab67505e"/>
      <w:bookmarkEnd w:id="803"/>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bookmarkStart w:id="804" w:name="CONSOLIDATEDSTATEMENTSOFCASHFLOWS_277552"/>
      <w:bookmarkEnd w:id="804"/>
      <w:r>
        <w:rPr>
          <w:rFonts w:ascii="Times New Roman;Times;serif" w:hAnsi="Times New Roman;Times;serif"/>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05" w:name="Tc_uxNil36Fqk6SsKF_OQRoZQ_60_5"/>
      <w:bookmarkStart w:id="806" w:name="Tc_pUa0EHmxHkyJQj2UEcndaA_60_2"/>
      <w:bookmarkStart w:id="807" w:name="Tc_5GckM7H_PkeXZndxSpoOUw_60_0"/>
      <w:bookmarkStart w:id="808" w:name="Tc_tWAR2_rntkCy25HP118AnA_59_0"/>
      <w:bookmarkStart w:id="809" w:name="Tc_6_Qu4aJR7E6gWTsv3ZIPYg_58_5"/>
      <w:bookmarkStart w:id="810" w:name="Tc_8BxOIEclwE2-3Zje3SpynQ_58_2"/>
      <w:bookmarkStart w:id="811" w:name="Tc_czJE9YWm80Cg2pxJ5EsfJA_58_0"/>
      <w:bookmarkStart w:id="812" w:name="Tc_50mzEC_8uUieg4Wp-gKb6A_57_0"/>
      <w:bookmarkStart w:id="813" w:name="Tc_kS2BHmvsfUGDaawEJPK9jw_55_5"/>
      <w:bookmarkStart w:id="814" w:name="Tc_zTqNRynqdEmirYY2CF1LnA_55_2"/>
      <w:bookmarkStart w:id="815" w:name="Tc_FzAteLCRM0muOUfEQuBM4w_55_0"/>
      <w:bookmarkStart w:id="816" w:name="Tc_Gw2BvkjSjEyLdgzaM2nhqA_54_0"/>
      <w:bookmarkStart w:id="817" w:name="Tc_xc2mdV3K2ECLfH49B0XNFg_53_0"/>
      <w:bookmarkStart w:id="818" w:name="Tc_CF9WGqfonUe7wvKiUkOuvQ_52_0"/>
      <w:bookmarkStart w:id="819" w:name="Tc_XrNcdr2WCUKYeTAyOtpa-g_51_0"/>
      <w:bookmarkStart w:id="820" w:name="Tc_yIXvakJl0kKbxJrFmI8ygA_50_0"/>
      <w:bookmarkStart w:id="821" w:name="Tc_3Np6lAmX2ES3Zk1ALD3ZrA_49_6"/>
      <w:bookmarkStart w:id="822" w:name="Tc_yZCM7ykzSEmNdxGI3pYPeg_49_0"/>
      <w:bookmarkStart w:id="823" w:name="Tc_N-6zrFkGYkGeVKAIi7j-uw_48_0"/>
      <w:bookmarkStart w:id="824" w:name="Tc_P1f4YFRAhkK3n-QFDrZStA_47_0"/>
      <w:bookmarkStart w:id="825" w:name="Tc_TPwOfckWZEyJQPIwdkgbCA_46_0"/>
      <w:bookmarkStart w:id="826" w:name="Tc_z9cVSXSXbkyAx5rqnFSq5w_45_3"/>
      <w:bookmarkStart w:id="827" w:name="Tc_OjAa5KQoJk64Q3Rn457Tpg_45_0"/>
      <w:bookmarkStart w:id="828" w:name="Tc_H53u1WuuvUi17sg0MJn3SQ_44_0"/>
      <w:bookmarkStart w:id="829" w:name="Tc_e9RV3i0uQU6Lc5NjTwYdmw_43_0"/>
      <w:bookmarkStart w:id="830" w:name="Tc_13hwXimMrUWRpcHt81PFHw_42_0"/>
      <w:bookmarkStart w:id="831" w:name="Tc_MysuLJ6Q5UC4aieZeW_S7g_41_0"/>
      <w:bookmarkStart w:id="832" w:name="Tc_cujrbj02Zku5s4Y5qHdifg_40_0"/>
      <w:bookmarkStart w:id="833" w:name="Tc_rzO0uxzusES-MhO0u9U4Xg_39_0"/>
      <w:bookmarkStart w:id="834" w:name="Tc_jFrzxbakNUKfk1rvislWGw_38_0"/>
      <w:bookmarkStart w:id="835" w:name="Tc_NoC5TFCeEkGd-QIB3iQS3g_37_0"/>
      <w:bookmarkStart w:id="836" w:name="Tc_hISUiM965EGfPMd7vx1doA_36_0"/>
      <w:bookmarkStart w:id="837" w:name="Tc_jxsITy1Fl0K51w7aBWlnMQ_35_3"/>
      <w:bookmarkStart w:id="838" w:name="Tc_oJzJHYFSmkOmr_hBgN1grw_35_0"/>
      <w:bookmarkStart w:id="839" w:name="Tc_RlTBVZgq_0iCmWZ8iVZ55g_34_0"/>
      <w:bookmarkStart w:id="840" w:name="Tc_JH3mqP8TaUykncGrbaW1rw_33_0"/>
      <w:bookmarkStart w:id="841" w:name="Tc_J-sc0Nk_j0S-ZQSLbcpk0w_32_0"/>
      <w:bookmarkStart w:id="842" w:name="Tc_AHvk-O6dRkOiFSBWwg17LA_31_0"/>
      <w:bookmarkStart w:id="843" w:name="Tc_iz5bCHJsnkOFXPbvh-i0Dw_30_0"/>
      <w:bookmarkStart w:id="844" w:name="Tc_bnI8cAqAakmEGlxwkV3v1g_29_0"/>
      <w:bookmarkStart w:id="845" w:name="Tc_tf0h7WlRPE6n9py00iG3xw_28_6"/>
      <w:bookmarkStart w:id="846" w:name="Tc_sV0hDxcyYkCtx0NoinP19w_28_0"/>
      <w:bookmarkStart w:id="847" w:name="Tc_HKlzlcjphUqeisu3VTah8w_27_0"/>
      <w:bookmarkStart w:id="848" w:name="Tc_lMxCMQoCwUmhW1IMV0XCCw_26_0"/>
      <w:bookmarkStart w:id="849" w:name="Tc_7oZlaN9FU02XjaxKQ5Vwpg_25_0"/>
      <w:bookmarkStart w:id="850" w:name="Tc_FZjmHD4vFEi860fcs9B6EA_24_0"/>
      <w:bookmarkStart w:id="851" w:name="Tc_olK0aL605kGH3D83m0Pk5Q_23_0"/>
      <w:bookmarkStart w:id="852" w:name="Tc_rerSPg1vuEiVK5BDUawJQA_22_3"/>
      <w:bookmarkStart w:id="853" w:name="Tc_I8O-Li4NpUyE2XmP-T7sKA_22_0"/>
      <w:bookmarkStart w:id="854" w:name="Tc_cI4GUtNvP0-nzYaqwmS5GA_21_3"/>
      <w:bookmarkStart w:id="855" w:name="Tc_r6drG3xu0kKxAeP3KG76SA_21_0"/>
      <w:bookmarkStart w:id="856" w:name="Tc_zO5eZlcrUk-GBHSODsAmWA_20_0"/>
      <w:bookmarkStart w:id="857" w:name="Tc_vV3vVb9gOU-AmQntfmBfgg_19_0"/>
      <w:bookmarkStart w:id="858" w:name="Tc_tlX3Wr0_dkC_blXFz8wjFg_18_0"/>
      <w:bookmarkStart w:id="859" w:name="Tc_mdvINYxXa0q1qmuogPIAwA_17_0"/>
      <w:bookmarkStart w:id="860" w:name="Tc_n33UB2N6eEGkIwJ8cwYCqw_16_0"/>
      <w:bookmarkStart w:id="861" w:name="Tc_zvgTOvhJ4UuEI-3u7yM2ZQ_15_0"/>
      <w:bookmarkStart w:id="862" w:name="Tc_hCn1mv87N0GyhE04Yd74MA_14_0"/>
      <w:bookmarkStart w:id="863" w:name="Tc_pqaecNv0CUeRBidLShKL-A_13_0"/>
      <w:bookmarkStart w:id="864" w:name="Tc_GQlKiBGgikmtRTv1TeryMA_12_6"/>
      <w:bookmarkStart w:id="865" w:name="Tc_EPIvrkMQ2kuDuLAHAyF81g_12_0"/>
      <w:bookmarkStart w:id="866" w:name="Tc_7fka9JhgdEWtjROb2vNriw_11_3"/>
      <w:bookmarkStart w:id="867" w:name="Tc_PW9ucfBpw0Oo89WrQo3D5Q_11_0"/>
      <w:bookmarkStart w:id="868" w:name="Tc__CiJG867cEeBH7zHoyM4Aw_10_0"/>
      <w:bookmarkStart w:id="869" w:name="Tc_EgCCha2PbEWtwtQQgyla9w_9_0"/>
      <w:bookmarkStart w:id="870" w:name="Tc_m89qDaEmTk-cbGC3dBDH0Q_8_0"/>
      <w:bookmarkStart w:id="871" w:name="Tc_pizF50vEzECkl4Hyv79kWw_7_0"/>
      <w:bookmarkStart w:id="872" w:name="Tc_n7u-HIM3Ckeb2C55HvadFw_6_0"/>
      <w:bookmarkStart w:id="873" w:name="Tc_CMxYRJcjjE2HeCdwTf3KfA_5_0"/>
      <w:bookmarkStart w:id="874" w:name="Tc_K4YUSP7rk06oJ3gMabcNCg_4_5"/>
      <w:bookmarkStart w:id="875" w:name="Tc__ehbRbcj8kKXVV72KZRwaw_4_2"/>
      <w:bookmarkStart w:id="876" w:name="Tc_u5pPv005QECSaIDrF3_P-g_4_0"/>
      <w:bookmarkStart w:id="877" w:name="Tc_T39xezG5N0GLmwP56Qhc4A_3_0"/>
      <w:bookmarkStart w:id="878" w:name="Tc_LSsm-dckyESj_vedABoo_Q_2_5"/>
      <w:bookmarkStart w:id="879" w:name="Tc_MpnWz7MDGk-hkruLb7M88Q_2_2"/>
      <w:bookmarkStart w:id="880" w:name="Tc_KcNJGKV7ZkCk9z2jAPZqjw_1_2"/>
      <w:bookmarkStart w:id="881" w:name="_d58c3c4a_e792_4381_bb17_8d1295cb5c7e"/>
      <w:bookmarkStart w:id="882" w:name="Tc_uxNil36Fqk6SsKF_OQRoZQ_60_5"/>
      <w:bookmarkStart w:id="883" w:name="Tc_pUa0EHmxHkyJQj2UEcndaA_60_2"/>
      <w:bookmarkStart w:id="884" w:name="Tc_5GckM7H_PkeXZndxSpoOUw_60_0"/>
      <w:bookmarkStart w:id="885" w:name="Tc_tWAR2_rntkCy25HP118AnA_59_0"/>
      <w:bookmarkStart w:id="886" w:name="Tc_6_Qu4aJR7E6gWTsv3ZIPYg_58_5"/>
      <w:bookmarkStart w:id="887" w:name="Tc_8BxOIEclwE2-3Zje3SpynQ_58_2"/>
      <w:bookmarkStart w:id="888" w:name="Tc_czJE9YWm80Cg2pxJ5EsfJA_58_0"/>
      <w:bookmarkStart w:id="889" w:name="Tc_50mzEC_8uUieg4Wp-gKb6A_57_0"/>
      <w:bookmarkStart w:id="890" w:name="Tc_kS2BHmvsfUGDaawEJPK9jw_55_5"/>
      <w:bookmarkStart w:id="891" w:name="Tc_zTqNRynqdEmirYY2CF1LnA_55_2"/>
      <w:bookmarkStart w:id="892" w:name="Tc_FzAteLCRM0muOUfEQuBM4w_55_0"/>
      <w:bookmarkStart w:id="893" w:name="Tc_Gw2BvkjSjEyLdgzaM2nhqA_54_0"/>
      <w:bookmarkStart w:id="894" w:name="Tc_xc2mdV3K2ECLfH49B0XNFg_53_0"/>
      <w:bookmarkStart w:id="895" w:name="Tc_CF9WGqfonUe7wvKiUkOuvQ_52_0"/>
      <w:bookmarkStart w:id="896" w:name="Tc_XrNcdr2WCUKYeTAyOtpa-g_51_0"/>
      <w:bookmarkStart w:id="897" w:name="Tc_yIXvakJl0kKbxJrFmI8ygA_50_0"/>
      <w:bookmarkStart w:id="898" w:name="Tc_3Np6lAmX2ES3Zk1ALD3ZrA_49_6"/>
      <w:bookmarkStart w:id="899" w:name="Tc_yZCM7ykzSEmNdxGI3pYPeg_49_0"/>
      <w:bookmarkStart w:id="900" w:name="Tc_N-6zrFkGYkGeVKAIi7j-uw_48_0"/>
      <w:bookmarkStart w:id="901" w:name="Tc_P1f4YFRAhkK3n-QFDrZStA_47_0"/>
      <w:bookmarkStart w:id="902" w:name="Tc_TPwOfckWZEyJQPIwdkgbCA_46_0"/>
      <w:bookmarkStart w:id="903" w:name="Tc_z9cVSXSXbkyAx5rqnFSq5w_45_3"/>
      <w:bookmarkStart w:id="904" w:name="Tc_OjAa5KQoJk64Q3Rn457Tpg_45_0"/>
      <w:bookmarkStart w:id="905" w:name="Tc_H53u1WuuvUi17sg0MJn3SQ_44_0"/>
      <w:bookmarkStart w:id="906" w:name="Tc_e9RV3i0uQU6Lc5NjTwYdmw_43_0"/>
      <w:bookmarkStart w:id="907" w:name="Tc_13hwXimMrUWRpcHt81PFHw_42_0"/>
      <w:bookmarkStart w:id="908" w:name="Tc_MysuLJ6Q5UC4aieZeW_S7g_41_0"/>
      <w:bookmarkStart w:id="909" w:name="Tc_cujrbj02Zku5s4Y5qHdifg_40_0"/>
      <w:bookmarkStart w:id="910" w:name="Tc_rzO0uxzusES-MhO0u9U4Xg_39_0"/>
      <w:bookmarkStart w:id="911" w:name="Tc_jFrzxbakNUKfk1rvislWGw_38_0"/>
      <w:bookmarkStart w:id="912" w:name="Tc_NoC5TFCeEkGd-QIB3iQS3g_37_0"/>
      <w:bookmarkStart w:id="913" w:name="Tc_hISUiM965EGfPMd7vx1doA_36_0"/>
      <w:bookmarkStart w:id="914" w:name="Tc_jxsITy1Fl0K51w7aBWlnMQ_35_3"/>
      <w:bookmarkStart w:id="915" w:name="Tc_oJzJHYFSmkOmr_hBgN1grw_35_0"/>
      <w:bookmarkStart w:id="916" w:name="Tc_RlTBVZgq_0iCmWZ8iVZ55g_34_0"/>
      <w:bookmarkStart w:id="917" w:name="Tc_JH3mqP8TaUykncGrbaW1rw_33_0"/>
      <w:bookmarkStart w:id="918" w:name="Tc_J-sc0Nk_j0S-ZQSLbcpk0w_32_0"/>
      <w:bookmarkStart w:id="919" w:name="Tc_AHvk-O6dRkOiFSBWwg17LA_31_0"/>
      <w:bookmarkStart w:id="920" w:name="Tc_iz5bCHJsnkOFXPbvh-i0Dw_30_0"/>
      <w:bookmarkStart w:id="921" w:name="Tc_bnI8cAqAakmEGlxwkV3v1g_29_0"/>
      <w:bookmarkStart w:id="922" w:name="Tc_tf0h7WlRPE6n9py00iG3xw_28_6"/>
      <w:bookmarkStart w:id="923" w:name="Tc_sV0hDxcyYkCtx0NoinP19w_28_0"/>
      <w:bookmarkStart w:id="924" w:name="Tc_HKlzlcjphUqeisu3VTah8w_27_0"/>
      <w:bookmarkStart w:id="925" w:name="Tc_lMxCMQoCwUmhW1IMV0XCCw_26_0"/>
      <w:bookmarkStart w:id="926" w:name="Tc_7oZlaN9FU02XjaxKQ5Vwpg_25_0"/>
      <w:bookmarkStart w:id="927" w:name="Tc_FZjmHD4vFEi860fcs9B6EA_24_0"/>
      <w:bookmarkStart w:id="928" w:name="Tc_olK0aL605kGH3D83m0Pk5Q_23_0"/>
      <w:bookmarkStart w:id="929" w:name="Tc_rerSPg1vuEiVK5BDUawJQA_22_3"/>
      <w:bookmarkStart w:id="930" w:name="Tc_I8O-Li4NpUyE2XmP-T7sKA_22_0"/>
      <w:bookmarkStart w:id="931" w:name="Tc_cI4GUtNvP0-nzYaqwmS5GA_21_3"/>
      <w:bookmarkStart w:id="932" w:name="Tc_r6drG3xu0kKxAeP3KG76SA_21_0"/>
      <w:bookmarkStart w:id="933" w:name="Tc_zO5eZlcrUk-GBHSODsAmWA_20_0"/>
      <w:bookmarkStart w:id="934" w:name="Tc_vV3vVb9gOU-AmQntfmBfgg_19_0"/>
      <w:bookmarkStart w:id="935" w:name="Tc_tlX3Wr0_dkC_blXFz8wjFg_18_0"/>
      <w:bookmarkStart w:id="936" w:name="Tc_mdvINYxXa0q1qmuogPIAwA_17_0"/>
      <w:bookmarkStart w:id="937" w:name="Tc_n33UB2N6eEGkIwJ8cwYCqw_16_0"/>
      <w:bookmarkStart w:id="938" w:name="Tc_zvgTOvhJ4UuEI-3u7yM2ZQ_15_0"/>
      <w:bookmarkStart w:id="939" w:name="Tc_hCn1mv87N0GyhE04Yd74MA_14_0"/>
      <w:bookmarkStart w:id="940" w:name="Tc_pqaecNv0CUeRBidLShKL-A_13_0"/>
      <w:bookmarkStart w:id="941" w:name="Tc_GQlKiBGgikmtRTv1TeryMA_12_6"/>
      <w:bookmarkStart w:id="942" w:name="Tc_EPIvrkMQ2kuDuLAHAyF81g_12_0"/>
      <w:bookmarkStart w:id="943" w:name="Tc_7fka9JhgdEWtjROb2vNriw_11_3"/>
      <w:bookmarkStart w:id="944" w:name="Tc_PW9ucfBpw0Oo89WrQo3D5Q_11_0"/>
      <w:bookmarkStart w:id="945" w:name="Tc__CiJG867cEeBH7zHoyM4Aw_10_0"/>
      <w:bookmarkStart w:id="946" w:name="Tc_EgCCha2PbEWtwtQQgyla9w_9_0"/>
      <w:bookmarkStart w:id="947" w:name="Tc_m89qDaEmTk-cbGC3dBDH0Q_8_0"/>
      <w:bookmarkStart w:id="948" w:name="Tc_pizF50vEzECkl4Hyv79kWw_7_0"/>
      <w:bookmarkStart w:id="949" w:name="Tc_n7u-HIM3Ckeb2C55HvadFw_6_0"/>
      <w:bookmarkStart w:id="950" w:name="Tc_CMxYRJcjjE2HeCdwTf3KfA_5_0"/>
      <w:bookmarkStart w:id="951" w:name="Tc_K4YUSP7rk06oJ3gMabcNCg_4_5"/>
      <w:bookmarkStart w:id="952" w:name="Tc__ehbRbcj8kKXVV72KZRwaw_4_2"/>
      <w:bookmarkStart w:id="953" w:name="Tc_u5pPv005QECSaIDrF3_P-g_4_0"/>
      <w:bookmarkStart w:id="954" w:name="Tc_T39xezG5N0GLmwP56Qhc4A_3_0"/>
      <w:bookmarkStart w:id="955" w:name="Tc_LSsm-dckyESj_vedABoo_Q_2_5"/>
      <w:bookmarkStart w:id="956" w:name="Tc_MpnWz7MDGk-hkruLb7M88Q_2_2"/>
      <w:bookmarkStart w:id="957" w:name="Tc_KcNJGKV7ZkCk9z2jAPZqjw_1_2"/>
      <w:bookmarkStart w:id="958" w:name="_d58c3c4a_e792_4381_bb17_8d1295cb5c7e"/>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p>
    <w:tbl>
      <w:tblPr>
        <w:tblW w:w="10205" w:type="dxa"/>
        <w:jc w:val="left"/>
        <w:tblInd w:w="0" w:type="dxa"/>
        <w:tblLayout w:type="fixed"/>
        <w:tblCellMar>
          <w:top w:w="0" w:type="dxa"/>
          <w:left w:w="0" w:type="dxa"/>
          <w:bottom w:w="0" w:type="dxa"/>
          <w:right w:w="0" w:type="dxa"/>
        </w:tblCellMar>
      </w:tblPr>
      <w:tblGrid>
        <w:gridCol w:w="7012"/>
        <w:gridCol w:w="109"/>
        <w:gridCol w:w="302"/>
        <w:gridCol w:w="1162"/>
        <w:gridCol w:w="109"/>
        <w:gridCol w:w="297"/>
        <w:gridCol w:w="1214"/>
      </w:tblGrid>
      <w:tr>
        <w:trPr/>
        <w:tc>
          <w:tcPr>
            <w:tcW w:w="70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91770" cy="175260"/>
                      <wp:effectExtent l="0" t="0" r="0" b="0"/>
                      <wp:wrapNone/>
                      <wp:docPr id="109" name="Frame109"/>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37870" cy="175260"/>
                      <wp:effectExtent l="0" t="0" r="0" b="0"/>
                      <wp:wrapNone/>
                      <wp:docPr id="110" name="Frame110"/>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88595" cy="175260"/>
                      <wp:effectExtent l="0" t="0" r="0" b="0"/>
                      <wp:wrapNone/>
                      <wp:docPr id="112" name="Frame11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70890" cy="175260"/>
                      <wp:effectExtent l="0" t="0" r="0" b="0"/>
                      <wp:wrapNone/>
                      <wp:docPr id="113" name="Frame113"/>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70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109" w:type="dxa"/>
            <w:tcBorders/>
            <w:vAlign w:val="center"/>
          </w:tcPr>
          <w:p>
            <w:pPr>
              <w:pStyle w:val="TableContents"/>
              <w:bidi w:val="0"/>
              <w:spacing w:before="0" w:after="0"/>
              <w:ind w:left="0" w:right="0" w:hanging="0"/>
              <w:jc w:val="left"/>
              <w:rPr/>
            </w:pPr>
            <w:r>
              <w:rPr/>
              <w:t>​</w:t>
            </w:r>
          </w:p>
        </w:tc>
        <w:tc>
          <w:tcPr>
            <w:tcW w:w="15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left"/>
              <w:rPr/>
            </w:pPr>
            <w:r>
              <w:rPr/>
              <w:t>​</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the Company</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(18,243)</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13,252 </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Attributable to the Company to 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left"/>
              <w:rPr/>
            </w:pPr>
            <w:r>
              <w:rPr/>
              <w:t>​</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44,587 </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35,701 </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 and Liabilities to Income Property Revenue</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(896)</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830 </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940 </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758 </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Discount on Convertible Debt</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 </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119 </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Real Estate and Intangible Lease Assets and Liabilities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(3,763)</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Subsurface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(4,545)</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Extinguishment of Debt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20,449</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pPr>
            <w:r>
              <w:rPr/>
              <w:t>—</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653 </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Non-Cash Imputed Interest </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 </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(Gain) on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5,829</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(2,250)</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3,222 </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2,887 </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left"/>
              <w:rPr/>
            </w:pPr>
            <w:r>
              <w:rPr/>
              <w:t>​</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Refundable Income Taxes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Land and Development Costs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 </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Mitigation Credits and Mitigation Credit Rights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1,044</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(2,357)</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(3,985)</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left"/>
              <w:rPr/>
            </w:pPr>
            <w:r>
              <w:rPr/>
              <w:t>​</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(1,431)</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and Other Liabilities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4,060 </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4,775 </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3,179 </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971 </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 </w:t>
            </w:r>
          </w:p>
        </w:tc>
        <w:tc>
          <w:tcPr>
            <w:tcW w:w="109"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57,738 </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45,833 </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left"/>
              <w:rPr/>
            </w:pPr>
            <w:r>
              <w:rPr/>
              <w:t>​</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Real Estate and Intangible Lease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(80,022)</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(207,757)</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Investments in and Improvements to Real Estate</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(7,198)</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(9,229)</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(12,786)</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(60,206)</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Property, Plant, and Equipment, Net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6,699</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37,157</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Subsurface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4,974</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Received on Commercial Loans and Investments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6,038</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18,517</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(8,775)</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the Sale of Investment Securities</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w:t>
            </w:r>
          </w:p>
        </w:tc>
        <w:tc>
          <w:tcPr>
            <w:tcW w:w="109"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1,655</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(95,305)</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(215,336)</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left"/>
              <w:rPr/>
            </w:pPr>
            <w:r>
              <w:rPr/>
              <w:t>​</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327,000 </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318,000 </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(226,272)</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(286,000)</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(1,514)</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(989)</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Proceeds from Common Stock Issuance</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Preferred Stock, Net of Underwriting Discount and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32,996</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to Purchase Common Stock</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(4,345)</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Vesting of Restricted Stock</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(Cash Paid for) Issuance of Common and Preferred Stock, Net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132,200</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Premium Related to Settlement of 2025 Notes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(14,110)</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Preferred Stock</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(5,634)</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(4,936)</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 -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(36,820)</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(28,339)</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37,776 </w:t>
            </w:r>
          </w:p>
        </w:tc>
        <w:tc>
          <w:tcPr>
            <w:tcW w:w="109"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161,552 </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Cash Equivalents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209 </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(7,951)</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17,361 </w:t>
            </w:r>
          </w:p>
        </w:tc>
        <w:tc>
          <w:tcPr>
            <w:tcW w:w="109"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17,819 </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17,570 </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9,868 </w:t>
            </w:r>
          </w:p>
        </w:tc>
      </w:tr>
      <w:tr>
        <w:trPr/>
        <w:tc>
          <w:tcPr>
            <w:tcW w:w="70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left"/>
              <w:rPr/>
            </w:pPr>
            <w:r>
              <w:rPr/>
              <w:t>​</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Reconciliation of Cash to the Consolidated Balance Sheets:</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left"/>
              <w:rPr/>
            </w:pPr>
            <w:r>
              <w:rPr/>
              <w:t>​</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9,281 </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8,172 </w:t>
            </w:r>
          </w:p>
        </w:tc>
      </w:tr>
      <w:tr>
        <w:trPr/>
        <w:tc>
          <w:tcPr>
            <w:tcW w:w="701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8,289 </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1,696 </w:t>
            </w:r>
          </w:p>
        </w:tc>
      </w:tr>
      <w:tr>
        <w:trPr/>
        <w:tc>
          <w:tcPr>
            <w:tcW w:w="7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Cash </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17,570 </w:t>
            </w:r>
          </w:p>
        </w:tc>
        <w:tc>
          <w:tcPr>
            <w:tcW w:w="109"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 xml:space="preserve">9,868 </w:t>
            </w:r>
          </w:p>
        </w:tc>
      </w:tr>
    </w:tbl>
    <w:p>
      <w:pPr>
        <w:pStyle w:val="TextBody"/>
        <w:bidi w:val="0"/>
        <w:spacing w:before="4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CTO REALTY GROWTH,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CASH FLOWS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959" w:name="Tc_eGwWz2Kxa0ialsDSnwQ42g_11_6"/>
      <w:bookmarkStart w:id="960" w:name="Tc_j01ZQ8x6DUm1ngDjwlfAeQ_11_5"/>
      <w:bookmarkStart w:id="961" w:name="Tc_mHgb3W9I9E6MpjiLp60Zpw_11_2"/>
      <w:bookmarkStart w:id="962" w:name="Tc_My3qTHLuF0uTueEW35TOjQ_11_0"/>
      <w:bookmarkStart w:id="963" w:name="Tc__YnCwtYcQUqx_KziX9uTGA_10_6"/>
      <w:bookmarkStart w:id="964" w:name="Tc_Hy6jH4nk_EGV1wj1RyJJ3Q_10_5"/>
      <w:bookmarkStart w:id="965" w:name="Tc_AlB47oq0AUeStonaxyf5-w_10_2"/>
      <w:bookmarkStart w:id="966" w:name="Tc_7x9DuiBUuk626lTRybWgmg_10_0"/>
      <w:bookmarkStart w:id="967" w:name="Tc_ALkNPGjIxEyNVk-ZHmWjow_9_5"/>
      <w:bookmarkStart w:id="968" w:name="Tc_0y2vC_yRy02q5TRLgADvrA_9_2"/>
      <w:bookmarkStart w:id="969" w:name="Tc_3afAKCHUak6_4vG4Y_FQ7A_9_0"/>
      <w:bookmarkStart w:id="970" w:name="Tc_nbtWlbVUBUS51FbacC7TOg_8_5"/>
      <w:bookmarkStart w:id="971" w:name="Tc_kRvtr529qEW7CB1Hwwzh2g_8_2"/>
      <w:bookmarkStart w:id="972" w:name="Tc_d-FGTC12tke54GBQ7H7aAg_8_0"/>
      <w:bookmarkStart w:id="973" w:name="Tc_wjbk-zvglEWXZHv7mLPL7w_7_0"/>
      <w:bookmarkStart w:id="974" w:name="Tc_8k9X5ZfV4UmU3VccheywlQ_5_5"/>
      <w:bookmarkStart w:id="975" w:name="Tc_lTSJo5V_I0yTFhe1nQoRVA_5_2"/>
      <w:bookmarkStart w:id="976" w:name="Tc_3Y3VHKi58kOdMm8MeKqm_w_5_0"/>
      <w:bookmarkStart w:id="977" w:name="Tc_JaHpDTqUuE63u-5Z5Rg_uQ_4_5"/>
      <w:bookmarkStart w:id="978" w:name="Tc_zfGZRLZAI0SnXXXePlzd2Q_4_2"/>
      <w:bookmarkStart w:id="979" w:name="Tc_ucSHklHmzE22hFzDEgFmlw_4_0"/>
      <w:bookmarkStart w:id="980" w:name="Tc_18feMLPLZ0y3cNGixmuGWQ_3_0"/>
      <w:bookmarkStart w:id="981" w:name="Tc_2moWSyz_IkCm8uYrCeuT8Q_2_5"/>
      <w:bookmarkStart w:id="982" w:name="Tc_KdgTYZSQHU6w-yH9mDwchQ_2_2"/>
      <w:bookmarkStart w:id="983" w:name="Tc_22Ng1YkBfka2MB8JhYDEIQ_1_2"/>
      <w:bookmarkStart w:id="984" w:name="_ed239678_fcf7_49bd_b13d_315aa7dd1621"/>
      <w:bookmarkStart w:id="985" w:name="Tc_eGwWz2Kxa0ialsDSnwQ42g_11_6"/>
      <w:bookmarkStart w:id="986" w:name="Tc_j01ZQ8x6DUm1ngDjwlfAeQ_11_5"/>
      <w:bookmarkStart w:id="987" w:name="Tc_mHgb3W9I9E6MpjiLp60Zpw_11_2"/>
      <w:bookmarkStart w:id="988" w:name="Tc_My3qTHLuF0uTueEW35TOjQ_11_0"/>
      <w:bookmarkStart w:id="989" w:name="Tc__YnCwtYcQUqx_KziX9uTGA_10_6"/>
      <w:bookmarkStart w:id="990" w:name="Tc_Hy6jH4nk_EGV1wj1RyJJ3Q_10_5"/>
      <w:bookmarkStart w:id="991" w:name="Tc_AlB47oq0AUeStonaxyf5-w_10_2"/>
      <w:bookmarkStart w:id="992" w:name="Tc_7x9DuiBUuk626lTRybWgmg_10_0"/>
      <w:bookmarkStart w:id="993" w:name="Tc_ALkNPGjIxEyNVk-ZHmWjow_9_5"/>
      <w:bookmarkStart w:id="994" w:name="Tc_0y2vC_yRy02q5TRLgADvrA_9_2"/>
      <w:bookmarkStart w:id="995" w:name="Tc_3afAKCHUak6_4vG4Y_FQ7A_9_0"/>
      <w:bookmarkStart w:id="996" w:name="Tc_nbtWlbVUBUS51FbacC7TOg_8_5"/>
      <w:bookmarkStart w:id="997" w:name="Tc_kRvtr529qEW7CB1Hwwzh2g_8_2"/>
      <w:bookmarkStart w:id="998" w:name="Tc_d-FGTC12tke54GBQ7H7aAg_8_0"/>
      <w:bookmarkStart w:id="999" w:name="Tc_wjbk-zvglEWXZHv7mLPL7w_7_0"/>
      <w:bookmarkStart w:id="1000" w:name="Tc_8k9X5ZfV4UmU3VccheywlQ_5_5"/>
      <w:bookmarkStart w:id="1001" w:name="Tc_lTSJo5V_I0yTFhe1nQoRVA_5_2"/>
      <w:bookmarkStart w:id="1002" w:name="Tc_3Y3VHKi58kOdMm8MeKqm_w_5_0"/>
      <w:bookmarkStart w:id="1003" w:name="Tc_JaHpDTqUuE63u-5Z5Rg_uQ_4_5"/>
      <w:bookmarkStart w:id="1004" w:name="Tc_zfGZRLZAI0SnXXXePlzd2Q_4_2"/>
      <w:bookmarkStart w:id="1005" w:name="Tc_ucSHklHmzE22hFzDEgFmlw_4_0"/>
      <w:bookmarkStart w:id="1006" w:name="Tc_18feMLPLZ0y3cNGixmuGWQ_3_0"/>
      <w:bookmarkStart w:id="1007" w:name="Tc_2moWSyz_IkCm8uYrCeuT8Q_2_5"/>
      <w:bookmarkStart w:id="1008" w:name="Tc_KdgTYZSQHU6w-yH9mDwchQ_2_2"/>
      <w:bookmarkStart w:id="1009" w:name="Tc_22Ng1YkBfka2MB8JhYDEIQ_1_2"/>
      <w:bookmarkStart w:id="1010" w:name="_ed239678_fcf7_49bd_b13d_315aa7dd1621"/>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tbl>
      <w:tblPr>
        <w:tblW w:w="8574" w:type="dxa"/>
        <w:jc w:val="left"/>
        <w:tblInd w:w="0" w:type="dxa"/>
        <w:tblLayout w:type="fixed"/>
        <w:tblCellMar>
          <w:top w:w="0" w:type="dxa"/>
          <w:left w:w="0" w:type="dxa"/>
          <w:bottom w:w="0" w:type="dxa"/>
          <w:right w:w="0" w:type="dxa"/>
        </w:tblCellMar>
      </w:tblPr>
      <w:tblGrid>
        <w:gridCol w:w="5221"/>
        <w:gridCol w:w="109"/>
        <w:gridCol w:w="352"/>
        <w:gridCol w:w="1193"/>
        <w:gridCol w:w="109"/>
        <w:gridCol w:w="370"/>
        <w:gridCol w:w="1220"/>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315335" cy="175260"/>
                      <wp:effectExtent l="0" t="0" r="0" b="0"/>
                      <wp:wrapNone/>
                      <wp:docPr id="114" name="Frame114"/>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23520" cy="175260"/>
                      <wp:effectExtent l="0" t="0" r="0" b="0"/>
                      <wp:wrapNone/>
                      <wp:docPr id="116" name="Frame11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757555" cy="175260"/>
                      <wp:effectExtent l="0" t="0" r="0" b="0"/>
                      <wp:wrapNone/>
                      <wp:docPr id="117" name="Frame117"/>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34950" cy="175260"/>
                      <wp:effectExtent l="0" t="0" r="0" b="0"/>
                      <wp:wrapNone/>
                      <wp:docPr id="119" name="Frame11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74700" cy="175260"/>
                      <wp:effectExtent l="0" t="0" r="0" b="0"/>
                      <wp:wrapNone/>
                      <wp:docPr id="120" name="Frame120"/>
                      <a:graphic xmlns:a="http://schemas.openxmlformats.org/drawingml/2006/main">
                        <a:graphicData uri="http://schemas.microsoft.com/office/word/2010/wordprocessingShape">
                          <wps:wsp>
                            <wps:cNvSpPr txBox="1"/>
                            <wps:spPr>
                              <a:xfrm>
                                <a:off x="0" y="0"/>
                                <a:ext cx="774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109" w:type="dxa"/>
            <w:tcBorders/>
            <w:vAlign w:val="center"/>
          </w:tcPr>
          <w:p>
            <w:pPr>
              <w:pStyle w:val="TableContents"/>
              <w:bidi w:val="0"/>
              <w:spacing w:before="0" w:after="0"/>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109" w:type="dxa"/>
            <w:tcBorders/>
            <w:shd w:fill="CCEEFF" w:val="cle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 Net of Refunds Received</w:t>
            </w:r>
          </w:p>
        </w:tc>
        <w:tc>
          <w:tcPr>
            <w:tcW w:w="109"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109"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r>
      <w:tr>
        <w:trPr/>
        <w:tc>
          <w:tcPr>
            <w:tcW w:w="52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Cash Paid for Interest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16,950</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15,640</w:t>
            </w:r>
          </w:p>
        </w:tc>
      </w:tr>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1220" w:type="dxa"/>
            <w:tcBorders/>
            <w:vAlign w:val="center"/>
          </w:tcPr>
          <w:p>
            <w:pPr>
              <w:pStyle w:val="TableContents"/>
              <w:bidi w:val="0"/>
              <w:spacing w:before="0" w:after="0"/>
              <w:ind w:left="0" w:right="0" w:hanging="0"/>
              <w:jc w:val="lef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Non-Cash Investing and Financing Activities:</w:t>
            </w:r>
          </w:p>
        </w:tc>
        <w:tc>
          <w:tcPr>
            <w:tcW w:w="109" w:type="dxa"/>
            <w:tcBorders/>
            <w:shd w:fill="CCEEFF" w:val="cle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1220" w:type="dxa"/>
            <w:tcBorders/>
            <w:shd w:fill="CCEEFF" w:val="clear"/>
            <w:vAlign w:val="center"/>
          </w:tcPr>
          <w:p>
            <w:pPr>
              <w:pStyle w:val="TableContents"/>
              <w:bidi w:val="0"/>
              <w:spacing w:before="0" w:after="0"/>
              <w:ind w:left="0" w:right="0" w:hanging="0"/>
              <w:jc w:val="lef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Cash Flow Hedges</w:t>
            </w:r>
          </w:p>
        </w:tc>
        <w:tc>
          <w:tcPr>
            <w:tcW w:w="109"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(13,101)</w:t>
            </w:r>
          </w:p>
        </w:tc>
        <w:tc>
          <w:tcPr>
            <w:tcW w:w="109"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(7,296)</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Dividends Declared and Unpaid</w:t>
            </w:r>
          </w:p>
        </w:tc>
        <w:tc>
          <w:tcPr>
            <w:tcW w:w="109" w:type="dxa"/>
            <w:tcBorders/>
            <w:shd w:fill="CCEEFF" w:val="cle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Related to Settlement of 2025 Notes, Paid in Common Stock</w:t>
            </w:r>
          </w:p>
        </w:tc>
        <w:tc>
          <w:tcPr>
            <w:tcW w:w="109"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14,762</w:t>
            </w:r>
          </w:p>
        </w:tc>
        <w:tc>
          <w:tcPr>
            <w:tcW w:w="109"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0"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Premium Related to Settlement of 2025 Notes, Paid in Common Stock</w:t>
            </w:r>
          </w:p>
        </w:tc>
        <w:tc>
          <w:tcPr>
            <w:tcW w:w="109" w:type="dxa"/>
            <w:tcBorders/>
            <w:shd w:fill="CCEEFF" w:val="cle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6,286</w:t>
            </w:r>
          </w:p>
        </w:tc>
        <w:tc>
          <w:tcPr>
            <w:tcW w:w="109"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20" w:type="dxa"/>
            <w:tcBorders/>
            <w:shd w:fill="CCEEFF" w:val="clear"/>
            <w:vAlign w:val="center"/>
          </w:tcPr>
          <w:p>
            <w:pPr>
              <w:pStyle w:val="TableContents"/>
              <w:bidi w:val="0"/>
              <w:spacing w:before="0" w:after="0"/>
              <w:ind w:left="0" w:right="60" w:hanging="0"/>
              <w:jc w:val="right"/>
              <w:rPr/>
            </w:pPr>
            <w:r>
              <w:rPr/>
              <w:t>—</w:t>
            </w:r>
          </w:p>
        </w:tc>
      </w:tr>
    </w:tbl>
    <w:p>
      <w:pPr>
        <w:pStyle w:val="TextBody"/>
        <w:pBdr/>
        <w:bidi w:val="0"/>
        <w:spacing w:lineRule="auto" w:line="240" w:before="0" w:after="0"/>
        <w:ind w:left="0" w:right="0" w:hanging="360"/>
        <w:jc w:val="both"/>
        <w:rPr>
          <w:rFonts w:ascii="Times New Roman;Times;serif" w:hAnsi="Times New Roman;Times;serif"/>
          <w:sz w:val="20"/>
        </w:rPr>
      </w:pPr>
      <w:r>
        <w:rPr>
          <w:rFonts w:ascii="Times New Roman;Times;serif" w:hAnsi="Times New Roman;Times;serif"/>
          <w:sz w:val="12"/>
        </w:rPr>
        <w:t xml:space="preserve">(1)     </w:t>
      </w:r>
      <w:r>
        <w:rPr>
          <w:rFonts w:ascii="Times New Roman;Times;serif" w:hAnsi="Times New Roman;Times;serif"/>
          <w:sz w:val="14"/>
        </w:rPr>
        <w:t>Includes capitalized interest of $0.1</w:t>
      </w:r>
      <w:r>
        <w:rPr>
          <w:rFonts w:ascii="Times New Roman;Times;serif" w:hAnsi="Times New Roman;Times;serif"/>
          <w:sz w:val="20"/>
        </w:rPr>
        <w:t xml:space="preserve"> </w:t>
      </w:r>
      <w:r>
        <w:rPr>
          <w:rFonts w:ascii="Times New Roman;Times;serif" w:hAnsi="Times New Roman;Times;serif"/>
          <w:sz w:val="14"/>
        </w:rPr>
        <w:t>million during each of the nine months ended September 30, 2025 and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11" w:name="_958cf71a_b003_476b_be2d_2089c6b534c6"/>
      <w:bookmarkEnd w:id="1011"/>
      <w:r>
        <w:rPr>
          <w:rFonts w:ascii="Times New Roman;Times;serif" w:hAnsi="Times New Roman;Times;serif"/>
          <w:b/>
          <w:sz w:val="20"/>
        </w:rPr>
        <w:t>NOTES TO CONSOLIDATED FINANCIAL STATEMENTS (UNAUDITED)</w:t>
      </w:r>
    </w:p>
    <w:p>
      <w:pPr>
        <w:pStyle w:val="TextBody"/>
        <w:bidi w:val="0"/>
        <w:spacing w:before="0" w:after="0"/>
        <w:ind w:left="0" w:right="0" w:hanging="0"/>
        <w:jc w:val="both"/>
        <w:rPr>
          <w:rFonts w:ascii="Times New Roman;Times;serif" w:hAnsi="Times New Roman;Times;serif"/>
          <w:b/>
          <w:sz w:val="20"/>
        </w:rPr>
      </w:pPr>
      <w:bookmarkStart w:id="1012" w:name="BUSINESS_DESCRIPTION"/>
      <w:bookmarkStart w:id="1013" w:name="NOTE1DESCRIPTIONOFBUSINESSANDPRINCIPLES"/>
      <w:bookmarkEnd w:id="1012"/>
      <w:bookmarkEnd w:id="1013"/>
      <w:r>
        <w:rPr>
          <w:rFonts w:ascii="Times New Roman;Times;serif" w:hAnsi="Times New Roman;Times;serif"/>
          <w:b/>
          <w:sz w:val="20"/>
        </w:rPr>
        <w:t xml:space="preserve">NOTE 1. DESCRIPTION OF BUSINESS </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terms “us,” “we,” “our,” and “the Company” as used in this report refer to CTO Realty Growth, Inc. together with our consolidated subsidiaries.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sz w:val="20"/>
          <w:shd w:fill="FFFFFF" w:val="clear"/>
        </w:rPr>
        <w:t>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September 30, 2025, we own and manage, sometimes utilizing third-party property management companies, 21 commercial real estate properties in seven states in the United States, comprising 5.2 million square feet of gross leasable space. In addition to our income property portfolio, as of September 30, 2025, our business included the following: </w:t>
      </w:r>
    </w:p>
    <w:p>
      <w:pPr>
        <w:pStyle w:val="TextBody"/>
        <w:pBd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Management Services: A fee-based management business that is engaged in managing Alpine Income Property Trust, Inc.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 </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two preferred equity investments which are classified as commercial loan investments.</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Real Estate Operations: During the year ended December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Investment in PINE: Our business also includes our investment in PINE. As of September 30, 2025, the fair value of our investment totaled $35.0 million, or 16.1%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Interim Financial Information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2024,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results of operations for the three and nine months ended September 30, 2025 are not necessarily indicative of results to be expected for the year ending December 31,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bookmarkStart w:id="1014" w:name="_d271d61a_9ab7_4a39_bef7_d6e57bd5d8df_5"/>
      <w:bookmarkStart w:id="1015" w:name="_d271d61a_9ab7_4a39_bef7_d6e57bd5d8df_4"/>
      <w:bookmarkStart w:id="1016" w:name="_d271d61a_9ab7_4a39_bef7_d6e57bd5d8df_3"/>
      <w:bookmarkStart w:id="1017" w:name="_d271d61a_9ab7_4a39_bef7_d6e57bd5d8df_2"/>
      <w:bookmarkStart w:id="1018" w:name="_d271d61a_9ab7_4a39_bef7_d6e57bd5d8df"/>
      <w:bookmarkEnd w:id="1014"/>
      <w:bookmarkEnd w:id="1015"/>
      <w:bookmarkEnd w:id="1016"/>
      <w:bookmarkEnd w:id="1017"/>
      <w:bookmarkEnd w:id="1018"/>
      <w:r>
        <w:rPr>
          <w:rFonts w:ascii="Times New Roman;Times;serif" w:hAnsi="Times New Roman;Times;serif"/>
          <w:b/>
          <w:i/>
          <w:sz w:val="20"/>
        </w:rPr>
        <w:t>Principles of Consolidation</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September 30, 2025, the Company has an equity investment in PINE.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Segment Reporting</w:t>
      </w:r>
    </w:p>
    <w:p>
      <w:pPr>
        <w:pStyle w:val="TextBody"/>
        <w:bidi w:val="0"/>
        <w:spacing w:before="0" w:after="0"/>
        <w:ind w:left="0" w:right="0" w:hanging="0"/>
        <w:jc w:val="both"/>
        <w:rPr>
          <w:shd w:fill="FFFFFF" w:val="clear"/>
        </w:rPr>
      </w:pPr>
      <w:r>
        <w:rPr>
          <w:shd w:fill="FFFFFF" w:val="clea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ASC Topic 280</w:t>
      </w:r>
      <w:r>
        <w:rPr>
          <w:rFonts w:ascii="Times New Roman;Times;serif" w:hAnsi="Times New Roman;Times;serif"/>
          <w:i/>
          <w:sz w:val="20"/>
        </w:rPr>
        <w:t>, Segment Reporting</w:t>
      </w:r>
      <w:r>
        <w:rPr>
          <w:rFonts w:ascii="Times New Roman;Times;serif" w:hAnsi="Times New Roman;Times;serif"/>
          <w:sz w:val="20"/>
        </w:rPr>
        <w:t>, establishes standards related to the manner in which enterprises report operating segment information. The Company operates in four primary business segments including income properties, management services, commercial loans and investments, and real estate operations, as further discussed within Note 22, “Business Segment Data”.  The Company has no other reportable segments. The Company’s chief executive officer, who is the chief operating decision maker, reviews financial information on a disaggregated basis for purposes of allocating and evaluating financial performance.</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Real Estate</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real estate assets are carried at cost, less accumulated depreciation and amortization and impairment losses, if any. Such assets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Company’s consolidated statement of operations. The amount of depreciation of real estate, exclusive of amortization related to intangible assets, recognized for the three months ended September 30, 2025 and September 30, 2024, was $9.0 million and $8.0 million, respectively. The amount of depreciation of real estate, exclusive of amortization related to intangible assets, recognized for the nine months ended September 30, 2025 and September 30, 2024, was $26.3 million and $21.2 million,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Long-Lived Assets</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in conducting its impairment analyses. The Company reviews the recoverability of long-lived assets, including land and development costs, real estate held for sale, and property, plant, and equipment,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our management. Long-lived assets are evaluated for impairment by using an undiscounted cash flow approach, which considers future estimated capital expenditures. Impairment of long-lived assets is measured at fair value less cost to sell. </w:t>
      </w:r>
    </w:p>
    <w:p>
      <w:pPr>
        <w:pStyle w:val="TextBody"/>
        <w:bidi w:val="0"/>
        <w:spacing w:before="100" w:after="100"/>
        <w:ind w:left="0" w:right="0" w:firstLine="48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 in the Preparation of Financial Statements</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Cash and cash equivalents includes cash on hand, bank demand accounts, and money market accounts having original maturities of 90 days or less. The Company’s bank balances as of September 30, 2025 and December 31, 2024 include certain amounts over the Federal Deposit Insurance Corporation limits.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Restricted cash totaled $</w:t>
      </w:r>
      <w:r>
        <w:rPr>
          <w:rFonts w:ascii="Times New Roman;Times;serif" w:hAnsi="Times New Roman;Times;serif"/>
          <w:sz w:val="20"/>
        </w:rPr>
        <w:t>8.3</w:t>
      </w:r>
      <w:r>
        <w:rPr>
          <w:rFonts w:ascii="Times New Roman;Times;serif" w:hAnsi="Times New Roman;Times;serif"/>
          <w:sz w:val="20"/>
          <w:shd w:fill="FFFFFF" w:val="clear"/>
        </w:rPr>
        <w:t> million at September 30, 2025, which is being held in </w:t>
      </w:r>
      <w:r>
        <w:rPr>
          <w:rFonts w:ascii="Times New Roman;Times;serif" w:hAnsi="Times New Roman;Times;serif"/>
          <w:sz w:val="20"/>
        </w:rPr>
        <w:t>four</w:t>
      </w:r>
      <w:r>
        <w:rPr>
          <w:rFonts w:ascii="Times New Roman;Times;serif" w:hAnsi="Times New Roman;Times;serif"/>
          <w:sz w:val="20"/>
          <w:shd w:fill="FFFFFF" w:val="clear"/>
        </w:rPr>
        <w:t> reserve accounts related to the Company’s commercial loans and investments for interest, real estate tax and/or construction costs.</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Derivative Financial Instruments and Hedging Activity</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xml:space="preserve">. Depending upon the hedge’s value at each balance sheet date, the derivatives are included in either other assets or accrued and other liabilities on the consolidated balance sheet at their fair value. On the date each interest rate swap was entered into, the Company designated the derivatives as a hedge of the variability of cash flows to be paid related to the recognized long-term debt liabilities. </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have continued and will continue to do so on a quarterly basis.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16, “Interest Rate Swaps”).</w:t>
      </w:r>
    </w:p>
    <w:p>
      <w:pPr>
        <w:pStyle w:val="TextBody"/>
        <w:shd w:fill="FFFFFF" w:val="clear"/>
        <w:bidi w:val="0"/>
        <w:spacing w:before="100" w:after="10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0"/>
        <w:ind w:left="0" w:right="0" w:hanging="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accounts payable, and accrued and other liabilities at September 30, 2025 and December 31, 2024, approximate fair value because of the short maturity of these instruments. The carrying value of the Company’s Credit Facility (hereinafter defined) as of September 30, 2025 and December 31, 2024,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the 2029 Term Loan (hereinafter defined), the 2030 Term Loan (hereinafter defined), mortgage note, and convertible debt held as of September 30, 2025 and December 31, 2024 are measured at fair value based on current market rates for financial instruments with similar risks and maturities (see Note 8, “Fair Value of Financial Instruments”).</w:t>
      </w:r>
    </w:p>
    <w:p>
      <w:pPr>
        <w:pStyle w:val="TextBody"/>
        <w:bidi w:val="0"/>
        <w:spacing w:lineRule="auto" w:line="280"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Value Measurements </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 Valuation is generated from model-based techniques that use at least one significant assumption not observable in the market. These unobservable assumptions reflect estimates of assumptions that market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would use in pricing the asset or liability. Valuation techniques include option pricing models, discounted cash flow models and similar techniques.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Recognition of Interest Income from Commercial Loans and Investments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 </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Accounts receivable related to income properties, which are classified in other assets on the consolidated balance sheets, primarily consist of accrued tenant reimbursable expenses and other tenant receivables. Receivables related to income property tenants totaled $3.3 million and $3.7 million as of September 30, 2025 and December 31, 2024, respectively.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collectability of the aforementioned receivables shall be considered and adjusted through an allowance for doubtful accounts which is included in income property revenue on the consolidated statements of operations. As of September 30, 2025 and December 31, 2024, the Company’s allowance for doubtful accounts totaled $2.2 million and $1.9 million, respectively.</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Purchase Accounting for Acquisitions of Real Estate Subject to a Lease</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Investments in real estate are carried at cost less accumulated depreciation and amortization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Times New Roman;Times;serif" w:hAnsi="Times New Roman;Times;serif"/>
          <w:i/>
          <w:sz w:val="20"/>
        </w:rPr>
        <w:t>Business Combinations (Topic 805): Clarifying the Definition of a Business</w:t>
      </w:r>
      <w:r>
        <w:rPr>
          <w:rFonts w:ascii="Times New Roman;Times;serif" w:hAnsi="Times New Roman;Times;serif"/>
          <w:sz w:val="20"/>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w:t>
      </w:r>
      <w:r>
        <w:rPr>
          <w:rFonts w:ascii="Times New Roman;Times;serif" w:hAnsi="Times New Roman;Times;serif"/>
          <w:sz w:val="20"/>
          <w:shd w:fill="FFFFFF" w:val="clear"/>
        </w:rPr>
        <w:t>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Sales of Real Estate</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Gains and losses on land sales, in addition to the sale of Subsurface Interests and mitigation credits, are accounted for as required by FASB ASC Topic 606, </w:t>
      </w:r>
      <w:r>
        <w:rPr>
          <w:rFonts w:ascii="Times New Roman;Times;serif" w:hAnsi="Times New Roman;Times;serif"/>
          <w:i/>
          <w:sz w:val="20"/>
        </w:rPr>
        <w:t>Revenue from Contracts with Customers</w:t>
      </w:r>
      <w:r>
        <w:rPr>
          <w:rFonts w:ascii="Times New Roman;Times;serif" w:hAnsi="Times New Roman;Times;serif"/>
          <w:sz w:val="20"/>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a TRS and subsidiaries of a TRS, which are subject to applicable U.S. federal, state and local corporate income tax on their taxable income. As of January 1, 2024, the Company owns one TRS, which is subject to federal and applicable state income taxation. The TRS is required to file a separate corporate income tax return.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uses the asset and liability method to account for income taxes for the Company’s TRS. Deferred income taxes result primarily from the net tax effect of temporary differences between the carrying amounts of assets and liabilities for financial reporting purposes and the amounts used for income tax purposes (see Note 20,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Financial instruments which potentially subject the Company to concentrations of credit risk consist principally of cash and cash equivalents.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also has certain properties within our income property portfolio that make up more than 10% of our geographic concentration and/or revenues, as described below:</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Square Footage Concentrations</w:t>
            </w:r>
            <w:r>
              <w:rPr>
                <w:rFonts w:ascii="Times New Roman;Times;serif" w:hAnsi="Times New Roman;Times;serif"/>
                <w:b w:val="false"/>
                <w:i w:val="false"/>
                <w:caps w:val="false"/>
                <w:smallCaps w:val="false"/>
                <w:sz w:val="20"/>
              </w:rPr>
              <w:t>.</w:t>
            </w:r>
            <w:r>
              <w:rPr>
                <w:caps w:val="false"/>
                <w:smallCaps w:val="false"/>
                <w:color w:val="EE0000"/>
              </w:rPr>
              <w:t xml:space="preserve"> </w:t>
            </w:r>
            <w:r>
              <w:rPr>
                <w:rFonts w:ascii="Times New Roman;Times;serif" w:hAnsi="Times New Roman;Times;serif"/>
                <w:b w:val="false"/>
                <w:i w:val="false"/>
                <w:caps w:val="false"/>
                <w:smallCaps w:val="false"/>
                <w:sz w:val="20"/>
              </w:rPr>
              <w:t>As of September 30, 2025, a total of 32%, 19%, 17%</w:t>
            </w:r>
            <w:r>
              <w:rPr>
                <w:caps w:val="false"/>
                <w:smallCaps w:val="false"/>
              </w:rPr>
              <w:t xml:space="preserve"> </w:t>
            </w:r>
            <w:r>
              <w:rPr>
                <w:rFonts w:ascii="Times New Roman;Times;serif" w:hAnsi="Times New Roman;Times;serif"/>
                <w:b w:val="false"/>
                <w:i w:val="false"/>
                <w:caps w:val="false"/>
                <w:smallCaps w:val="false"/>
                <w:sz w:val="20"/>
              </w:rPr>
              <w:t>and 16%</w:t>
            </w:r>
            <w:r>
              <w:rPr>
                <w:caps w:val="false"/>
                <w:smallCaps w:val="false"/>
              </w:rPr>
              <w:t xml:space="preserve"> </w:t>
            </w:r>
            <w:r>
              <w:rPr>
                <w:rFonts w:ascii="Times New Roman;Times;serif" w:hAnsi="Times New Roman;Times;serif"/>
                <w:b w:val="false"/>
                <w:i w:val="false"/>
                <w:caps w:val="false"/>
                <w:smallCaps w:val="false"/>
                <w:sz w:val="20"/>
              </w:rPr>
              <w:t>of the Company’s income property portfolio, based on square footage, were located in the states of Georgia, North Carolina, Texas, and Florida, respectively. As of December 31, 2024, a total of 23%, 22%, 19%, and 19%</w:t>
            </w:r>
            <w:r>
              <w:rPr>
                <w:caps w:val="false"/>
                <w:smallCaps w:val="false"/>
              </w:rPr>
              <w:t xml:space="preserve"> </w:t>
            </w:r>
            <w:r>
              <w:rPr>
                <w:rFonts w:ascii="Times New Roman;Times;serif" w:hAnsi="Times New Roman;Times;serif"/>
                <w:b w:val="false"/>
                <w:i w:val="false"/>
                <w:caps w:val="false"/>
                <w:smallCaps w:val="false"/>
                <w:sz w:val="20"/>
              </w:rPr>
              <w:t xml:space="preserve">of the Company’s income property portfolio, based on square footage, were located in the states of Georgia, North Carolina, Texas, and Florida, respectively.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Tenant Concentrations</w:t>
            </w:r>
            <w:r>
              <w:rPr>
                <w:rFonts w:ascii="Times New Roman;Times;serif" w:hAnsi="Times New Roman;Times;serif"/>
                <w:b w:val="false"/>
                <w:i w:val="false"/>
                <w:caps w:val="false"/>
                <w:smallCaps w:val="false"/>
                <w:sz w:val="20"/>
              </w:rPr>
              <w:t>. We did not have any tenants that accounted for more than 10% of total revenues during the nine months ended September 30, 2025 or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Base Rent Concentrations</w:t>
            </w:r>
            <w:r>
              <w:rPr>
                <w:rFonts w:ascii="Times New Roman;Times;serif" w:hAnsi="Times New Roman;Times;serif"/>
                <w:b w:val="false"/>
                <w:i w:val="false"/>
                <w:caps w:val="false"/>
                <w:smallCaps w:val="false"/>
                <w:sz w:val="20"/>
              </w:rPr>
              <w:t>. A total of 36%, 17%, 15%, and 14%</w:t>
            </w:r>
            <w:r>
              <w:rPr>
                <w:caps w:val="false"/>
                <w:smallCaps w:val="false"/>
              </w:rPr>
              <w:t xml:space="preserve"> </w:t>
            </w:r>
            <w:r>
              <w:rPr>
                <w:rFonts w:ascii="Times New Roman;Times;serif" w:hAnsi="Times New Roman;Times;serif"/>
                <w:b w:val="false"/>
                <w:i w:val="false"/>
                <w:caps w:val="false"/>
                <w:smallCaps w:val="false"/>
                <w:sz w:val="20"/>
              </w:rPr>
              <w:t>of our base rent revenue during the nine months ended September 30, 2025 was generated from tenants located in Georgia, Florida, Texas, and North Carolina, respectively. A total of 31%, 19%, 16%, and 14%</w:t>
            </w:r>
            <w:r>
              <w:rPr>
                <w:caps w:val="false"/>
                <w:smallCaps w:val="false"/>
              </w:rPr>
              <w:t xml:space="preserve"> </w:t>
            </w:r>
            <w:r>
              <w:rPr>
                <w:rFonts w:ascii="Times New Roman;Times;serif" w:hAnsi="Times New Roman;Times;serif"/>
                <w:b w:val="false"/>
                <w:i w:val="false"/>
                <w:caps w:val="false"/>
                <w:smallCaps w:val="false"/>
                <w:sz w:val="20"/>
              </w:rPr>
              <w:t>of our base rent revenue during the nine months ended September 30, 2024 was generated from tenants located in Georgia, Florida, Texas, and North Carolina, respectively.</w:t>
            </w:r>
          </w:p>
        </w:tc>
      </w:tr>
    </w:tbl>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December 2023, the FASB issued ASU 2023-09, Income Taxes (Topic 740): Improvements to Income Tax Disclosures (“ASU 2023-09”). ASU 2023-09 requires annual disclosure of specific categories in the rate reconciliation and the provision of additional information for reconciling items that meet a quantitative threshold within the rate reconciliation. In addition, ASU 2023-09 requires annual disclosure of income taxes paid disaggregated by federal, state and foreign jurisdictions as well as individual jurisdictions in which income taxes paid is equal to or greater than 5 percent of total income taxes paid. ASU 2023-09 is effective for annual periods beginning after December 15, 2024 on a prospective basis, however early adoption and retrospective application is permitted. The Company is currently evaluating the impact of this guidance on its consolidated financial statements and related disclosures.</w:t>
      </w:r>
    </w:p>
    <w:p>
      <w:pPr>
        <w:pStyle w:val="TextBody"/>
        <w:bidi w:val="0"/>
        <w:spacing w:before="0" w:after="0"/>
        <w:ind w:left="0" w:right="0" w:firstLine="490"/>
        <w:jc w:val="both"/>
        <w:rPr/>
      </w:pPr>
      <w:r>
        <w:rPr/>
        <w:t>​</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bookmarkStart w:id="1019" w:name="Tc_PYMQdNRf30S4GvqIv-X0HQ_9_2"/>
      <w:bookmarkStart w:id="1020" w:name="Tc_xVFdIY0RyECQJ6TRqElC8Q_9_0"/>
      <w:bookmarkStart w:id="1021" w:name="Tc_skcwR6RNVkKAakgvWgOxeg_8_0"/>
      <w:bookmarkStart w:id="1022" w:name="Tc_eisFufgnYEW0sQTYloEsgQ_7_0"/>
      <w:bookmarkStart w:id="1023" w:name="Tc_Tt5ofxKjAkOagTPCno9GtA_6_0"/>
      <w:bookmarkStart w:id="1024" w:name="Tc_cDng-_6qD0q29TOJn7srBA_5_0"/>
      <w:bookmarkStart w:id="1025" w:name="Tc_omDuMnrMnkOXs8MEJ38anw_4_0"/>
      <w:bookmarkStart w:id="1026" w:name="Tc_0qTYMd3SakyBDEDUxZHuhA_3_0"/>
      <w:bookmarkStart w:id="1027" w:name="Tc_Dx55zUE2KECRtlo48KoaDA_2_2"/>
      <w:bookmarkStart w:id="1028" w:name="Tc_JfqC1WVA9kWAxsdzfLHfAg_2_0"/>
      <w:bookmarkStart w:id="1029" w:name="Tc_oiippMvhcUu3GmoPI3q6iw_1_2"/>
      <w:bookmarkStart w:id="1030" w:name="Tc_g-yAzIrgNk6kESRrTFSvug_1_0"/>
      <w:bookmarkStart w:id="1031" w:name="_31cabd46_aa94_4d1f_a5ed_1c6a34cea447"/>
      <w:bookmarkStart w:id="1032" w:name="Tc_f282TzNYyUGmSWzeHgTz3A_6_10"/>
      <w:bookmarkStart w:id="1033" w:name="Tc_zFnmHmqk3kCWhphOuKSDyQ_6_7"/>
      <w:bookmarkStart w:id="1034" w:name="Tc_7kPAw_Ra1Uy4Dg8DyRqoMw_6_4"/>
      <w:bookmarkStart w:id="1035" w:name="Tc__Ao76OT9FUeaYsX6ck8EYA_6_1"/>
      <w:bookmarkStart w:id="1036" w:name="Tc_isb4rpmMzkG55sFYKCpoDA_5_0"/>
      <w:bookmarkStart w:id="1037" w:name="Tc_odP74ZqpBU-yiwkdvgJr6Q_4_10"/>
      <w:bookmarkStart w:id="1038" w:name="Tc_37LLG4H_G0i9tprhQBLeWw_4_7"/>
      <w:bookmarkStart w:id="1039" w:name="Tc_gGita8Shq0OpyxOVrvMvUw_4_4"/>
      <w:bookmarkStart w:id="1040" w:name="Tc_8EjkwFYw60S_9dMdmpUA2g_4_1"/>
      <w:bookmarkStart w:id="1041" w:name="Tc_oYEiH4g7rkywz1PFRTlplQ_4_0"/>
      <w:bookmarkStart w:id="1042" w:name="Tc_6uIeUHT6K0CDg12tqHXpmA_3_0"/>
      <w:bookmarkStart w:id="1043" w:name="Tc_torkSOfjUkaR0uA3ZGUT8A_2_10"/>
      <w:bookmarkStart w:id="1044" w:name="Tc_IXg7o6tGbECuCA-ZUYNMAQ_2_7"/>
      <w:bookmarkStart w:id="1045" w:name="Tc_4fsWUvXCXE2Mc_bE5fPpww_2_4"/>
      <w:bookmarkStart w:id="1046" w:name="Tc_PXxA_9KMmkivePuIaFpDQA_2_1"/>
      <w:bookmarkStart w:id="1047" w:name="Tc_hriN2je9uUikdBCgA4JenQ_1_7"/>
      <w:bookmarkStart w:id="1048" w:name="Tc_BFkKJnEPOEOi_u-1E3XmEg_1_1"/>
      <w:bookmarkStart w:id="1049" w:name="_d4b52d5d_450c_4d7a_ae79_fcf1722e8daf"/>
      <w:bookmarkStart w:id="1050" w:name="INC_PROP_ACQUIRED"/>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rPr>
          <w:rFonts w:ascii="Times New Roman;Times;serif" w:hAnsi="Times New Roman;Times;serif"/>
          <w:b/>
          <w:sz w:val="20"/>
        </w:rPr>
        <w:t>NOTE 3. INCOME PROPERTIES</w:t>
      </w:r>
    </w:p>
    <w:p>
      <w:pPr>
        <w:pStyle w:val="TextBody"/>
        <w:bidi w:val="0"/>
        <w:spacing w:before="0" w:after="0"/>
        <w:ind w:left="0" w:right="0" w:hanging="0"/>
        <w:jc w:val="left"/>
        <w:rPr/>
      </w:pPr>
      <w:r>
        <w:rPr/>
        <w:t>​</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primarily comprised of percentage rents, reimbursements from tenants for common area maintenance, insurance, real estate taxes, other operating expenses, and termination fee payments.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p>
      <w:pPr>
        <w:pStyle w:val="TextBody"/>
        <w:bidi w:val="0"/>
        <w:spacing w:before="0" w:after="0"/>
        <w:ind w:left="0" w:right="0" w:hanging="0"/>
        <w:jc w:val="both"/>
        <w:rPr/>
      </w:pPr>
      <w:r>
        <w:rPr/>
        <w:t>​</w:t>
      </w:r>
    </w:p>
    <w:tbl>
      <w:tblPr>
        <w:tblW w:w="9598" w:type="dxa"/>
        <w:jc w:val="left"/>
        <w:tblInd w:w="0" w:type="dxa"/>
        <w:tblLayout w:type="fixed"/>
        <w:tblCellMar>
          <w:top w:w="0" w:type="dxa"/>
          <w:left w:w="0" w:type="dxa"/>
          <w:bottom w:w="0" w:type="dxa"/>
          <w:right w:w="0" w:type="dxa"/>
        </w:tblCellMar>
      </w:tblPr>
      <w:tblGrid>
        <w:gridCol w:w="2146"/>
        <w:gridCol w:w="420"/>
        <w:gridCol w:w="1350"/>
        <w:gridCol w:w="109"/>
        <w:gridCol w:w="420"/>
        <w:gridCol w:w="1350"/>
        <w:gridCol w:w="109"/>
        <w:gridCol w:w="420"/>
        <w:gridCol w:w="1350"/>
        <w:gridCol w:w="109"/>
        <w:gridCol w:w="385"/>
        <w:gridCol w:w="1430"/>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62710" cy="175260"/>
                      <wp:effectExtent l="0" t="0" r="0" b="0"/>
                      <wp:wrapNone/>
                      <wp:docPr id="121" name="Frame12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66700" cy="175260"/>
                      <wp:effectExtent l="0" t="0" r="0" b="0"/>
                      <wp:wrapNone/>
                      <wp:docPr id="122" name="Frame122"/>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857250" cy="175260"/>
                      <wp:effectExtent l="0" t="0" r="0" b="0"/>
                      <wp:wrapNone/>
                      <wp:docPr id="123" name="Frame123"/>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66700" cy="175260"/>
                      <wp:effectExtent l="0" t="0" r="0" b="0"/>
                      <wp:wrapNone/>
                      <wp:docPr id="125" name="Frame125"/>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857250" cy="175260"/>
                      <wp:effectExtent l="0" t="0" r="0" b="0"/>
                      <wp:wrapNone/>
                      <wp:docPr id="126" name="Frame126"/>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66700" cy="175260"/>
                      <wp:effectExtent l="0" t="0" r="0" b="0"/>
                      <wp:wrapNone/>
                      <wp:docPr id="128" name="Frame128"/>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857250" cy="175260"/>
                      <wp:effectExtent l="0" t="0" r="0" b="0"/>
                      <wp:wrapNone/>
                      <wp:docPr id="129" name="Frame129"/>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44475" cy="175260"/>
                      <wp:effectExtent l="0" t="0" r="0" b="0"/>
                      <wp:wrapNone/>
                      <wp:docPr id="131" name="Frame131"/>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908050" cy="175260"/>
                      <wp:effectExtent l="0" t="0" r="0" b="0"/>
                      <wp:wrapNone/>
                      <wp:docPr id="132" name="Frame132"/>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6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2146"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25,999</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21,143</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75,458</w:t>
            </w:r>
          </w:p>
        </w:tc>
        <w:tc>
          <w:tcPr>
            <w:tcW w:w="109"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58,841</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7,440</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7,385</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23,028</w:t>
            </w:r>
          </w:p>
        </w:tc>
        <w:tc>
          <w:tcPr>
            <w:tcW w:w="109" w:type="dxa"/>
            <w:tcBorders/>
            <w:shd w:fill="CCEEFF" w:val="cle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20,188</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Leasing Revenue</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33,439</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28,528</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98,486</w:t>
            </w:r>
          </w:p>
        </w:tc>
        <w:tc>
          <w:tcPr>
            <w:tcW w:w="109" w:type="dxa"/>
            <w:tcBorders/>
            <w:vAlign w:val="center"/>
          </w:tcPr>
          <w:p>
            <w:pPr>
              <w:pStyle w:val="TableContents"/>
              <w:bidi w:val="0"/>
              <w:spacing w:before="0" w:after="0"/>
              <w:ind w:left="0" w:right="0" w:hanging="0"/>
              <w:jc w:val="left"/>
              <w:rPr/>
            </w:pPr>
            <w:r>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79,029</w:t>
            </w:r>
          </w:p>
        </w:tc>
      </w:tr>
    </w:tbl>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Minimum future base rental receipts under non-cancelable operating leases, excluding percentage rent and other lease payments that are not fixed and determinable, having remaining terms in excess of one year subsequent to September 30, 2025, are summarized as follows (in thousands):</w:t>
      </w:r>
    </w:p>
    <w:p>
      <w:pPr>
        <w:pStyle w:val="TextBody"/>
        <w:bidi w:val="0"/>
        <w:spacing w:before="0" w:after="0"/>
        <w:ind w:left="0" w:right="0" w:firstLine="360"/>
        <w:jc w:val="both"/>
        <w:rPr/>
      </w:pPr>
      <w:r>
        <w:rPr/>
        <w:t>​</w:t>
      </w:r>
    </w:p>
    <w:tbl>
      <w:tblPr>
        <w:tblW w:w="4304" w:type="dxa"/>
        <w:jc w:val="left"/>
        <w:tblInd w:w="0" w:type="dxa"/>
        <w:tblLayout w:type="fixed"/>
        <w:tblCellMar>
          <w:top w:w="0" w:type="dxa"/>
          <w:left w:w="0" w:type="dxa"/>
          <w:bottom w:w="0" w:type="dxa"/>
          <w:right w:w="0" w:type="dxa"/>
        </w:tblCellMar>
      </w:tblPr>
      <w:tblGrid>
        <w:gridCol w:w="2881"/>
        <w:gridCol w:w="326"/>
        <w:gridCol w:w="211"/>
        <w:gridCol w:w="88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29435" cy="175895"/>
                      <wp:effectExtent l="0" t="0" r="0" b="0"/>
                      <wp:wrapNone/>
                      <wp:docPr id="133" name="Frame133"/>
                      <a:graphic xmlns:a="http://schemas.openxmlformats.org/drawingml/2006/main">
                        <a:graphicData uri="http://schemas.microsoft.com/office/word/2010/wordprocessingShape">
                          <wps:wsp>
                            <wps:cNvSpPr txBox="1"/>
                            <wps:spPr>
                              <a:xfrm>
                                <a:off x="0" y="0"/>
                                <a:ext cx="1829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895"/>
                      <wp:effectExtent l="0" t="0" r="0" b="0"/>
                      <wp:wrapNone/>
                      <wp:docPr id="134" name="Frame13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62610" cy="175895"/>
                      <wp:effectExtent l="0" t="0" r="0" b="0"/>
                      <wp:wrapNone/>
                      <wp:docPr id="135" name="Frame135"/>
                      <a:graphic xmlns:a="http://schemas.openxmlformats.org/drawingml/2006/main">
                        <a:graphicData uri="http://schemas.microsoft.com/office/word/2010/wordprocessingShape">
                          <wps:wsp>
                            <wps:cNvSpPr txBox="1"/>
                            <wps:spPr>
                              <a:xfrm>
                                <a:off x="0" y="0"/>
                                <a:ext cx="562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1"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Remainder of 2025</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25,989</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98,252</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86,466</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72,789</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56,735</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47,133</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2031 and Thereafter (Cumulative)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130,301</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517,665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2025 Acquisitions. </w:t>
      </w:r>
      <w:r>
        <w:rPr>
          <w:rFonts w:ascii="Times New Roman;Times;serif" w:hAnsi="Times New Roman;Times;serif"/>
          <w:sz w:val="20"/>
        </w:rPr>
        <w:t xml:space="preserve">During the nine months ended September 30, 2025, the Company acquired Ashley Park, a multi-tenant income property located in Newnan, GA, for a purchase price of $79.5 million, or a total acquisition cost of $80.0 million, including capitalized acquisition costs. Ashley Park comprises approximately 559,000 square feet, was 92% occupied at acquisition, and had a weighted average remaining lease term of 4.1 years at acquisition. Of the total acquisition costs, $26.0 million was allocated to land, $40.9 million was allocated to buildings and improvements, $16.8 million was allocated to intangible assets pertaining to the in-place lease value, leasing costs, and above market lease value and $3.7 million was allocated to intangible liabilities for the below market lease value. </w:t>
      </w:r>
    </w:p>
    <w:p>
      <w:pPr>
        <w:pStyle w:val="TextBody"/>
        <w:bidi w:val="0"/>
        <w:spacing w:before="100" w:after="100"/>
        <w:ind w:left="0" w:right="0" w:firstLine="490"/>
        <w:jc w:val="both"/>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i/>
          <w:sz w:val="20"/>
        </w:rPr>
        <w:t>2025 Dispositions</w:t>
      </w:r>
      <w:r>
        <w:rPr>
          <w:rFonts w:ascii="Times New Roman;Times;serif" w:hAnsi="Times New Roman;Times;serif"/>
          <w:sz w:val="20"/>
        </w:rPr>
        <w:t xml:space="preserve">. During the nine months ended September 30, 2025, the Company sold its three single-tenant Main Street properties in Daytona Beach, Florida for $7.1 million, generating gains totaling $1.2 million. </w:t>
      </w:r>
    </w:p>
    <w:p>
      <w:pPr>
        <w:pStyle w:val="TextBody"/>
        <w:bidi w:val="0"/>
        <w:spacing w:before="0" w:after="0"/>
        <w:ind w:left="0" w:right="0" w:firstLine="49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2024 Acquisitions. </w:t>
      </w:r>
      <w:r>
        <w:rPr>
          <w:rFonts w:ascii="Times New Roman;Times;serif" w:hAnsi="Times New Roman;Times;serif"/>
          <w:color w:val="212529"/>
          <w:sz w:val="20"/>
          <w:shd w:fill="FFFFFF" w:val="clear"/>
        </w:rPr>
        <w:t>During the nine months ended September 30, 2024, the Company acquired four multi-tenant income properties, one vacant land parcel within an existing multi-tenant property, and one building within an existing multi-tenant income property for an aggregate purchase price of $210.0 million, or a total acquisition cost of $207.8 million,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shd w:fill="FFFFFF" w:val="clear"/>
              </w:rPr>
              <w:t>A portfolio of three</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open-air shopping centers ( the “Three Property Portfolio”) for a gross purchase price of $137.5</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million, less certain purchase credits, for a total acquisition cost of $135.1</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million. The Three Property Portfolio consists of Carolina Pavilion in Charlotte, North Carolina; Millenia Crossing in Orlando, Florida; and Lake Brandon Village in Tampa, Florida. Carolina Pavilion comprises approximately 686,000</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square feet, was 93%</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occupied, and had a weighted average remaining lease term of 5.9</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years at acquisition. Millenia Crossing comprises approximately 100,000</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square feet, was 96%</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occupied, and had a remaining lease term of 6.1</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years at acquisition. Lake Brandon Village comprises approximately 102,000</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square feet, was 100%</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occupied, and had a remaining lease term of 7.4</w:t>
            </w:r>
            <w:r>
              <w:rPr>
                <w:caps w:val="false"/>
                <w:smallCaps w:val="false"/>
                <w:color w:val="212529"/>
                <w:shd w:fill="FFFFFF" w:val="clear"/>
              </w:rPr>
              <w:t> </w:t>
            </w:r>
            <w:r>
              <w:rPr>
                <w:rFonts w:ascii="Times New Roman;Times;serif" w:hAnsi="Times New Roman;Times;serif"/>
                <w:b w:val="false"/>
                <w:i w:val="false"/>
                <w:caps w:val="false"/>
                <w:smallCaps w:val="false"/>
                <w:color w:val="212529"/>
                <w:sz w:val="20"/>
                <w:shd w:fill="FFFFFF" w:val="clear"/>
              </w:rPr>
              <w:t>years at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Marketplace at Seminole Towne Center, a multi-tenant income property located in Sanford, Florida, for a purchase price of $68.7</w:t>
            </w:r>
            <w:r>
              <w:rPr>
                <w:caps w:val="false"/>
                <w:smallCaps w:val="false"/>
              </w:rPr>
              <w:t xml:space="preserve"> </w:t>
            </w:r>
            <w:r>
              <w:rPr>
                <w:rFonts w:ascii="Times New Roman;Times;serif" w:hAnsi="Times New Roman;Times;serif"/>
                <w:b w:val="false"/>
                <w:i w:val="false"/>
                <w:caps w:val="false"/>
                <w:smallCaps w:val="false"/>
                <w:sz w:val="20"/>
              </w:rPr>
              <w:t>million, or a total acquisition cost of $68.8</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Marketplace at Seminole Towne Center comprises 315,066</w:t>
            </w:r>
            <w:r>
              <w:rPr>
                <w:caps w:val="false"/>
                <w:smallCaps w:val="false"/>
              </w:rPr>
              <w:t xml:space="preserve"> </w:t>
            </w:r>
            <w:r>
              <w:rPr>
                <w:rFonts w:ascii="Times New Roman;Times;serif" w:hAnsi="Times New Roman;Times;serif"/>
                <w:b w:val="false"/>
                <w:i w:val="false"/>
                <w:caps w:val="false"/>
                <w:smallCaps w:val="false"/>
                <w:sz w:val="20"/>
              </w:rPr>
              <w:t>square feet, was 98%</w:t>
            </w:r>
            <w:r>
              <w:rPr>
                <w:caps w:val="false"/>
                <w:smallCaps w:val="false"/>
              </w:rPr>
              <w:t xml:space="preserve"> </w:t>
            </w:r>
            <w:r>
              <w:rPr>
                <w:rFonts w:ascii="Times New Roman;Times;serif" w:hAnsi="Times New Roman;Times;serif"/>
                <w:b w:val="false"/>
                <w:i w:val="false"/>
                <w:caps w:val="false"/>
                <w:smallCaps w:val="false"/>
                <w:sz w:val="20"/>
              </w:rPr>
              <w:t>occupied at acquisition, and had a weighted average remaining lease term of 4.7</w:t>
            </w:r>
            <w:r>
              <w:rPr>
                <w:caps w:val="false"/>
                <w:smallCaps w:val="false"/>
              </w:rPr>
              <w:t xml:space="preserve"> </w:t>
            </w:r>
            <w:r>
              <w:rPr>
                <w:rFonts w:ascii="Times New Roman;Times;serif" w:hAnsi="Times New Roman;Times;serif"/>
                <w:b w:val="false"/>
                <w:i w:val="false"/>
                <w:caps w:val="false"/>
                <w:smallCaps w:val="false"/>
                <w:sz w:val="20"/>
              </w:rPr>
              <w:t xml:space="preserve">years at acquisition.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One</w:t>
            </w:r>
            <w:r>
              <w:rPr>
                <w:caps w:val="false"/>
                <w:smallCaps w:val="false"/>
              </w:rPr>
              <w:t xml:space="preserve"> </w:t>
            </w:r>
            <w:r>
              <w:rPr>
                <w:rFonts w:ascii="Times New Roman;Times;serif" w:hAnsi="Times New Roman;Times;serif"/>
                <w:b w:val="false"/>
                <w:i w:val="false"/>
                <w:caps w:val="false"/>
                <w:smallCaps w:val="false"/>
                <w:sz w:val="20"/>
              </w:rPr>
              <w:t>property, totaling 4,000</w:t>
            </w:r>
            <w:r>
              <w:rPr>
                <w:caps w:val="false"/>
                <w:smallCaps w:val="false"/>
              </w:rPr>
              <w:t xml:space="preserve"> </w:t>
            </w:r>
            <w:r>
              <w:rPr>
                <w:rFonts w:ascii="Times New Roman;Times;serif" w:hAnsi="Times New Roman;Times;serif"/>
                <w:b w:val="false"/>
                <w:i w:val="false"/>
                <w:caps w:val="false"/>
                <w:smallCaps w:val="false"/>
                <w:sz w:val="20"/>
              </w:rPr>
              <w:t>square feet, within the 28,100</w:t>
            </w:r>
            <w:r>
              <w:rPr>
                <w:caps w:val="false"/>
                <w:smallCaps w:val="false"/>
              </w:rPr>
              <w:t xml:space="preserve"> </w:t>
            </w:r>
            <w:r>
              <w:rPr>
                <w:rFonts w:ascii="Times New Roman;Times;serif" w:hAnsi="Times New Roman;Times;serif"/>
                <w:b w:val="false"/>
                <w:i w:val="false"/>
                <w:caps w:val="false"/>
                <w:smallCaps w:val="false"/>
                <w:sz w:val="20"/>
              </w:rPr>
              <w:t>square foot retail portion of Phase II of The Exchange at Gwinnett located in Buford, Georgia for an aggregate purchase price of $2.3</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 The weighted average remaining lease term at acquisition is 10.0</w:t>
            </w:r>
            <w:r>
              <w:rPr>
                <w:caps w:val="false"/>
                <w:smallCaps w:val="false"/>
              </w:rPr>
              <w:t xml:space="preserve"> </w:t>
            </w:r>
            <w:r>
              <w:rPr>
                <w:rFonts w:ascii="Times New Roman;Times;serif" w:hAnsi="Times New Roman;Times;serif"/>
                <w:b w:val="false"/>
                <w:i w:val="false"/>
                <w:caps w:val="false"/>
                <w:smallCaps w:val="false"/>
                <w:sz w:val="20"/>
              </w:rPr>
              <w:t>years. As a result of this acquisition, the Company has acquired the entire retail portion of Phase II of the Exchange at Gwinnett. The Company previously purchased the Sprouts-anchored Phase I portion of The Exchange at Gwinnett in December 2021.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 vacant land parcel, for future development, within the previously acquired West Broad Village property, located in the Short Pump submarket of Richmond, Virginia, for a purchase price of $1.5</w:t>
            </w:r>
            <w:r>
              <w:rPr>
                <w:caps w:val="false"/>
                <w:smallCaps w:val="false"/>
              </w:rPr>
              <w:t xml:space="preserve"> </w:t>
            </w:r>
            <w:r>
              <w:rPr>
                <w:rFonts w:ascii="Times New Roman;Times;serif" w:hAnsi="Times New Roman;Times;serif"/>
                <w:b w:val="false"/>
                <w:i w:val="false"/>
                <w:caps w:val="false"/>
                <w:smallCaps w:val="false"/>
                <w:sz w:val="20"/>
              </w:rPr>
              <w:t>million including capitalized acquisition costs.</w:t>
            </w:r>
          </w:p>
        </w:tc>
      </w:tr>
    </w:tbl>
    <w:p>
      <w:pPr>
        <w:pStyle w:val="TextBody"/>
        <w:pBdr/>
        <w:shd w:fill="FFFFFF" w:val="clear"/>
        <w:bidi w:val="0"/>
        <w:spacing w:before="280" w:after="0"/>
        <w:ind w:left="0" w:right="0" w:firstLine="490"/>
        <w:jc w:val="both"/>
        <w:rPr>
          <w:rFonts w:ascii="Times New Roman;Times;serif" w:hAnsi="Times New Roman;Times;serif"/>
          <w:sz w:val="20"/>
        </w:rPr>
      </w:pPr>
      <w:r>
        <w:rPr>
          <w:rFonts w:ascii="Times New Roman;Times;serif" w:hAnsi="Times New Roman;Times;serif"/>
          <w:color w:val="212529"/>
          <w:sz w:val="20"/>
        </w:rPr>
        <w:t>Of the aggregate $207.8 million total acquisition cost, $42.5 million was allocated to land, $144.5 million was allocated to buildings and improvements, and $32.3 million was allocated to intangible assets pertaining to the in-place lease value, leasing costs, and above market lease value and $11.5 million was allocated to intangible liabilities for the below market lease value. The amortization period for the intangible assets and liabilities was 5.8 years at acquisition.</w:t>
      </w:r>
      <w:r>
        <w:rPr>
          <w:rFonts w:ascii="Times New Roman;Times;serif" w:hAnsi="Times New Roman;Times;serif"/>
          <w:sz w:val="20"/>
        </w:rPr>
        <w:t xml:space="preserve"> </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2024 Dispositions.</w:t>
      </w:r>
      <w:r>
        <w:rPr>
          <w:rFonts w:ascii="Times New Roman;Times;serif" w:hAnsi="Times New Roman;Times;serif"/>
          <w:sz w:val="20"/>
        </w:rPr>
        <w:t xml:space="preserve"> </w:t>
      </w:r>
      <w:r>
        <w:rPr>
          <w:rFonts w:ascii="Times New Roman;Times;serif" w:hAnsi="Times New Roman;Times;serif"/>
          <w:color w:val="212529"/>
          <w:sz w:val="20"/>
        </w:rPr>
        <w:t>During the nine months ended September 30, 2024, the Company sold two income properties for an aggregate sales price of $38.0 million and aggregate gains on sales of $3.8 million. The sales consisted of (i) one mixed use income property in downtown Santa Fe, New Mexico for $20.0 million, resulting in a gain of $4.6 million, and (ii) one multi-tenant income property located in West Jordan, Utah for $18.0 million resulting in a loss on sale of $0.8 million.</w:t>
      </w:r>
    </w:p>
    <w:p>
      <w:pPr>
        <w:pStyle w:val="TextBody"/>
        <w:bidi w:val="0"/>
        <w:spacing w:before="28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 COMMERCIAL LOANS AND INVESTMENTS</w:t>
      </w:r>
    </w:p>
    <w:p>
      <w:pPr>
        <w:pStyle w:val="TextBody"/>
        <w:bidi w:val="0"/>
        <w:spacing w:before="0" w:after="0"/>
        <w:ind w:left="0" w:right="0" w:hanging="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pacing w:val="-2"/>
          <w:sz w:val="20"/>
        </w:rPr>
        <w:t xml:space="preserve">Our </w:t>
      </w:r>
      <w:r>
        <w:rPr>
          <w:rFonts w:ascii="Times New Roman;Times;serif" w:hAnsi="Times New Roman;Times;serif"/>
          <w:sz w:val="20"/>
        </w:rPr>
        <w:t xml:space="preserve">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2025 Activity. </w:t>
      </w:r>
      <w:r>
        <w:rPr>
          <w:rFonts w:ascii="Times New Roman;Times;serif" w:hAnsi="Times New Roman;Times;serif"/>
          <w:sz w:val="20"/>
        </w:rPr>
        <w:t>During the nine months ended September 30, 2025, the Company originated a $5.0 million mortgage note bearing a fixed interest rate of 6.5% and earned an origination fee of 0.5%, or less than $0.1 million. In addition, the Company funded $7.8 million under existing construction loan commitments, net of origination fees received, and received principal repayments totaling $6.0 million.</w:t>
      </w:r>
    </w:p>
    <w:p>
      <w:pPr>
        <w:pStyle w:val="TextBody"/>
        <w:bidi w:val="0"/>
        <w:spacing w:before="0" w:after="0"/>
        <w:ind w:left="0" w:right="0" w:firstLine="490"/>
        <w:jc w:val="left"/>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2024 Activity.</w:t>
      </w:r>
      <w:r>
        <w:rPr>
          <w:rFonts w:ascii="Times New Roman;Times;serif" w:hAnsi="Times New Roman;Times;serif"/>
          <w:sz w:val="20"/>
        </w:rPr>
        <w:t xml:space="preserve"> </w:t>
      </w:r>
      <w:r>
        <w:rPr>
          <w:rFonts w:ascii="Times New Roman;Times;serif" w:hAnsi="Times New Roman;Times;serif"/>
          <w:sz w:val="20"/>
          <w:shd w:fill="FFFFFF" w:val="clear"/>
        </w:rPr>
        <w:t>During the nine months ended September 30, 2024, the Company originated three commercial loan investments totaling $</w:t>
      </w:r>
      <w:r>
        <w:rPr>
          <w:rFonts w:ascii="Times New Roman;Times;serif" w:hAnsi="Times New Roman;Times;serif"/>
          <w:sz w:val="20"/>
        </w:rPr>
        <w:t>63.8</w:t>
      </w:r>
      <w:r>
        <w:rPr>
          <w:rFonts w:ascii="Times New Roman;Times;serif" w:hAnsi="Times New Roman;Times;serif"/>
          <w:sz w:val="20"/>
          <w:shd w:fill="FFFFFF" w:val="clear"/>
        </w:rPr>
        <w:t> million at a weighted average initial interest rate of </w:t>
      </w:r>
      <w:r>
        <w:rPr>
          <w:rFonts w:ascii="Times New Roman;Times;serif" w:hAnsi="Times New Roman;Times;serif"/>
          <w:sz w:val="20"/>
        </w:rPr>
        <w:t>11.5%</w:t>
      </w:r>
      <w:r>
        <w:rPr>
          <w:rFonts w:ascii="Times New Roman;Times;serif" w:hAnsi="Times New Roman;Times;serif"/>
          <w:sz w:val="20"/>
          <w:shd w:fill="FFFFFF" w:val="clear"/>
        </w:rPr>
        <w:t xml:space="preserve">, of which $60.2 million had been funded as of September 30, 2024. One of these investments, totaling $10.0 million, is structured as preferred equity and is further described below. During the nine months ended September 30, 2024, the Company received $18.5 million of principal repayments. </w:t>
      </w:r>
      <w:r>
        <w:rPr>
          <w:rFonts w:ascii="Times New Roman;Times;serif" w:hAnsi="Times New Roman;Times;serif"/>
          <w:color w:val="212529"/>
          <w:sz w:val="20"/>
          <w:shd w:fill="FFFFFF" w:val="clear"/>
        </w:rPr>
        <w:t>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Other Activity.</w:t>
      </w:r>
      <w:r>
        <w:rPr>
          <w:rFonts w:ascii="Times New Roman;Times;serif" w:hAnsi="Times New Roman;Times;serif"/>
          <w:sz w:val="20"/>
        </w:rPr>
        <w:t xml:space="preserve"> Certain commercial loans and investments outstanding as of September 30, 2025 required determinations, at origination, related to variable interest entity matters as described herein: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Series A Preferred Investment. </w:t>
            </w:r>
            <w:r>
              <w:rPr>
                <w:rFonts w:ascii="Times New Roman;Times;serif" w:hAnsi="Times New Roman;Times;serif"/>
                <w:b w:val="false"/>
                <w:i w:val="false"/>
                <w:caps w:val="false"/>
                <w:smallCaps w:val="false"/>
                <w:sz w:val="20"/>
              </w:rPr>
              <w:t>On July 11, 2024, the Company funded $10.0</w:t>
            </w:r>
            <w:r>
              <w:rPr>
                <w:caps w:val="false"/>
                <w:smallCaps w:val="false"/>
              </w:rPr>
              <w:t xml:space="preserve"> </w:t>
            </w:r>
            <w:r>
              <w:rPr>
                <w:rFonts w:ascii="Times New Roman;Times;serif" w:hAnsi="Times New Roman;Times;serif"/>
                <w:b w:val="false"/>
                <w:i w:val="false"/>
                <w:caps w:val="false"/>
                <w:smallCaps w:val="false"/>
                <w:sz w:val="20"/>
              </w:rPr>
              <w:t>million into an escrow account, which escrow closed on August 1, 2024 in exchange for 10,000</w:t>
            </w:r>
            <w:r>
              <w:rPr>
                <w:caps w:val="false"/>
                <w:smallCaps w:val="false"/>
              </w:rPr>
              <w:t xml:space="preserve"> </w:t>
            </w:r>
            <w:r>
              <w:rPr>
                <w:rFonts w:ascii="Times New Roman;Times;serif" w:hAnsi="Times New Roman;Times;serif"/>
                <w:b w:val="false"/>
                <w:i w:val="false"/>
                <w:caps w:val="false"/>
                <w:smallCaps w:val="false"/>
                <w:sz w:val="20"/>
              </w:rPr>
              <w:t>shares of 14.000%</w:t>
            </w:r>
            <w:r>
              <w:rPr>
                <w:caps w:val="false"/>
                <w:smallCaps w:val="false"/>
              </w:rPr>
              <w:t xml:space="preserve"> </w:t>
            </w:r>
            <w:r>
              <w:rPr>
                <w:rFonts w:ascii="Times New Roman;Times;serif" w:hAnsi="Times New Roman;Times;serif"/>
                <w:b w:val="false"/>
                <w:i w:val="false"/>
                <w:caps w:val="false"/>
                <w:smallCaps w:val="false"/>
                <w:sz w:val="20"/>
              </w:rPr>
              <w:t>Series A preferred stock, with a $0.01</w:t>
            </w:r>
            <w:r>
              <w:rPr>
                <w:caps w:val="false"/>
                <w:smallCaps w:val="false"/>
              </w:rPr>
              <w:t xml:space="preserve"> </w:t>
            </w:r>
            <w:r>
              <w:rPr>
                <w:rFonts w:ascii="Times New Roman;Times;serif" w:hAnsi="Times New Roman;Times;serif"/>
                <w:b w:val="false"/>
                <w:i w:val="false"/>
                <w:caps w:val="false"/>
                <w:smallCaps w:val="false"/>
                <w:sz w:val="20"/>
              </w:rPr>
              <w:t>par value per share, of a subsidiary of a publicly-traded hospitality, entertainment and real-estate company (the “Series A Preferred Investment”). In connection with the investment, the Company received an origination fee of 1.0%</w:t>
            </w:r>
            <w:r>
              <w:rPr>
                <w:caps w:val="false"/>
                <w:smallCaps w:val="false"/>
              </w:rPr>
              <w:t xml:space="preserve"> </w:t>
            </w:r>
            <w:r>
              <w:rPr>
                <w:rFonts w:ascii="Times New Roman;Times;serif" w:hAnsi="Times New Roman;Times;serif"/>
                <w:b w:val="false"/>
                <w:i w:val="false"/>
                <w:caps w:val="false"/>
                <w:smallCaps w:val="false"/>
                <w:sz w:val="20"/>
              </w:rPr>
              <w:t>or $0.1</w:t>
            </w:r>
            <w:r>
              <w:rPr>
                <w:caps w:val="false"/>
                <w:smallCaps w:val="false"/>
              </w:rPr>
              <w:t xml:space="preserve"> </w:t>
            </w:r>
            <w:r>
              <w:rPr>
                <w:rFonts w:ascii="Times New Roman;Times;serif" w:hAnsi="Times New Roman;Times;serif"/>
                <w:b w:val="false"/>
                <w:i w:val="false"/>
                <w:caps w:val="false"/>
                <w:smallCaps w:val="false"/>
                <w:sz w:val="20"/>
              </w:rPr>
              <w:t xml:space="preserve">million. The investment is not redeemable prior to July 11, 2029, except upon the occurrence of certain specified events. The Company determined, pursuant to FASB ASC Topic 810, </w:t>
            </w:r>
            <w:r>
              <w:rPr>
                <w:rFonts w:ascii="Times New Roman;Times;serif" w:hAnsi="Times New Roman;Times;serif"/>
                <w:b w:val="false"/>
                <w:i/>
                <w:sz w:val="20"/>
              </w:rPr>
              <w:t>Consolidation</w:t>
            </w:r>
            <w:r>
              <w:rPr>
                <w:rFonts w:ascii="Times New Roman;Times;serif" w:hAnsi="Times New Roman;Times;serif"/>
                <w:b w:val="false"/>
                <w:i w:val="false"/>
                <w:caps w:val="false"/>
                <w:smallCaps w:val="false"/>
                <w:sz w:val="20"/>
              </w:rPr>
              <w:t xml:space="preserve">, that we do not have a variable interest in the entity underlying the Series A Preferred Investment; accordingly, FASB Topic ASC 320, </w:t>
            </w:r>
            <w:r>
              <w:rPr>
                <w:rFonts w:ascii="Times New Roman;Times;serif" w:hAnsi="Times New Roman;Times;serif"/>
                <w:b w:val="false"/>
                <w:i/>
                <w:sz w:val="20"/>
              </w:rPr>
              <w:t>Investments-Debt Securities</w:t>
            </w:r>
            <w:r>
              <w:rPr>
                <w:rFonts w:ascii="Times New Roman;Times;serif" w:hAnsi="Times New Roman;Times;serif"/>
                <w:b w:val="false"/>
                <w:i w:val="false"/>
                <w:caps w:val="false"/>
                <w:smallCaps w:val="false"/>
                <w:sz w:val="20"/>
              </w:rPr>
              <w:t xml:space="preserve">, was applied and the investment was recorded in the consolidated balance sheets as a commercial loan investment at the time of acquisition.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Watters Creek Investment. </w:t>
            </w:r>
            <w:r>
              <w:rPr>
                <w:rFonts w:ascii="Times New Roman;Times;serif" w:hAnsi="Times New Roman;Times;serif"/>
                <w:b w:val="false"/>
                <w:i w:val="false"/>
                <w:caps w:val="false"/>
                <w:smallCaps w:val="false"/>
                <w:sz w:val="20"/>
              </w:rPr>
              <w:t>On April 7, 2022, the Company entered into a preferred equity agreement to provide $30.0</w:t>
            </w:r>
            <w:r>
              <w:rPr>
                <w:caps w:val="false"/>
                <w:smallCaps w:val="false"/>
              </w:rPr>
              <w:t xml:space="preserve"> </w:t>
            </w:r>
            <w:r>
              <w:rPr>
                <w:rFonts w:ascii="Times New Roman;Times;serif" w:hAnsi="Times New Roman;Times;serif"/>
                <w:b w:val="false"/>
                <w:i w:val="false"/>
                <w:caps w:val="false"/>
                <w:smallCaps w:val="false"/>
                <w:sz w:val="20"/>
              </w:rPr>
              <w:t xml:space="preserve">million of funding towards the total investment in Watters Creek at Montgomery Farm, a grocery-anchored, mixed-use property located in Allen, Texas (the “Watters Creek Investment”). Pursuant to FASB ASC Topic 810, </w:t>
            </w:r>
            <w:r>
              <w:rPr>
                <w:rFonts w:ascii="Times New Roman;Times;serif" w:hAnsi="Times New Roman;Times;serif"/>
                <w:b w:val="false"/>
                <w:i/>
                <w:sz w:val="20"/>
              </w:rPr>
              <w:t>Consolidation</w:t>
            </w:r>
            <w:r>
              <w:rPr>
                <w:rFonts w:ascii="Times New Roman;Times;serif" w:hAnsi="Times New Roman;Times;serif"/>
                <w:b w:val="false"/>
                <w:i w:val="false"/>
                <w:caps w:val="false"/>
                <w:smallCaps w:val="false"/>
                <w:sz w:val="20"/>
              </w:rPr>
              <w:t>, the Company determined it is not the primary beneficiary of the entity underlying the Watters Creek Investment; accordingly, the $30.0</w:t>
            </w:r>
            <w:r>
              <w:rPr>
                <w:caps w:val="false"/>
                <w:smallCaps w:val="false"/>
              </w:rPr>
              <w:t xml:space="preserve"> </w:t>
            </w:r>
            <w:r>
              <w:rPr>
                <w:rFonts w:ascii="Times New Roman;Times;serif" w:hAnsi="Times New Roman;Times;serif"/>
                <w:b w:val="false"/>
                <w:i w:val="false"/>
                <w:caps w:val="false"/>
                <w:smallCaps w:val="false"/>
                <w:sz w:val="20"/>
              </w:rPr>
              <w:t>million was recorded on the consolidated balance sheets as a commercial loan investment at the time of acquisition. The initial maturity date for the Watters Creek Investment was April 6, 2025; however, during the nine months ended September 30, 2025, the borrower exercised the first of two</w:t>
            </w:r>
            <w:r>
              <w:rPr>
                <w:caps w:val="false"/>
                <w:smallCaps w:val="false"/>
              </w:rPr>
              <w:t xml:space="preserve"> </w:t>
            </w:r>
            <w:r>
              <w:rPr>
                <w:rFonts w:ascii="Times New Roman;Times;serif" w:hAnsi="Times New Roman;Times;serif"/>
                <w:b w:val="false"/>
                <w:i w:val="false"/>
                <w:caps w:val="false"/>
                <w:smallCaps w:val="false"/>
                <w:sz w:val="20"/>
              </w:rPr>
              <w:t>one-year</w:t>
            </w:r>
            <w:r>
              <w:rPr>
                <w:caps w:val="false"/>
                <w:smallCaps w:val="false"/>
              </w:rPr>
              <w:t xml:space="preserve"> </w:t>
            </w:r>
            <w:r>
              <w:rPr>
                <w:rFonts w:ascii="Times New Roman;Times;serif" w:hAnsi="Times New Roman;Times;serif"/>
                <w:b w:val="false"/>
                <w:i w:val="false"/>
                <w:caps w:val="false"/>
                <w:smallCaps w:val="false"/>
                <w:sz w:val="20"/>
              </w:rPr>
              <w:t>extension options thereby extending the maturity date to April 6, 2026. The Watters Creek Investment bears a fixed interest rate of 8.50%</w:t>
            </w:r>
            <w:r>
              <w:rPr>
                <w:caps w:val="false"/>
                <w:smallCaps w:val="false"/>
              </w:rPr>
              <w:t xml:space="preserve"> </w:t>
            </w:r>
            <w:r>
              <w:rPr>
                <w:rFonts w:ascii="Times New Roman;Times;serif" w:hAnsi="Times New Roman;Times;serif"/>
                <w:b w:val="false"/>
                <w:i w:val="false"/>
                <w:caps w:val="false"/>
                <w:smallCaps w:val="false"/>
                <w:sz w:val="20"/>
              </w:rPr>
              <w:t>at time of acquisition with increases during the initial term as well as the option terms, and requires payments of interest only prior to maturity. At closing, an origination fee of $0.15</w:t>
            </w:r>
            <w:r>
              <w:rPr>
                <w:caps w:val="false"/>
                <w:smallCaps w:val="false"/>
              </w:rPr>
              <w:t xml:space="preserve"> </w:t>
            </w:r>
            <w:r>
              <w:rPr>
                <w:rFonts w:ascii="Times New Roman;Times;serif" w:hAnsi="Times New Roman;Times;serif"/>
                <w:b w:val="false"/>
                <w:i w:val="false"/>
                <w:caps w:val="false"/>
                <w:smallCaps w:val="false"/>
                <w:sz w:val="20"/>
              </w:rPr>
              <w:t>million was received by the Company. The Watters Creek Investment represents $30.0</w:t>
            </w:r>
            <w:r>
              <w:rPr>
                <w:caps w:val="false"/>
                <w:smallCaps w:val="false"/>
              </w:rPr>
              <w:t xml:space="preserve"> </w:t>
            </w:r>
            <w:r>
              <w:rPr>
                <w:rFonts w:ascii="Times New Roman;Times;serif" w:hAnsi="Times New Roman;Times;serif"/>
                <w:b w:val="false"/>
                <w:i w:val="false"/>
                <w:caps w:val="false"/>
                <w:smallCaps w:val="false"/>
                <w:sz w:val="20"/>
              </w:rPr>
              <w:t>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051" w:name="Tc_J8VAY5ohVUmDly3DL0pstA_6_5"/>
      <w:bookmarkStart w:id="1052" w:name="Tc_OTYexXCV8E6kivVHJwKGLQ_6_2"/>
      <w:bookmarkStart w:id="1053" w:name="Tc_25qqu3XOpEOZQlTfGD_Paw_6_0"/>
      <w:bookmarkStart w:id="1054" w:name="Tc_rlSViGt1zkeJfa-TlhSrow_5_0"/>
      <w:bookmarkStart w:id="1055" w:name="Tc_C1bBvq4KdU2C7ij9z1WVnw_4_0"/>
      <w:bookmarkStart w:id="1056" w:name="Tc_bIidKGkJyE-4GrAmEOvHtg_3_5"/>
      <w:bookmarkStart w:id="1057" w:name="Tc_dVuPqXYl60mlNwX3rFi9Bg_3_2"/>
      <w:bookmarkStart w:id="1058" w:name="Tc_Rvq6L1rhgkyN3y8rhZJUHA_3_0"/>
      <w:bookmarkStart w:id="1059" w:name="Tc_lNjIVp4RqkK0E_NXu-d-Gg_2_5"/>
      <w:bookmarkStart w:id="1060" w:name="Tc_t31MAyxez0eQG1OdEWxr7Q_2_2"/>
      <w:bookmarkStart w:id="1061" w:name="Tc_q3hX0fBypkOg8U31Py4qwQ_1_2"/>
      <w:bookmarkStart w:id="1062" w:name="_0fccdaeb_0787_4b4a_9657_6e74fb017f2b"/>
      <w:bookmarkStart w:id="1063" w:name="Tc_hiFHADL8Ek6QxW90TpQj6w_11_12"/>
      <w:bookmarkStart w:id="1064" w:name="Tc_ufy_ltj9VUKG90AGKi6NNQ_11_0"/>
      <w:bookmarkStart w:id="1065" w:name="Tc_5eRTCDqvrkmBwI0YAJVukA_10_0"/>
      <w:bookmarkStart w:id="1066" w:name="Tc_oKf-N-XK6U6OAfRT-7Ygew_9_12"/>
      <w:bookmarkStart w:id="1067" w:name="Tc_FJ4OqKCkT0W0I8E-qatSyw_9_9"/>
      <w:bookmarkStart w:id="1068" w:name="Tc_lYGFH4W7MECU0W-qktUtTg_9_6"/>
      <w:bookmarkStart w:id="1069" w:name="Tc_Lazmv3PnDEqcGzQ2oRCeXw_8_4"/>
      <w:bookmarkStart w:id="1070" w:name="Tc_oTGuZnxkSEegn0XUDyDVMw_8_2"/>
      <w:bookmarkStart w:id="1071" w:name="Tc_RGjtnR2_R0iRZt4fki8cAw_8_0"/>
      <w:bookmarkStart w:id="1072" w:name="Tc_7_0jebpyJEiD59Kfw5PlzA_7_4"/>
      <w:bookmarkStart w:id="1073" w:name="Tc_En5NV7cy2ketMzfeGDgb9w_7_2"/>
      <w:bookmarkStart w:id="1074" w:name="Tc__EuN_dKD-kutB8LfpumlQg_7_0"/>
      <w:bookmarkStart w:id="1075" w:name="Tc_4Wluhx8MxE2NPtrp78bTJA_6_4"/>
      <w:bookmarkStart w:id="1076" w:name="Tc_aPTEMNF730q3wQhppHJ4QA_6_2"/>
      <w:bookmarkStart w:id="1077" w:name="Tc_Jz5H5HsTg0aAGYeKw_FpWg_6_0"/>
      <w:bookmarkStart w:id="1078" w:name="Tc_U7WLNKgE0ku9hTgOC9eK8g_5_4"/>
      <w:bookmarkStart w:id="1079" w:name="Tc_a4e9E-ikH0CIT4Srm3v4qg_5_2"/>
      <w:bookmarkStart w:id="1080" w:name="Tc_rwtYNhmcIkiGpdjoW5pAWw_5_0"/>
      <w:bookmarkStart w:id="1081" w:name="Tc_Xl8RbR-A0kObJPoKI0WVCQ_4_4"/>
      <w:bookmarkStart w:id="1082" w:name="Tc_RoISq2XoOkCldcLq4SAWwg_4_2"/>
      <w:bookmarkStart w:id="1083" w:name="Tc_HhQl9ieJDEuUCO600GL6RQ_4_0"/>
      <w:bookmarkStart w:id="1084" w:name="Tc_lmf1rwIQYEeXiyZadHBT-A_3_4"/>
      <w:bookmarkStart w:id="1085" w:name="Tc_FLtj7wBnu0GHqun7YK_oHg_3_2"/>
      <w:bookmarkStart w:id="1086" w:name="Tc_hH8jaYGHIUe4V5JenZoizA_3_0"/>
      <w:bookmarkStart w:id="1087" w:name="Tc_T5bN-sOujkKjV3W4uzTlGw_2_12"/>
      <w:bookmarkStart w:id="1088" w:name="Tc_XzTScawM3UGYBqMu_ISSJw_2_9"/>
      <w:bookmarkStart w:id="1089" w:name="Tc_DZhRxqMquUmWwzi_fvesaw_2_6"/>
      <w:bookmarkStart w:id="1090" w:name="Tc_enGYG-q16UG3nTnTzqhCmQ_2_4"/>
      <w:bookmarkStart w:id="1091" w:name="Tc_q-4MTUKtVE2gzsdUe4BsaQ_2_2"/>
      <w:bookmarkStart w:id="1092" w:name="Tc_kM4LhKOJgkq6Dd1HdrsSTA_2_0"/>
      <w:bookmarkStart w:id="1093" w:name="Tc_AbulWgCXwk-d8fIpXe78IA_1_15"/>
      <w:bookmarkStart w:id="1094" w:name="Tc_qWd12KOkok6_X3UcZXrAdA_1_12"/>
      <w:bookmarkStart w:id="1095" w:name="Tc_nzZu03Knm0WSlBOwmL9CCw_1_9"/>
      <w:bookmarkStart w:id="1096" w:name="Tc_xRmac2hGRUSzH82tWhgYgQ_1_6"/>
      <w:bookmarkStart w:id="1097" w:name="Tc_GZnF6HmPCEKLws11nSueKw_1_4"/>
      <w:bookmarkStart w:id="1098" w:name="Tc_i5AdQjYjsEy71CEx9DDLkw_1_2"/>
      <w:bookmarkStart w:id="1099" w:name="Tc_MYx6nvHRrUqFi0TGRe5Gdg_1_0"/>
      <w:bookmarkStart w:id="1100" w:name="_f21b32f9_234a_4bc6_8610_dc76ae593e82"/>
      <w:bookmarkStart w:id="1101" w:name="Tc_Vzd_kjudbE634DpUk2JfnQ_10_12"/>
      <w:bookmarkStart w:id="1102" w:name="Tc_D6uAplVZzkW89wKFVJ-QiA_10_0"/>
      <w:bookmarkStart w:id="1103" w:name="Tc__6qOwLCVlE61AfQHwCj7iQ_9_0"/>
      <w:bookmarkStart w:id="1104" w:name="Tc_3hcPNVpLTkmdzcc9ZrP4ow_8_12"/>
      <w:bookmarkStart w:id="1105" w:name="Tc_FjNKmQtyCEKz9N_ZQhOWWg_8_9"/>
      <w:bookmarkStart w:id="1106" w:name="Tc_6FDrqJdnWk6snl4RSnYaNg_8_6"/>
      <w:bookmarkStart w:id="1107" w:name="Tc_Jpk3VLmCS0iVhXg85Dz7Kw_7_4"/>
      <w:bookmarkStart w:id="1108" w:name="Tc_GFGV2Hi9rEWqfXCJzcbPmw_7_2"/>
      <w:bookmarkStart w:id="1109" w:name="Tc_nl1nqEoqbUKSV1ZPJxnZ0w_7_0"/>
      <w:bookmarkStart w:id="1110" w:name="Tc_MI7yJLt6zkWQs17d4yBHiQ_6_4"/>
      <w:bookmarkStart w:id="1111" w:name="Tc_0tQmawLB-Eii9clvirq7GQ_6_2"/>
      <w:bookmarkStart w:id="1112" w:name="Tc_xqAr9yLhqUW9FBfcVBb9Ww_6_0"/>
      <w:bookmarkStart w:id="1113" w:name="Tc_MYBMhI1uZUKr1FFx0KIBaA_5_4"/>
      <w:bookmarkStart w:id="1114" w:name="Tc_MEXMcS5CbUG4wS2kTfe9Mw_5_2"/>
      <w:bookmarkStart w:id="1115" w:name="Tc_x41Fd2KCfU21epmuUH1ntQ_5_0"/>
      <w:bookmarkStart w:id="1116" w:name="Tc_lQoy0eWkzESEZn3V_uD2dQ_4_4"/>
      <w:bookmarkStart w:id="1117" w:name="Tc_qbfRVo9MW02xdazTKjlWFA_4_2"/>
      <w:bookmarkStart w:id="1118" w:name="Tc_PePKFy1hVEGj2yfxE3Apiw_4_0"/>
      <w:bookmarkStart w:id="1119" w:name="Tc_dMYgDqsHx0izcCfsG2_nSQ_3_4"/>
      <w:bookmarkStart w:id="1120" w:name="Tc_HH2glTUkXka8CcE9-acssg_3_2"/>
      <w:bookmarkStart w:id="1121" w:name="Tc_eeaNgJHD_ECG_WWs7ycorQ_3_0"/>
      <w:bookmarkStart w:id="1122" w:name="Tc_mIIOZXJXMEWfuTnsdsx6Pg_2_12"/>
      <w:bookmarkStart w:id="1123" w:name="Tc_HcjU6VZ7yEqflkq_PrhzMQ_2_9"/>
      <w:bookmarkStart w:id="1124" w:name="Tc_WepIAV22JkGTHb-hRNkgGw_2_6"/>
      <w:bookmarkStart w:id="1125" w:name="Tc_HI5k8s_aokiI1cXPSn2A_w_2_4"/>
      <w:bookmarkStart w:id="1126" w:name="Tc_gzNy7_1HxkenOaRfNC8CLg_2_2"/>
      <w:bookmarkStart w:id="1127" w:name="Tc_fO1-YVMrS0-5b0XRhVJ5NA_2_0"/>
      <w:bookmarkStart w:id="1128" w:name="Tc_C87-11FbRUyxDO6cDEQwHQ_1_15"/>
      <w:bookmarkStart w:id="1129" w:name="Tc_TS0qUzTf-UWlsXUC6wEkDQ_1_12"/>
      <w:bookmarkStart w:id="1130" w:name="Tc_KdP-R6azhkKeZiybAtauLw_1_9"/>
      <w:bookmarkStart w:id="1131" w:name="Tc_-7kYCgLESUeVltnL5DUnWQ_1_6"/>
      <w:bookmarkStart w:id="1132" w:name="Tc_czZauQxFMEacILtm0QQpnw_1_4"/>
      <w:bookmarkStart w:id="1133" w:name="Tc_mFvVhD8ejk-Cy04fpxHT5w_1_2"/>
      <w:bookmarkStart w:id="1134" w:name="Tc_XFC_T11KQk-X3X5o1AImjw_1_0"/>
      <w:bookmarkStart w:id="1135" w:name="_59ed3344_7d72_4d5e_9d16_cf953278e57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r>
        <w:rPr>
          <w:rFonts w:ascii="Times New Roman;Times;serif" w:hAnsi="Times New Roman;Times;serif"/>
          <w:sz w:val="20"/>
        </w:rPr>
        <w:t>The Company’s commercial loans and investments were comprised of the following at September 30, 2025 (in thousands):</w:t>
      </w:r>
    </w:p>
    <w:tbl>
      <w:tblPr>
        <w:tblW w:w="10205" w:type="dxa"/>
        <w:jc w:val="left"/>
        <w:tblInd w:w="0" w:type="dxa"/>
        <w:tblLayout w:type="fixed"/>
        <w:tblCellMar>
          <w:top w:w="0" w:type="dxa"/>
          <w:left w:w="0" w:type="dxa"/>
          <w:bottom w:w="0" w:type="dxa"/>
          <w:right w:w="0" w:type="dxa"/>
        </w:tblCellMar>
      </w:tblPr>
      <w:tblGrid>
        <w:gridCol w:w="1918"/>
        <w:gridCol w:w="326"/>
        <w:gridCol w:w="1107"/>
        <w:gridCol w:w="326"/>
        <w:gridCol w:w="984"/>
        <w:gridCol w:w="326"/>
        <w:gridCol w:w="262"/>
        <w:gridCol w:w="926"/>
        <w:gridCol w:w="326"/>
        <w:gridCol w:w="260"/>
        <w:gridCol w:w="917"/>
        <w:gridCol w:w="326"/>
        <w:gridCol w:w="223"/>
        <w:gridCol w:w="789"/>
        <w:gridCol w:w="326"/>
        <w:gridCol w:w="863"/>
      </w:tblGrid>
      <w:tr>
        <w:trPr/>
        <w:tc>
          <w:tcPr>
            <w:tcW w:w="1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17930" cy="175260"/>
                      <wp:effectExtent l="0" t="0" r="0" b="0"/>
                      <wp:wrapNone/>
                      <wp:docPr id="136" name="Frame136"/>
                      <a:graphic xmlns:a="http://schemas.openxmlformats.org/drawingml/2006/main">
                        <a:graphicData uri="http://schemas.microsoft.com/office/word/2010/wordprocessingShape">
                          <wps:wsp>
                            <wps:cNvSpPr txBox="1"/>
                            <wps:spPr>
                              <a:xfrm>
                                <a:off x="0" y="0"/>
                                <a:ext cx="1217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02945" cy="175260"/>
                      <wp:effectExtent l="0" t="0" r="0" b="0"/>
                      <wp:wrapNone/>
                      <wp:docPr id="138" name="Frame138"/>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24840" cy="175260"/>
                      <wp:effectExtent l="0" t="0" r="0" b="0"/>
                      <wp:wrapNone/>
                      <wp:docPr id="140" name="Frame140"/>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6370" cy="175260"/>
                      <wp:effectExtent l="0" t="0" r="0" b="0"/>
                      <wp:wrapNone/>
                      <wp:docPr id="142" name="Frame142"/>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88010" cy="175260"/>
                      <wp:effectExtent l="0" t="0" r="0" b="0"/>
                      <wp:wrapNone/>
                      <wp:docPr id="143" name="Frame143"/>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5100" cy="175260"/>
                      <wp:effectExtent l="0" t="0" r="0" b="0"/>
                      <wp:wrapNone/>
                      <wp:docPr id="145" name="Frame14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82295" cy="175260"/>
                      <wp:effectExtent l="0" t="0" r="0" b="0"/>
                      <wp:wrapNone/>
                      <wp:docPr id="146" name="Frame146"/>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41605" cy="175260"/>
                      <wp:effectExtent l="0" t="0" r="0" b="0"/>
                      <wp:wrapNone/>
                      <wp:docPr id="148" name="Frame14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01015" cy="175260"/>
                      <wp:effectExtent l="0" t="0" r="0" b="0"/>
                      <wp:wrapNone/>
                      <wp:docPr id="149" name="Frame149"/>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48005" cy="175260"/>
                      <wp:effectExtent l="0" t="0" r="0" b="0"/>
                      <wp:wrapNone/>
                      <wp:docPr id="151" name="Frame151"/>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1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0"/>
              <w:ind w:left="0" w:right="0" w:hanging="0"/>
              <w:jc w:val="left"/>
              <w:rPr/>
            </w:pPr>
            <w:r>
              <w:rPr/>
              <w:t>    </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0"/>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0"/>
              <w:ind w:left="0" w:right="0" w:hanging="0"/>
              <w:jc w:val="left"/>
              <w:rPr/>
            </w:pPr>
            <w:r>
              <w:rPr/>
              <w:t>    </w:t>
            </w:r>
          </w:p>
        </w:tc>
        <w:tc>
          <w:tcPr>
            <w:tcW w:w="11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0"/>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Preferred Investment – Watters Creek – Allen, TX</w:t>
            </w:r>
          </w:p>
        </w:tc>
        <w:tc>
          <w:tcPr>
            <w:tcW w:w="326"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2022</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2026</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29,961</w:t>
            </w:r>
          </w:p>
        </w:tc>
        <w:tc>
          <w:tcPr>
            <w:tcW w:w="326"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Founders Square – Dallas, TX</w:t>
            </w:r>
          </w:p>
        </w:tc>
        <w:tc>
          <w:tcPr>
            <w:tcW w:w="32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2023</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2026</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14,979</w:t>
            </w:r>
          </w:p>
        </w:tc>
        <w:tc>
          <w:tcPr>
            <w:tcW w:w="326"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Series A Preferred Investment </w:t>
            </w:r>
          </w:p>
        </w:tc>
        <w:tc>
          <w:tcPr>
            <w:tcW w:w="326"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2024</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2029</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9,925</w:t>
            </w:r>
          </w:p>
        </w:tc>
        <w:tc>
          <w:tcPr>
            <w:tcW w:w="326"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14.00%</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Rivana - Herndon, VA</w:t>
            </w:r>
          </w:p>
        </w:tc>
        <w:tc>
          <w:tcPr>
            <w:tcW w:w="32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2024</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2026</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42,000</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42,000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41,732</w:t>
            </w:r>
          </w:p>
        </w:tc>
        <w:tc>
          <w:tcPr>
            <w:tcW w:w="326"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11.50%</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Whole Foods - Forsyth, GA</w:t>
            </w:r>
          </w:p>
        </w:tc>
        <w:tc>
          <w:tcPr>
            <w:tcW w:w="326"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2024</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2027</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40,200</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12,011</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11,754</w:t>
            </w:r>
          </w:p>
        </w:tc>
        <w:tc>
          <w:tcPr>
            <w:tcW w:w="326"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12.15%</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Mortgage Note - Mainstreet - Daytona Beach, FL </w:t>
            </w:r>
          </w:p>
        </w:tc>
        <w:tc>
          <w:tcPr>
            <w:tcW w:w="32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2025</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2030</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5,000</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5,000</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4,976</w:t>
            </w:r>
          </w:p>
        </w:tc>
        <w:tc>
          <w:tcPr>
            <w:tcW w:w="326"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6.50%</w:t>
            </w:r>
          </w:p>
        </w:tc>
      </w:tr>
      <w:tr>
        <w:trPr/>
        <w:tc>
          <w:tcPr>
            <w:tcW w:w="19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142,200</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114,011</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113,327</w:t>
            </w:r>
          </w:p>
        </w:tc>
        <w:tc>
          <w:tcPr>
            <w:tcW w:w="326"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center"/>
              <w:rPr/>
            </w:pPr>
            <w:r>
              <w:rPr/>
              <w:t>​</w:t>
            </w:r>
          </w:p>
        </w:tc>
      </w:tr>
      <w:tr>
        <w:trPr/>
        <w:tc>
          <w:tcPr>
            <w:tcW w:w="1918"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(1,140)</w:t>
            </w:r>
          </w:p>
        </w:tc>
        <w:tc>
          <w:tcPr>
            <w:tcW w:w="326"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left"/>
              <w:rPr/>
            </w:pPr>
            <w:r>
              <w:rPr/>
              <w:t>​</w:t>
            </w:r>
          </w:p>
        </w:tc>
      </w:tr>
      <w:tr>
        <w:trPr/>
        <w:tc>
          <w:tcPr>
            <w:tcW w:w="191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112,187</w:t>
            </w:r>
          </w:p>
        </w:tc>
        <w:tc>
          <w:tcPr>
            <w:tcW w:w="326"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lineRule="auto" w:line="266" w:before="0" w:after="0"/>
        <w:ind w:left="0" w:right="0" w:firstLine="490"/>
        <w:jc w:val="both"/>
        <w:rPr/>
      </w:pPr>
      <w:r>
        <w:rPr/>
        <w:t>​</w:t>
      </w:r>
    </w:p>
    <w:p>
      <w:pPr>
        <w:pStyle w:val="TextBody"/>
        <w:bidi w:val="0"/>
        <w:spacing w:lineRule="auto" w:line="266" w:before="0" w:after="0"/>
        <w:ind w:left="0" w:right="0" w:firstLine="490"/>
        <w:jc w:val="both"/>
        <w:rPr>
          <w:rFonts w:ascii="Times New Roman;Times;serif" w:hAnsi="Times New Roman;Times;serif"/>
          <w:sz w:val="20"/>
        </w:rPr>
      </w:pPr>
      <w:r>
        <w:rPr>
          <w:rFonts w:ascii="Times New Roman;Times;serif" w:hAnsi="Times New Roman;Times;serif"/>
          <w:sz w:val="20"/>
        </w:rPr>
        <w:t>During the nine months ended September 30, 2025, the Company's $5.6 million Construction Loan secured by the Hypoluxo property in Lake Worth, Florida and the $0.4 million Promissory Note secured by the Main Street property in Daytona Beach, Florida were both repaid in full.</w:t>
      </w:r>
    </w:p>
    <w:p>
      <w:pPr>
        <w:pStyle w:val="TextBody"/>
        <w:bidi w:val="0"/>
        <w:spacing w:lineRule="auto" w:line="266" w:before="0" w:after="0"/>
        <w:ind w:left="0" w:right="0" w:firstLine="490"/>
        <w:jc w:val="both"/>
        <w:rPr/>
      </w:pPr>
      <w:r>
        <w:rPr/>
        <w:t>​</w:t>
      </w:r>
    </w:p>
    <w:p>
      <w:pPr>
        <w:pStyle w:val="TextBody"/>
        <w:bidi w:val="0"/>
        <w:spacing w:lineRule="auto" w:line="266"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Company’s commercial loans and investments were comprised of the following at December 31, 2024 (in thousands): </w:t>
      </w:r>
    </w:p>
    <w:tbl>
      <w:tblPr>
        <w:tblW w:w="10205" w:type="dxa"/>
        <w:jc w:val="left"/>
        <w:tblInd w:w="0" w:type="dxa"/>
        <w:tblLayout w:type="fixed"/>
        <w:tblCellMar>
          <w:top w:w="0" w:type="dxa"/>
          <w:left w:w="0" w:type="dxa"/>
          <w:bottom w:w="0" w:type="dxa"/>
          <w:right w:w="0" w:type="dxa"/>
        </w:tblCellMar>
      </w:tblPr>
      <w:tblGrid>
        <w:gridCol w:w="1953"/>
        <w:gridCol w:w="326"/>
        <w:gridCol w:w="1101"/>
        <w:gridCol w:w="326"/>
        <w:gridCol w:w="980"/>
        <w:gridCol w:w="326"/>
        <w:gridCol w:w="260"/>
        <w:gridCol w:w="919"/>
        <w:gridCol w:w="326"/>
        <w:gridCol w:w="258"/>
        <w:gridCol w:w="910"/>
        <w:gridCol w:w="326"/>
        <w:gridCol w:w="223"/>
        <w:gridCol w:w="786"/>
        <w:gridCol w:w="326"/>
        <w:gridCol w:w="859"/>
      </w:tblGrid>
      <w:tr>
        <w:trPr/>
        <w:tc>
          <w:tcPr>
            <w:tcW w:w="19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left"/>
              <w:rPr/>
            </w:pPr>
            <w:r>
              <w:rPr/>
              <w:t>​</w:t>
            </w:r>
          </w:p>
        </w:tc>
      </w:tr>
      <w:tr>
        <w:trPr/>
        <w:tc>
          <w:tcPr>
            <w:tcW w:w="19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0"/>
              <w:ind w:left="0" w:right="0" w:hanging="0"/>
              <w:jc w:val="left"/>
              <w:rPr/>
            </w:pPr>
            <w:r>
              <w:rPr/>
              <w:t>    </w:t>
            </w:r>
          </w:p>
        </w:tc>
        <w:tc>
          <w:tcPr>
            <w:tcW w:w="1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0"/>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0"/>
              <w:ind w:left="0" w:right="0" w:hanging="0"/>
              <w:jc w:val="left"/>
              <w:rPr/>
            </w:pPr>
            <w:r>
              <w:rPr/>
              <w:t>    </w:t>
            </w:r>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0"/>
              <w:ind w:left="0" w:right="0" w:hanging="0"/>
              <w:jc w:val="left"/>
              <w:rPr/>
            </w:pPr>
            <w:r>
              <w:rPr/>
              <w:t>    </w:t>
            </w:r>
          </w:p>
        </w:tc>
        <w:tc>
          <w:tcPr>
            <w:tcW w:w="11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0"/>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Preferred Investment – Watters Creek – Allen, TX</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2022</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2025</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29,987</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9.00%</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Founders Square – Dallas, TX</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2023</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2026</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15,000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14,942</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Promissory Note – Main Street – Daytona Beach, FL</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2023</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2033</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7.00%</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Construction Loan - Hypoluxo - Lake Worth, FL </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2024</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2025</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5,638</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5,638</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5,598</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Series A Preferred Investment </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2024</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2029</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9,910</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14.00%</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Rivana - Herndon, VA</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2024</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2026</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42,000</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42,000</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41,530</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Whole Foods - Forsyth, GA</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2024</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2027</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40,200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4,125</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3,748</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12.15%</w:t>
            </w:r>
          </w:p>
        </w:tc>
      </w:tr>
      <w:tr>
        <w:trPr/>
        <w:tc>
          <w:tcPr>
            <w:tcW w:w="19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143,238</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9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107,163</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106,115</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pPr>
            <w:r>
              <w:rPr/>
              <w:t>​</w:t>
            </w:r>
          </w:p>
        </w:tc>
      </w:tr>
      <w:tr>
        <w:trPr/>
        <w:tc>
          <w:tcPr>
            <w:tcW w:w="19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11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(1,072)</w:t>
            </w:r>
          </w:p>
        </w:tc>
        <w:tc>
          <w:tcPr>
            <w:tcW w:w="326"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left"/>
              <w:rPr/>
            </w:pPr>
            <w:r>
              <w:rPr/>
              <w:t>​</w:t>
            </w:r>
          </w:p>
        </w:tc>
      </w:tr>
      <w:tr>
        <w:trPr/>
        <w:tc>
          <w:tcPr>
            <w:tcW w:w="19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1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105,043</w:t>
            </w:r>
          </w:p>
        </w:tc>
        <w:tc>
          <w:tcPr>
            <w:tcW w:w="326"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carrying value of the commercial loans and investments portfolio at September 30, 2025 and December 31, 2024 consisted of the following (in thousands):</w:t>
      </w:r>
    </w:p>
    <w:tbl>
      <w:tblPr>
        <w:tblW w:w="7688" w:type="dxa"/>
        <w:jc w:val="left"/>
        <w:tblInd w:w="0" w:type="dxa"/>
        <w:tblLayout w:type="fixed"/>
        <w:tblCellMar>
          <w:top w:w="0" w:type="dxa"/>
          <w:left w:w="0" w:type="dxa"/>
          <w:bottom w:w="0" w:type="dxa"/>
          <w:right w:w="0" w:type="dxa"/>
        </w:tblCellMar>
      </w:tblPr>
      <w:tblGrid>
        <w:gridCol w:w="3496"/>
        <w:gridCol w:w="326"/>
        <w:gridCol w:w="375"/>
        <w:gridCol w:w="1395"/>
        <w:gridCol w:w="326"/>
        <w:gridCol w:w="340"/>
        <w:gridCol w:w="1430"/>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38125" cy="175260"/>
                      <wp:effectExtent l="0" t="0" r="0" b="0"/>
                      <wp:wrapNone/>
                      <wp:docPr id="153" name="Frame15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885825" cy="175260"/>
                      <wp:effectExtent l="0" t="0" r="0" b="0"/>
                      <wp:wrapNone/>
                      <wp:docPr id="154" name="Frame154"/>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5900" cy="175260"/>
                      <wp:effectExtent l="0" t="0" r="0" b="0"/>
                      <wp:wrapNone/>
                      <wp:docPr id="156" name="Frame156"/>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908050" cy="175260"/>
                      <wp:effectExtent l="0" t="0" r="0" b="0"/>
                      <wp:wrapNone/>
                      <wp:docPr id="157" name="Frame157"/>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114,011</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107,163</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112,187</w:t>
            </w:r>
          </w:p>
        </w:tc>
        <w:tc>
          <w:tcPr>
            <w:tcW w:w="326" w:type="dxa"/>
            <w:tcBorders/>
            <w:vAlign w:val="center"/>
          </w:tcPr>
          <w:p>
            <w:pPr>
              <w:pStyle w:val="TableContents"/>
              <w:bidi w:val="0"/>
              <w:spacing w:before="0" w:after="0"/>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105,043</w:t>
            </w:r>
          </w:p>
        </w:tc>
      </w:tr>
    </w:tbl>
    <w:p>
      <w:pPr>
        <w:pStyle w:val="TextBody"/>
        <w:bidi w:val="0"/>
        <w:spacing w:before="0" w:after="0"/>
        <w:ind w:left="0" w:right="0" w:firstLine="49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5.  MANAGEMENT SERVICES BUSINESS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Company’s management fee income is within the scope of FASB ASC Topic 606, </w:t>
      </w:r>
      <w:r>
        <w:rPr>
          <w:rFonts w:ascii="Times New Roman;Times;serif" w:hAnsi="Times New Roman;Times;serif"/>
          <w:i/>
          <w:sz w:val="20"/>
        </w:rPr>
        <w:t>Revenue from Contracts with Customers</w:t>
      </w:r>
      <w:r>
        <w:rPr>
          <w:rFonts w:ascii="Times New Roman;Times;serif" w:hAnsi="Times New Roman;Times;serif"/>
          <w:sz w:val="20"/>
        </w:rPr>
        <w:t>. Management fee income is recognized as revenue over time, over the period the services are performed.</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i/>
          <w:sz w:val="20"/>
        </w:rPr>
        <w:t>Alpine Income Property Trust.</w:t>
      </w:r>
      <w:r>
        <w:rPr>
          <w:rFonts w:ascii="Times New Roman;Times;serif" w:hAnsi="Times New Roman;Times;serif"/>
          <w:sz w:val="20"/>
        </w:rPr>
        <w:t xml:space="preserve"> Pursuant to the Company’s management agreement with PINE, the Company generates a base management fee equal to 0.375% per quarter of PINE’s total equity (as defined in the management agreement and based on a 1.5% annual rate), calculated and payable in cash, quarterly in arrears.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136" w:name="Tc_gEWjmJtkCESTjB7oixwSXg_6_5"/>
      <w:bookmarkStart w:id="1137" w:name="Tc_0_tCZI4ia06siNctRlUN-g_6_2"/>
      <w:bookmarkStart w:id="1138" w:name="Tc_vLb6pJ_1wEaH41FFdEsmEA_6_0"/>
      <w:bookmarkStart w:id="1139" w:name="Tc_spk9M5ZBzEiNkNzxGqs8Qw_5_0"/>
      <w:bookmarkStart w:id="1140" w:name="Tc__6xWMSEeS0OXGRiwImFjmA_4_0"/>
      <w:bookmarkStart w:id="1141" w:name="Tc_Jw2e0Ka5rU67OFJ9ubYdFw_3_5"/>
      <w:bookmarkStart w:id="1142" w:name="Tc_YZyy0b04YUmuzCBr8J_66Q_3_2"/>
      <w:bookmarkStart w:id="1143" w:name="Tc_X0m2Xx_960W5b7gCgRUoXw_3_0"/>
      <w:bookmarkStart w:id="1144" w:name="Tc_L-KvIkahqEm5Nda87ta_XQ_2_5"/>
      <w:bookmarkStart w:id="1145" w:name="Tc_J9n3AA0OYkGofQOH-DnEvQ_2_2"/>
      <w:bookmarkStart w:id="1146" w:name="Tc_CY0vGFS2GEiPMhsGWjuwdQ_2_0"/>
      <w:bookmarkStart w:id="1147" w:name="Tc_HO6QnPBtN0m9L5l5cRh3uw_1_2"/>
      <w:bookmarkStart w:id="1148" w:name="_fb79294d_c712_4aa2_b943_483ec32b6de3"/>
      <w:bookmarkEnd w:id="1136"/>
      <w:bookmarkEnd w:id="1137"/>
      <w:bookmarkEnd w:id="1138"/>
      <w:bookmarkEnd w:id="1139"/>
      <w:bookmarkEnd w:id="1140"/>
      <w:bookmarkEnd w:id="1141"/>
      <w:bookmarkEnd w:id="1142"/>
      <w:bookmarkEnd w:id="1143"/>
      <w:bookmarkEnd w:id="1144"/>
      <w:bookmarkEnd w:id="1145"/>
      <w:bookmarkEnd w:id="1146"/>
      <w:bookmarkEnd w:id="1147"/>
      <w:bookmarkEnd w:id="1148"/>
      <w:r>
        <w:rPr>
          <w:rFonts w:ascii="Times New Roman;Times;serif" w:hAnsi="Times New Roman;Times;serif"/>
          <w:sz w:val="20"/>
        </w:rPr>
        <w:t>amount equal to the greater of (i) $0.00 and (ii) the product of (a) 15% multiplied by (b) the Outperformance Amount multiplied by (c) the weighted average shares. No incentive fee was earned for the year ended December 31, 2024.</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The Company earned management fee revenue from PINE for each of the three month periods ended September 30, 2025 and 2024 of $1.1 million. </w:t>
      </w:r>
      <w:r>
        <w:rPr>
          <w:rFonts w:ascii="Times New Roman;Times;serif" w:hAnsi="Times New Roman;Times;serif"/>
          <w:color w:val="212529"/>
          <w:sz w:val="20"/>
          <w:shd w:fill="FFFFFF" w:val="clear"/>
        </w:rPr>
        <w:t>During the nine months ended September 30, 2025 and 2024, the Company earned management fee revenue from PINE totaling </w:t>
      </w:r>
      <w:r>
        <w:rPr>
          <w:rFonts w:ascii="Times New Roman;Times;serif" w:hAnsi="Times New Roman;Times;serif"/>
          <w:sz w:val="20"/>
        </w:rPr>
        <w:t xml:space="preserve">$3.3 million and $3.1 million, respectively. Dividend income for the each of the three month periods ended September 30, 2025 and 2024 totaled $0.7 million. Dividend income for the nine months ended September 30, 2025 and 2024 totaled $2.1 million and $1.9 million, respectively. </w:t>
      </w:r>
      <w:r>
        <w:rPr>
          <w:rFonts w:ascii="Times New Roman;Times;serif" w:hAnsi="Times New Roman;Times;serif"/>
          <w:sz w:val="20"/>
          <w:shd w:fill="FFFFFF" w:val="clear"/>
        </w:rPr>
        <w:t>Management fee revenue from PINE, included in management services, and dividend income, included in investment and other income (loss), are reflected in the accompanying consolidated statements of operations.</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 xml:space="preserve">The following table represents amounts due from PINE as of September 30, 2025 and December 31, 2024 which are included in other assets on the consolidated balance sheets (in thousands): </w:t>
      </w:r>
    </w:p>
    <w:tbl>
      <w:tblPr>
        <w:tblW w:w="7516" w:type="dxa"/>
        <w:jc w:val="left"/>
        <w:tblInd w:w="0" w:type="dxa"/>
        <w:tblLayout w:type="fixed"/>
        <w:tblCellMar>
          <w:top w:w="0" w:type="dxa"/>
          <w:left w:w="0" w:type="dxa"/>
          <w:bottom w:w="0" w:type="dxa"/>
          <w:right w:w="0" w:type="dxa"/>
        </w:tblCellMar>
      </w:tblPr>
      <w:tblGrid>
        <w:gridCol w:w="3541"/>
        <w:gridCol w:w="326"/>
        <w:gridCol w:w="477"/>
        <w:gridCol w:w="1293"/>
        <w:gridCol w:w="109"/>
        <w:gridCol w:w="420"/>
        <w:gridCol w:w="1350"/>
      </w:tblGrid>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821055" cy="175260"/>
                      <wp:effectExtent l="0" t="0" r="0" b="0"/>
                      <wp:wrapNone/>
                      <wp:docPr id="158" name="Frame158"/>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857250" cy="175260"/>
                      <wp:effectExtent l="0" t="0" r="0" b="0"/>
                      <wp:wrapNone/>
                      <wp:docPr id="160" name="Frame160"/>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5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 Fee Due From PINE</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Receivable</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4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w:t>
            </w:r>
          </w:p>
        </w:tc>
        <w:tc>
          <w:tcPr>
            <w:tcW w:w="109"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1,468</w:t>
            </w:r>
          </w:p>
        </w:tc>
      </w:tr>
    </w:tbl>
    <w:p>
      <w:pPr>
        <w:pStyle w:val="TextBody"/>
        <w:bidi w:val="0"/>
        <w:spacing w:before="0" w:after="0"/>
        <w:ind w:left="0" w:right="0" w:hanging="0"/>
        <w:jc w:val="left"/>
        <w:rPr/>
      </w:pPr>
      <w:r>
        <w:rPr/>
        <w:t>​</w:t>
      </w:r>
    </w:p>
    <w:p>
      <w:pPr>
        <w:pStyle w:val="TextBody"/>
        <w:pBdr/>
        <w:shd w:fill="FFFFFF" w:val="clea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26, 2021, the Company’s Board of Directors authorized the purchase by the Company of up to $5.0 million in shares of common stock of PINE (the “Prior PINE Share Purchase Authorization”). Pursuant to the Prior PINE Share Purchase Authorization, during the year ended December 31, 2022, the Company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February 16, 2023, the Company’s Board of Directors cancelled the Prior PINE Share Purchase Authorization and authorized the purchase by the Company of up to $2.1 million in shares of common stock of PINE (the “February 2023 PINE Share Purchase Authorization”). Pursuant to the February 2023 PINE Share Purchase Authorization, during the nine months ended September 30, 2023, the Company purchased 129,271 shares of PINE common stock on the open market for a total of $2.1 million, or an average price of $16.21 per share, which completed the February 2023 PINE Share Purchase Authorization.</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December 12, 2023, the Company’s Board of Directors authorized the purchase by the Company of up to $2.0 million in shares of common stock of PINE (the “December 2023 PINE Share Purchase Authorization”). No purchases of PINE common stock were made pursuant to the December 2023 PINE Share Purchase Authorization during the year ended December 31, 2023. Pursuant to the December 2023 PINE Share Purchase Authorization, during the year ended December 31, 2024, the Company purchased 29,807 shares of PINE common stock on the open market for a total of $0.4 million, or an average price of $14.97 per share. During the nine months ended September 30, 2025, the Company purchased 109,081 shares of PINE common stock on the open market for a total of $1.6 million, or an average price of $14.24 per share, which completed the December 2023 PINE Share Purchase Authorization. On October 21, 2025, the Company’s Board of Directors authorized the purchase by the Company of up to $3.0 million in shares of common stock of PINE (the “October 2025 PINE Share Purchase Authorization”). </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September 30, 2025, the Company owns, in the aggregate, 1,223,854 OP Units and 1,247,702 shares of PINE common stock, representing an investment totaling $35.0 million, or 16.1% of PINE’s outstanding equity.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Portfolio Management Agreement. </w:t>
      </w:r>
      <w:r>
        <w:rPr>
          <w:rFonts w:ascii="Times New Roman;Times;serif" w:hAnsi="Times New Roman;Times;serif"/>
          <w:sz w:val="20"/>
        </w:rPr>
        <w:t>On December 4, 2023, the Company entered into an asset management agreement 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receives (or expects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Pursuant to the Portfolio Management Agreement, which is included in management fee income on the Company’s consolidated statements of operations, the Company recognized less than $0.1 million of revenue during each of the three month periods ended September 30, 2025 and September 30, 2024. During the nine months ended September 30, 2025 and 2024, the Company recognized $0.2 million and $0.1 million of revenue, respectively.</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Asset Management Agreement. </w:t>
      </w:r>
      <w:r>
        <w:rPr>
          <w:rFonts w:ascii="Times New Roman;Times;serif" w:hAnsi="Times New Roman;Times;serif"/>
          <w:sz w:val="20"/>
        </w:rPr>
        <w:t>On February 16, 2024, the Company entered into the Subsurface Management Agreement with a third party in conjunction with the sale of the Company’s remaining Subsurface Interests as further described in Note 6, “Real Estate Operations” below. The Company receives management and other fees pursuant to the Subsurface Management Agreement. The Company recognized less than $0.1 million of revenue during each of the three and nine months ended September 30, 2025 and 2024 pursuant to the Subsurface Management Agreement, which is included in management fee income on the Company’s consolidated statements of operations.</w:t>
      </w:r>
    </w:p>
    <w:p>
      <w:pPr>
        <w:pStyle w:val="TextBody"/>
        <w:bidi w:val="0"/>
        <w:spacing w:before="280" w:after="0"/>
        <w:ind w:left="0" w:right="0" w:hanging="0"/>
        <w:jc w:val="left"/>
        <w:rPr/>
      </w:pPr>
      <w:bookmarkStart w:id="1149" w:name="Tc_HyQMIk2s9Ua36DAZghXKkQ_4_5"/>
      <w:bookmarkStart w:id="1150" w:name="Tc_9lUyv8foJkiPdwaCCOARIA_4_2"/>
      <w:bookmarkStart w:id="1151" w:name="Tc_CdNYy3pBAkKSj5Nk0hoUnw_4_0"/>
      <w:bookmarkStart w:id="1152" w:name="Tc_sEeUQTJNGku5Gmao6QECXA_3_5"/>
      <w:bookmarkStart w:id="1153" w:name="Tc_eFPUmTunC0ioQMhjwK1h7g_3_2"/>
      <w:bookmarkStart w:id="1154" w:name="Tc_eZhDlQqjLkGQRJq8-KpwkQ_3_0"/>
      <w:bookmarkStart w:id="1155" w:name="Tc_Rel_o77XnE-9FE1sO4YIZg_2_5"/>
      <w:bookmarkStart w:id="1156" w:name="Tc_JzzaXF5lhE2r7MTm7nNbAw_2_2"/>
      <w:bookmarkStart w:id="1157" w:name="Tc_xePI06g-9UmpLVytpqznZA_1_2"/>
      <w:bookmarkStart w:id="1158" w:name="_6bcbc6f6_0cad_4d79_a54f_225a4c1d3c83"/>
      <w:bookmarkEnd w:id="1149"/>
      <w:bookmarkEnd w:id="1150"/>
      <w:bookmarkEnd w:id="1151"/>
      <w:bookmarkEnd w:id="1152"/>
      <w:bookmarkEnd w:id="1153"/>
      <w:bookmarkEnd w:id="1154"/>
      <w:bookmarkEnd w:id="1155"/>
      <w:bookmarkEnd w:id="1156"/>
      <w:bookmarkEnd w:id="1157"/>
      <w:bookmarkEnd w:id="1158"/>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6. REAL ESTATE OPERATIONS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Real Estate Operations </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Land and development costs at September 30, 2025 and December 31, 2024 were as follows (in thousands):</w:t>
      </w:r>
    </w:p>
    <w:p>
      <w:pPr>
        <w:pStyle w:val="TextBody"/>
        <w:bidi w:val="0"/>
        <w:spacing w:before="0" w:after="0"/>
        <w:ind w:left="0" w:right="0" w:firstLine="490"/>
        <w:jc w:val="both"/>
        <w:rPr/>
      </w:pPr>
      <w:r>
        <w:rPr/>
        <w:t>​</w:t>
      </w:r>
    </w:p>
    <w:tbl>
      <w:tblPr>
        <w:tblW w:w="7238" w:type="dxa"/>
        <w:jc w:val="left"/>
        <w:tblInd w:w="0" w:type="dxa"/>
        <w:tblLayout w:type="fixed"/>
        <w:tblCellMar>
          <w:top w:w="0" w:type="dxa"/>
          <w:left w:w="0" w:type="dxa"/>
          <w:bottom w:w="0" w:type="dxa"/>
          <w:right w:w="0" w:type="dxa"/>
        </w:tblCellMar>
      </w:tblPr>
      <w:tblGrid>
        <w:gridCol w:w="3046"/>
        <w:gridCol w:w="326"/>
        <w:gridCol w:w="591"/>
        <w:gridCol w:w="1179"/>
        <w:gridCol w:w="326"/>
        <w:gridCol w:w="505"/>
        <w:gridCol w:w="1265"/>
      </w:tblGrid>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75285" cy="175260"/>
                      <wp:effectExtent l="0" t="0" r="0" b="0"/>
                      <wp:wrapNone/>
                      <wp:docPr id="162" name="Frame162"/>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48665" cy="175260"/>
                      <wp:effectExtent l="0" t="0" r="0" b="0"/>
                      <wp:wrapNone/>
                      <wp:docPr id="163" name="Frame163"/>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20675" cy="175260"/>
                      <wp:effectExtent l="0" t="0" r="0" b="0"/>
                      <wp:wrapNone/>
                      <wp:docPr id="164" name="Frame164"/>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803275" cy="175260"/>
                      <wp:effectExtent l="0" t="0" r="0" b="0"/>
                      <wp:wrapNone/>
                      <wp:docPr id="165" name="Frame165"/>
                      <a:graphic xmlns:a="http://schemas.openxmlformats.org/drawingml/2006/main">
                        <a:graphicData uri="http://schemas.microsoft.com/office/word/2010/wordprocessingShape">
                          <wps:wsp>
                            <wps:cNvSpPr txBox="1"/>
                            <wps:spPr>
                              <a:xfrm>
                                <a:off x="0" y="0"/>
                                <a:ext cx="803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8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0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0"/>
              <w:ind w:left="0" w:right="0" w:hanging="0"/>
              <w:jc w:val="left"/>
              <w:rPr/>
            </w:pPr>
            <w:r>
              <w:rPr/>
              <w:t>​</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Land and Development Costs </w:t>
            </w:r>
          </w:p>
        </w:tc>
        <w:tc>
          <w:tcPr>
            <w:tcW w:w="326" w:type="dxa"/>
            <w:tcBorders/>
            <w:vAlign w:val="center"/>
          </w:tcPr>
          <w:p>
            <w:pPr>
              <w:pStyle w:val="TableContents"/>
              <w:bidi w:val="0"/>
              <w:spacing w:before="0" w:after="0"/>
              <w:ind w:left="0" w:right="0" w:hanging="0"/>
              <w:jc w:val="left"/>
              <w:rPr/>
            </w:pPr>
            <w:r>
              <w:rPr/>
              <w:t>​</w:t>
            </w:r>
          </w:p>
        </w:tc>
        <w:tc>
          <w:tcPr>
            <w:tcW w:w="5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vAlign w:val="center"/>
          </w:tcPr>
          <w:p>
            <w:pPr>
              <w:pStyle w:val="TableContents"/>
              <w:bidi w:val="0"/>
              <w:spacing w:before="0" w:after="0"/>
              <w:ind w:left="0" w:right="0" w:hanging="0"/>
              <w:jc w:val="left"/>
              <w:rPr/>
            </w:pPr>
            <w:r>
              <w:rPr/>
              <w:t>​</w:t>
            </w:r>
          </w:p>
        </w:tc>
        <w:tc>
          <w:tcPr>
            <w:tcW w:w="5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300</w:t>
            </w:r>
          </w:p>
        </w:tc>
      </w:tr>
    </w:tbl>
    <w:p>
      <w:pPr>
        <w:pStyle w:val="TextBody"/>
        <w:bidi w:val="0"/>
        <w:spacing w:before="0" w:after="0"/>
        <w:ind w:left="0" w:right="0" w:hanging="0"/>
        <w:jc w:val="left"/>
        <w:rPr/>
      </w:pPr>
      <w:r>
        <w:rPr/>
        <w:t>​</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Subsurface Interests. </w:t>
      </w:r>
      <w:r>
        <w:rPr>
          <w:rFonts w:ascii="Times New Roman;Times;serif" w:hAnsi="Times New Roman;Times;serif"/>
          <w:sz w:val="20"/>
        </w:rPr>
        <w:t xml:space="preserve">The Company sold its remaining 352,000 acres of Subsurface Interests during the nine months ended September 30, 2024 for $5.0 million, for a gain on sale of $4.5 million.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shd w:fill="FFFFFF" w:val="clear"/>
        </w:rPr>
        <w:t xml:space="preserve">The Company </w:t>
      </w:r>
      <w:r>
        <w:rPr>
          <w:rFonts w:ascii="Times New Roman;Times;serif" w:hAnsi="Times New Roman;Times;serif"/>
          <w:sz w:val="20"/>
        </w:rPr>
        <w:t xml:space="preserve">historically </w:t>
      </w:r>
      <w:r>
        <w:rPr>
          <w:rFonts w:ascii="Times New Roman;Times;serif" w:hAnsi="Times New Roman;Times;serif"/>
          <w:sz w:val="20"/>
          <w:shd w:fill="FFFFFF" w:val="clear"/>
        </w:rPr>
        <w:t xml:space="preserve">released surface entry rights or other rights upon request of a surface owner for a negotiated release fee typically based on a percentage of the surface value. </w:t>
      </w:r>
      <w:r>
        <w:rPr>
          <w:rFonts w:ascii="Times New Roman;Times;serif" w:hAnsi="Times New Roman;Times;serif"/>
          <w:color w:val="212529"/>
          <w:sz w:val="20"/>
          <w:shd w:fill="FFFFFF" w:val="clear"/>
        </w:rPr>
        <w:t>Cash payments for the release of surface entry rights for the nine months ended September 30, 2024 totaled $0.1 million.</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i/>
          <w:sz w:val="20"/>
        </w:rPr>
        <w:t xml:space="preserve">Mitigation Credits. </w:t>
      </w:r>
      <w:r>
        <w:rPr>
          <w:rFonts w:ascii="Times New Roman;Times;serif" w:hAnsi="Times New Roman;Times;serif"/>
          <w:color w:val="212529"/>
          <w:sz w:val="20"/>
        </w:rPr>
        <w:t xml:space="preserve">Revenues and the cost of sales of mitigation credit sales are reported as revenues from, and direct costs of, real estate operations, respectively, in the consolidated statements of operations. During the nine months ended September 30, 2024, 14.99 mitigation credits were sold for $1.8 million, resulting in a gain on sale of $0.5 million. </w:t>
      </w:r>
      <w:r>
        <w:rPr>
          <w:rFonts w:ascii="Times New Roman;Times;serif" w:hAnsi="Times New Roman;Times;serif"/>
          <w:color w:val="212529"/>
          <w:sz w:val="20"/>
          <w:shd w:fill="FFFFFF" w:val="clear"/>
        </w:rPr>
        <w:t>During the year ended December 31, 2024, the Company sold its remaining mitigation credits.</w:t>
      </w:r>
    </w:p>
    <w:p>
      <w:pPr>
        <w:pStyle w:val="TextBody"/>
        <w:pBdr/>
        <w:bidi w:val="0"/>
        <w:spacing w:before="240" w:after="0"/>
        <w:ind w:left="0" w:right="0" w:hanging="490"/>
        <w:jc w:val="both"/>
        <w:rPr>
          <w:rFonts w:ascii="Times New Roman;Times;serif" w:hAnsi="Times New Roman;Times;serif"/>
          <w:b/>
          <w:sz w:val="20"/>
        </w:rPr>
      </w:pPr>
      <w:r>
        <w:rPr>
          <w:rFonts w:ascii="Times New Roman;Times;serif" w:hAnsi="Times New Roman;Times;serif"/>
          <w:b/>
          <w:sz w:val="20"/>
        </w:rPr>
        <w:t>NOTE 7. INVESTMENT SECURITIES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September 30, 2025, the Company owns, in the aggregate and on a fully diluted basis, 2.47 million shares of PINE, or 16.1% of PINE’s total shares outstanding for an investment value of $35.0 million, which total includes 1.2 million OP Units, or 8.0%, which the Company received in exchange for the contribution of certain income properties to the PINE Operating Partnership, in addition to 1,247,702 shares of common stock owned by the Company, or 8.1%.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159" w:name="Tc_2IDPle8wpE2vb1LIJTIHTw_10_11"/>
      <w:bookmarkStart w:id="1160" w:name="Tc_E_GUSb8_7UiZsdtgAF6qZg_10_8"/>
      <w:bookmarkStart w:id="1161" w:name="Tc_c8Jv2aFlxkuyR8ZVfAhuVQ_10_6"/>
      <w:bookmarkStart w:id="1162" w:name="Tc_9wpFU3Of-E2jyTiJa63Nlg_10_5"/>
      <w:bookmarkStart w:id="1163" w:name="Tc_A0kew_8cBUisEqGtN8o-Bw_10_2"/>
      <w:bookmarkStart w:id="1164" w:name="Tc_WIotRGZb0k6Z5DUe_D3j_g_10_0"/>
      <w:bookmarkStart w:id="1165" w:name="Tc_GJnDbu6cgE-0fNmnKmJXNQ_9_6"/>
      <w:bookmarkStart w:id="1166" w:name="Tc_5BdK0yV3fEKd4UO0_6pviA_9_0"/>
      <w:bookmarkStart w:id="1167" w:name="Tc_cmvTpJZmyU-bgcb-JQUUxQ_8_11"/>
      <w:bookmarkStart w:id="1168" w:name="Tc_kTDMOL3dYE6_bFyMsCZQjA_8_8"/>
      <w:bookmarkStart w:id="1169" w:name="Tc_7Y-g7Irx_0e71BUB_fiW5w_8_6"/>
      <w:bookmarkStart w:id="1170" w:name="Tc_5PmcbcTXtkyqfmIuMOO0cA_8_5"/>
      <w:bookmarkStart w:id="1171" w:name="Tc_Nim82zdgOEisjw18nmJj0w_8_2"/>
      <w:bookmarkStart w:id="1172" w:name="Tc_5CZRXc5wM0qdLEDnfxLRUA_8_0"/>
      <w:bookmarkStart w:id="1173" w:name="Tc_Q1yNMTEsQUaTQ_v6XvOUBg_7_0"/>
      <w:bookmarkStart w:id="1174" w:name="Tc_ZrpUFJ4bfEaqWZ0uMYVrwg_5_11"/>
      <w:bookmarkStart w:id="1175" w:name="Tc_npGTxWGEfUubySZVTVLmxQ_5_8"/>
      <w:bookmarkStart w:id="1176" w:name="Tc_sjR6BEmt7Ea0c1XXhScK8g_5_6"/>
      <w:bookmarkStart w:id="1177" w:name="Tc_r5MYUS9M3kSlBPrGgjSm2A_5_5"/>
      <w:bookmarkStart w:id="1178" w:name="Tc_aqt0jyimiEibKLEd0phh2g_5_2"/>
      <w:bookmarkStart w:id="1179" w:name="Tc_UkpNcrpjJE-nPPjs7v8qmw_5_0"/>
      <w:bookmarkStart w:id="1180" w:name="Tc_rlxNcD-3K0im6S-JCtrnEA_4_6"/>
      <w:bookmarkStart w:id="1181" w:name="Tc_ohcxdojUPkOVoYHISdFKeA_4_0"/>
      <w:bookmarkStart w:id="1182" w:name="Tc_T9y4-VwiDUqhNtMlf9_3ZA_3_11"/>
      <w:bookmarkStart w:id="1183" w:name="Tc_n1946BL-SE-7aWbzvwOJmw_3_8"/>
      <w:bookmarkStart w:id="1184" w:name="Tc_7PNhPOERnkKqBL8u-0_zcQ_3_6"/>
      <w:bookmarkStart w:id="1185" w:name="Tc_fgBWC3hYjkiR0Jp6MbOTLQ_3_5"/>
      <w:bookmarkStart w:id="1186" w:name="Tc_rjLH9bjWB0uDsyAteAgtdg_3_2"/>
      <w:bookmarkStart w:id="1187" w:name="Tc_1vE91g6cHEeixLHsU1tCLw_3_0"/>
      <w:bookmarkStart w:id="1188" w:name="Tc_LHa2-YwM1Ue67kZd95MNJg_2_0"/>
      <w:bookmarkStart w:id="1189" w:name="Tc_kCYKpI2uEUmr1LE1XtdYkQ_1_11"/>
      <w:bookmarkStart w:id="1190" w:name="Tc_RxXO7LBYO0uOukmW9FDN6A_1_8"/>
      <w:bookmarkStart w:id="1191" w:name="Tc_HgEfDBDClkexgBM74DiUTw_1_5"/>
      <w:bookmarkStart w:id="1192" w:name="Tc_FflCiOL_FE2AMN3rjcqxiw_1_2"/>
      <w:bookmarkStart w:id="1193" w:name="_99aa4e26_e848_4ba6_84e6_387b5aca6730"/>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r>
        <w:rPr>
          <w:rFonts w:ascii="Times New Roman;Times;serif" w:hAnsi="Times New Roman;Times;serif"/>
          <w:sz w:val="20"/>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accompanying consolidated statements of operations.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Company’s available-for-sale securities as of September 30, 2025 and December 31, 2024 are summarized below (in thousands):</w:t>
      </w:r>
    </w:p>
    <w:tbl>
      <w:tblPr>
        <w:tblW w:w="9152" w:type="dxa"/>
        <w:jc w:val="left"/>
        <w:tblInd w:w="0" w:type="dxa"/>
        <w:tblLayout w:type="fixed"/>
        <w:tblCellMar>
          <w:top w:w="0" w:type="dxa"/>
          <w:left w:w="0" w:type="dxa"/>
          <w:bottom w:w="0" w:type="dxa"/>
          <w:right w:w="0" w:type="dxa"/>
        </w:tblCellMar>
      </w:tblPr>
      <w:tblGrid>
        <w:gridCol w:w="1996"/>
        <w:gridCol w:w="326"/>
        <w:gridCol w:w="211"/>
        <w:gridCol w:w="676"/>
        <w:gridCol w:w="326"/>
        <w:gridCol w:w="675"/>
        <w:gridCol w:w="1110"/>
        <w:gridCol w:w="326"/>
        <w:gridCol w:w="379"/>
        <w:gridCol w:w="1331"/>
        <w:gridCol w:w="326"/>
        <w:gridCol w:w="311"/>
        <w:gridCol w:w="1159"/>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267460" cy="175260"/>
                      <wp:effectExtent l="0" t="0" r="0" b="0"/>
                      <wp:wrapNone/>
                      <wp:docPr id="166" name="Frame166"/>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29260" cy="175260"/>
                      <wp:effectExtent l="0" t="0" r="0" b="0"/>
                      <wp:wrapNone/>
                      <wp:docPr id="169" name="Frame1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28625" cy="175260"/>
                      <wp:effectExtent l="0" t="0" r="0" b="0"/>
                      <wp:wrapNone/>
                      <wp:docPr id="171" name="Frame171"/>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04850" cy="175260"/>
                      <wp:effectExtent l="0" t="0" r="0" b="0"/>
                      <wp:wrapNone/>
                      <wp:docPr id="172" name="Frame172"/>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40665" cy="175260"/>
                      <wp:effectExtent l="0" t="0" r="0" b="0"/>
                      <wp:wrapNone/>
                      <wp:docPr id="174" name="Frame174"/>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845185" cy="175260"/>
                      <wp:effectExtent l="0" t="0" r="0" b="0"/>
                      <wp:wrapNone/>
                      <wp:docPr id="175" name="Frame175"/>
                      <a:graphic xmlns:a="http://schemas.openxmlformats.org/drawingml/2006/main">
                        <a:graphicData uri="http://schemas.microsoft.com/office/word/2010/wordprocessingShape">
                          <wps:wsp>
                            <wps:cNvSpPr txBox="1"/>
                            <wps:spPr>
                              <a:xfrm>
                                <a:off x="0" y="0"/>
                                <a:ext cx="84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97485" cy="175260"/>
                      <wp:effectExtent l="0" t="0" r="0" b="0"/>
                      <wp:wrapNone/>
                      <wp:docPr id="177" name="Frame177"/>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735965" cy="175260"/>
                      <wp:effectExtent l="0" t="0" r="0" b="0"/>
                      <wp:wrapNone/>
                      <wp:docPr id="178" name="Frame178"/>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Cost</w:t>
            </w:r>
          </w:p>
        </w:tc>
        <w:tc>
          <w:tcPr>
            <w:tcW w:w="326" w:type="dxa"/>
            <w:tcBorders/>
            <w:vAlign w:val="center"/>
          </w:tcPr>
          <w:p>
            <w:pPr>
              <w:pStyle w:val="TableContents"/>
              <w:bidi w:val="0"/>
              <w:spacing w:before="0" w:after="0"/>
              <w:ind w:left="0" w:right="0" w:hanging="0"/>
              <w:jc w:val="left"/>
              <w:rPr/>
            </w:pPr>
            <w:r>
              <w:rPr/>
              <w:t>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 Gains in</w:t>
              <w:br/>
              <w:t>Investment Income</w:t>
            </w:r>
          </w:p>
        </w:tc>
        <w:tc>
          <w:tcPr>
            <w:tcW w:w="326" w:type="dxa"/>
            <w:tcBorders/>
            <w:vAlign w:val="center"/>
          </w:tcPr>
          <w:p>
            <w:pPr>
              <w:pStyle w:val="TableContents"/>
              <w:bidi w:val="0"/>
              <w:spacing w:before="0" w:after="0"/>
              <w:ind w:left="0" w:right="0" w:hanging="0"/>
              <w:jc w:val="left"/>
              <w:rPr/>
            </w:pPr>
            <w:r>
              <w:rPr/>
              <w:t>    </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Unrealized</w:t>
              <w:br/>
              <w:t>Losses in</w:t>
              <w:br/>
              <w:t>Investment Income</w:t>
            </w:r>
          </w:p>
        </w:tc>
        <w:tc>
          <w:tcPr>
            <w:tcW w:w="326" w:type="dxa"/>
            <w:tcBorders/>
            <w:vAlign w:val="center"/>
          </w:tcPr>
          <w:p>
            <w:pPr>
              <w:pStyle w:val="TableContents"/>
              <w:bidi w:val="0"/>
              <w:spacing w:before="0" w:after="0"/>
              <w:ind w:left="0" w:right="0" w:hanging="0"/>
              <w:jc w:val="left"/>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w:t>
              <w:br/>
              <w:t>Fair Value</w:t>
              <w:br/>
              <w:t>(Level 1 Inputs)</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center"/>
              <w:rPr/>
            </w:pPr>
            <w:r>
              <w:rPr/>
              <w:t>​</w:t>
            </w:r>
          </w:p>
        </w:tc>
        <w:tc>
          <w:tcPr>
            <w:tcW w:w="111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center"/>
              <w:rPr/>
            </w:pPr>
            <w:r>
              <w:rPr/>
              <w:t>​</w:t>
            </w:r>
          </w:p>
        </w:tc>
        <w:tc>
          <w:tcPr>
            <w:tcW w:w="13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center"/>
              <w:rPr/>
            </w:pPr>
            <w:r>
              <w:rPr/>
              <w:t>​</w:t>
            </w:r>
          </w:p>
        </w:tc>
        <w:tc>
          <w:tcPr>
            <w:tcW w:w="1159" w:type="dxa"/>
            <w:tcBorders/>
            <w:shd w:fill="CCEEFF" w:val="clear"/>
            <w:vAlign w:val="center"/>
          </w:tcPr>
          <w:p>
            <w:pPr>
              <w:pStyle w:val="TableContents"/>
              <w:bidi w:val="0"/>
              <w:spacing w:before="0" w:after="0"/>
              <w:ind w:left="0" w:right="0" w:hanging="0"/>
              <w:jc w:val="center"/>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22,486</w:t>
            </w:r>
          </w:p>
        </w:tc>
        <w:tc>
          <w:tcPr>
            <w:tcW w:w="32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(4,806)</w:t>
            </w:r>
          </w:p>
        </w:tc>
        <w:tc>
          <w:tcPr>
            <w:tcW w:w="32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17,680</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(5,911)</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17,342</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45,739</w:t>
            </w:r>
          </w:p>
        </w:tc>
        <w:tc>
          <w:tcPr>
            <w:tcW w:w="326" w:type="dxa"/>
            <w:tcBorders/>
            <w:vAlign w:val="center"/>
          </w:tcPr>
          <w:p>
            <w:pPr>
              <w:pStyle w:val="TableContents"/>
              <w:bidi w:val="0"/>
              <w:spacing w:before="0" w:after="0"/>
              <w:ind w:left="0" w:right="0" w:hanging="0"/>
              <w:jc w:val="left"/>
              <w:rPr/>
            </w:pPr>
            <w:r>
              <w:rPr/>
              <w:t>​</w:t>
            </w:r>
          </w:p>
        </w:tc>
        <w:tc>
          <w:tcPr>
            <w:tcW w:w="6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(10,717)</w:t>
            </w:r>
          </w:p>
        </w:tc>
        <w:tc>
          <w:tcPr>
            <w:tcW w:w="32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35,022</w:t>
            </w:r>
          </w:p>
        </w:tc>
      </w:tr>
      <w:tr>
        <w:trPr/>
        <w:tc>
          <w:tcPr>
            <w:tcW w:w="1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13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13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159" w:type="dxa"/>
            <w:tcBorders/>
            <w:vAlign w:val="center"/>
          </w:tcPr>
          <w:p>
            <w:pPr>
              <w:pStyle w:val="TableContents"/>
              <w:bidi w:val="0"/>
              <w:spacing w:before="0" w:after="0"/>
              <w:ind w:left="0" w:right="0" w:hanging="0"/>
              <w:jc w:val="right"/>
              <w:rPr/>
            </w:pPr>
            <w:r>
              <w:rPr/>
              <w:t>​</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20,929</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19,117</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Units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23,253</w:t>
            </w:r>
          </w:p>
        </w:tc>
        <w:tc>
          <w:tcPr>
            <w:tcW w:w="326" w:type="dxa"/>
            <w:tcBorders/>
            <w:vAlign w:val="center"/>
          </w:tcPr>
          <w:p>
            <w:pPr>
              <w:pStyle w:val="TableContents"/>
              <w:bidi w:val="0"/>
              <w:spacing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w:t>
            </w:r>
          </w:p>
        </w:tc>
        <w:tc>
          <w:tcPr>
            <w:tcW w:w="326"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20,549</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44,182</w:t>
            </w:r>
          </w:p>
        </w:tc>
        <w:tc>
          <w:tcPr>
            <w:tcW w:w="326" w:type="dxa"/>
            <w:tcBorders/>
            <w:shd w:fill="CCEEFF" w:val="clear"/>
            <w:vAlign w:val="center"/>
          </w:tcPr>
          <w:p>
            <w:pPr>
              <w:pStyle w:val="TableContents"/>
              <w:bidi w:val="0"/>
              <w:spacing w:before="0" w:after="0"/>
              <w:ind w:left="0" w:right="0" w:hanging="0"/>
              <w:jc w:val="left"/>
              <w:rPr/>
            </w:pPr>
            <w:r>
              <w:rPr/>
              <w:t>​</w:t>
            </w:r>
          </w:p>
        </w:tc>
        <w:tc>
          <w:tcPr>
            <w:tcW w:w="6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39,666</w:t>
            </w:r>
          </w:p>
        </w:tc>
      </w:tr>
    </w:tbl>
    <w:p>
      <w:pPr>
        <w:pStyle w:val="TextBody"/>
        <w:bidi w:val="0"/>
        <w:spacing w:before="0" w:after="0"/>
        <w:ind w:left="0" w:right="0" w:firstLine="360"/>
        <w:jc w:val="both"/>
        <w:rPr/>
      </w:pPr>
      <w:r>
        <w:rPr/>
        <w:t>​</w:t>
      </w:r>
    </w:p>
    <w:p>
      <w:pPr>
        <w:pStyle w:val="TextBody"/>
        <w:bidi w:val="0"/>
        <w:spacing w:lineRule="auto" w:line="271" w:before="0" w:after="0"/>
        <w:ind w:left="0" w:right="0" w:hanging="0"/>
        <w:jc w:val="left"/>
        <w:rPr/>
      </w:pPr>
      <w:r>
        <w:rPr/>
        <w:t>​</w:t>
      </w:r>
    </w:p>
    <w:p>
      <w:pPr>
        <w:pStyle w:val="TextBody"/>
        <w:bidi w:val="0"/>
        <w:spacing w:lineRule="auto" w:line="271" w:before="0" w:after="0"/>
        <w:ind w:left="0" w:right="0" w:firstLine="360"/>
        <w:jc w:val="both"/>
        <w:rPr/>
      </w:pPr>
      <w:r>
        <w:rPr/>
        <w:t>​</w:t>
      </w:r>
    </w:p>
    <w:p>
      <w:pPr>
        <w:pStyle w:val="TextBody"/>
        <w:bidi w:val="0"/>
        <w:spacing w:lineRule="auto" w:line="271" w:before="0" w:after="0"/>
        <w:ind w:left="0" w:right="0" w:hanging="0"/>
        <w:jc w:val="both"/>
        <w:rPr/>
      </w:pPr>
      <w:r>
        <w:rPr/>
        <w:t>​</w:t>
      </w:r>
    </w:p>
    <w:p>
      <w:pPr>
        <w:pStyle w:val="TextBody"/>
        <w:bidi w:val="0"/>
        <w:spacing w:lineRule="auto" w:line="271" w:before="0" w:after="0"/>
        <w:ind w:left="0" w:right="0" w:hanging="0"/>
        <w:jc w:val="left"/>
        <w:rPr>
          <w:rFonts w:ascii="Times New Roman;Times;serif" w:hAnsi="Times New Roman;Times;serif"/>
          <w:b/>
          <w:sz w:val="20"/>
        </w:rPr>
      </w:pPr>
      <w:bookmarkStart w:id="1194" w:name="Tc_MDbF4BAi50qaI0_YtYqCjA_6_11"/>
      <w:bookmarkStart w:id="1195" w:name="Tc_Rwak890PmE6Vg7g0mIG8jg_6_8"/>
      <w:bookmarkStart w:id="1196" w:name="Tc_MM2wQLCnIUqI-XBGeRK4zg_6_5"/>
      <w:bookmarkStart w:id="1197" w:name="Tc_jnAU5dJ-dEKVEsIMxnBpJQ_6_2"/>
      <w:bookmarkStart w:id="1198" w:name="Tc_i8Tw55V2tkm_ScyWO2HT-Q_6_0"/>
      <w:bookmarkStart w:id="1199" w:name="Tc__Vl-8USQQEufeO8ZTGQ1rg_5_11"/>
      <w:bookmarkStart w:id="1200" w:name="Tc_wb0mlCSS7kyHemLDl415CQ_5_8"/>
      <w:bookmarkStart w:id="1201" w:name="Tc_rtGmL3xwBkucNcNNTgfD9Q_5_5"/>
      <w:bookmarkStart w:id="1202" w:name="Tc_4Og8PpXkNEiqK0_jgMU1hg_5_2"/>
      <w:bookmarkStart w:id="1203" w:name="Tc_H7jUqJUEsES0mni6ssHhiw_5_0"/>
      <w:bookmarkStart w:id="1204" w:name="Tc_ePQmVWeoB0uUysSX2ARrxQ_4_11"/>
      <w:bookmarkStart w:id="1205" w:name="Tc_Y_KG2ZtR4ESvYgLc81GGyA_4_8"/>
      <w:bookmarkStart w:id="1206" w:name="Tc_u8U-uUIYyU2nztiebSmISA_4_5"/>
      <w:bookmarkStart w:id="1207" w:name="Tc_5IyNv-uqgk-RDEdv0eelxw_4_2"/>
      <w:bookmarkStart w:id="1208" w:name="Tc_X65CeMr46U2VhEmrdf9F8g_4_0"/>
      <w:bookmarkStart w:id="1209" w:name="Tc_TFBpq4PSiEKK6Jvede7gwg_3_11"/>
      <w:bookmarkStart w:id="1210" w:name="Tc_M_bXlVlcOE219jz0xWPiQw_3_8"/>
      <w:bookmarkStart w:id="1211" w:name="Tc_meDyyrXM70GjCZESu_vzNQ_3_5"/>
      <w:bookmarkStart w:id="1212" w:name="Tc_TCyh9PnqN0q-vbyDrev_WQ_3_2"/>
      <w:bookmarkStart w:id="1213" w:name="Tc_5O4AJjqaC0WZIt2boTKyWw_3_0"/>
      <w:bookmarkStart w:id="1214" w:name="Tc_e1enAzo4OEiOifbQM4k_Rw_2_11"/>
      <w:bookmarkStart w:id="1215" w:name="Tc_2rZK024CO0iCZL2OXoD5Bw_2_8"/>
      <w:bookmarkStart w:id="1216" w:name="Tc_4SNcfJL3KUukrqN2K93vwQ_2_5"/>
      <w:bookmarkStart w:id="1217" w:name="Tc_LJds1y1UTUy0GKWZc22kwQ_2_2"/>
      <w:bookmarkStart w:id="1218" w:name="Tc_ve-5cpnuO0yJdRRkbJ9e3A_1_8"/>
      <w:bookmarkStart w:id="1219" w:name="Tc_kiVEBVtCjkaEu5Cs3wYJaA_1_2"/>
      <w:bookmarkStart w:id="1220" w:name="_b282e86b_cc08_44b8_9236_752c254c20f1"/>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r>
        <w:rPr>
          <w:rFonts w:ascii="Times New Roman;Times;serif" w:hAnsi="Times New Roman;Times;serif"/>
          <w:b/>
          <w:sz w:val="20"/>
        </w:rPr>
        <w:t>NOTE 8. FAIR VALUE OF FINANCIAL INSTRUMENTS</w:t>
      </w:r>
    </w:p>
    <w:p>
      <w:pPr>
        <w:pStyle w:val="TextBody"/>
        <w:bidi w:val="0"/>
        <w:spacing w:lineRule="auto" w:line="271" w:before="0" w:after="0"/>
        <w:ind w:left="0" w:right="0" w:firstLine="490"/>
        <w:jc w:val="both"/>
        <w:rPr/>
      </w:pPr>
      <w:r>
        <w:rPr/>
        <w:t>​</w:t>
      </w:r>
    </w:p>
    <w:p>
      <w:pPr>
        <w:pStyle w:val="TextBody"/>
        <w:bidi w:val="0"/>
        <w:spacing w:lineRule="auto" w:line="271" w:before="0" w:after="120"/>
        <w:ind w:left="0" w:right="0" w:firstLine="49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at September 30, 2025 and December 31, 2024 (in thousands):</w:t>
      </w:r>
    </w:p>
    <w:tbl>
      <w:tblPr>
        <w:tblW w:w="10205" w:type="dxa"/>
        <w:jc w:val="left"/>
        <w:tblInd w:w="0" w:type="dxa"/>
        <w:tblLayout w:type="fixed"/>
        <w:tblCellMar>
          <w:top w:w="0" w:type="dxa"/>
          <w:left w:w="0" w:type="dxa"/>
          <w:bottom w:w="0" w:type="dxa"/>
          <w:right w:w="0" w:type="dxa"/>
        </w:tblCellMar>
      </w:tblPr>
      <w:tblGrid>
        <w:gridCol w:w="2957"/>
        <w:gridCol w:w="326"/>
        <w:gridCol w:w="276"/>
        <w:gridCol w:w="1025"/>
        <w:gridCol w:w="326"/>
        <w:gridCol w:w="349"/>
        <w:gridCol w:w="1293"/>
        <w:gridCol w:w="326"/>
        <w:gridCol w:w="276"/>
        <w:gridCol w:w="1025"/>
        <w:gridCol w:w="326"/>
        <w:gridCol w:w="326"/>
        <w:gridCol w:w="1374"/>
      </w:tblGrid>
      <w:tr>
        <w:trPr/>
        <w:tc>
          <w:tcPr>
            <w:tcW w:w="29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75260" cy="175260"/>
                      <wp:effectExtent l="0" t="0" r="0" b="0"/>
                      <wp:wrapNone/>
                      <wp:docPr id="180" name="Frame180"/>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50875" cy="175260"/>
                      <wp:effectExtent l="0" t="0" r="0" b="0"/>
                      <wp:wrapNone/>
                      <wp:docPr id="181" name="Frame181"/>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21615" cy="175260"/>
                      <wp:effectExtent l="0" t="0" r="0" b="0"/>
                      <wp:wrapNone/>
                      <wp:docPr id="183" name="Frame183"/>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821055" cy="175260"/>
                      <wp:effectExtent l="0" t="0" r="0" b="0"/>
                      <wp:wrapNone/>
                      <wp:docPr id="184" name="Frame184"/>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75260" cy="175260"/>
                      <wp:effectExtent l="0" t="0" r="0" b="0"/>
                      <wp:wrapNone/>
                      <wp:docPr id="186" name="Frame186"/>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50875" cy="175260"/>
                      <wp:effectExtent l="0" t="0" r="0" b="0"/>
                      <wp:wrapNone/>
                      <wp:docPr id="187" name="Frame187"/>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872490" cy="175260"/>
                      <wp:effectExtent l="0" t="0" r="0" b="0"/>
                      <wp:wrapNone/>
                      <wp:docPr id="190" name="Frame190"/>
                      <a:graphic xmlns:a="http://schemas.openxmlformats.org/drawingml/2006/main">
                        <a:graphicData uri="http://schemas.microsoft.com/office/word/2010/wordprocessingShape">
                          <wps:wsp>
                            <wps:cNvSpPr txBox="1"/>
                            <wps:spPr>
                              <a:xfrm>
                                <a:off x="0" y="0"/>
                                <a:ext cx="872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left"/>
              <w:rPr/>
            </w:pPr>
            <w:r>
              <w:rPr/>
              <w:t>​</w:t>
            </w:r>
          </w:p>
        </w:tc>
        <w:tc>
          <w:tcPr>
            <w:tcW w:w="33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9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26" w:type="dxa"/>
            <w:tcBorders/>
            <w:vAlign w:val="center"/>
          </w:tcPr>
          <w:p>
            <w:pPr>
              <w:pStyle w:val="TableContents"/>
              <w:bidi w:val="0"/>
              <w:spacing w:before="0" w:after="0"/>
              <w:ind w:left="0" w:right="0" w:hanging="0"/>
              <w:jc w:val="left"/>
              <w:rPr/>
            </w:pPr>
            <w:r>
              <w:rPr/>
              <w:t>    </w:t>
            </w:r>
          </w:p>
        </w:tc>
        <w:tc>
          <w:tcPr>
            <w:tcW w:w="16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c>
          <w:tcPr>
            <w:tcW w:w="326" w:type="dxa"/>
            <w:tcBorders/>
            <w:vAlign w:val="center"/>
          </w:tcPr>
          <w:p>
            <w:pPr>
              <w:pStyle w:val="TableContents"/>
              <w:bidi w:val="0"/>
              <w:spacing w:before="0" w:after="0"/>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w:t>
            </w:r>
          </w:p>
        </w:tc>
        <w:tc>
          <w:tcPr>
            <w:tcW w:w="326" w:type="dxa"/>
            <w:tcBorders/>
            <w:vAlign w:val="center"/>
          </w:tcPr>
          <w:p>
            <w:pPr>
              <w:pStyle w:val="TableContents"/>
              <w:bidi w:val="0"/>
              <w:spacing w:before="0" w:after="0"/>
              <w:ind w:left="0" w:right="0" w:hanging="0"/>
              <w:jc w:val="left"/>
              <w:rPr/>
            </w:pPr>
            <w:r>
              <w:rPr/>
              <w:t>    </w:t>
            </w:r>
          </w:p>
        </w:tc>
        <w:tc>
          <w:tcPr>
            <w:tcW w:w="1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29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9,281</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9,281</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9,017</w:t>
            </w:r>
          </w:p>
        </w:tc>
      </w:tr>
      <w:tr>
        <w:trPr/>
        <w:tc>
          <w:tcPr>
            <w:tcW w:w="2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8,289</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8,289</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w:t>
            </w:r>
          </w:p>
        </w:tc>
      </w:tr>
      <w:tr>
        <w:trPr/>
        <w:tc>
          <w:tcPr>
            <w:tcW w:w="29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112,187</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115,603</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110,665</w:t>
            </w:r>
          </w:p>
        </w:tc>
      </w:tr>
      <w:tr>
        <w:trPr/>
        <w:tc>
          <w:tcPr>
            <w:tcW w:w="2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604,163</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593,436</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508,309</w:t>
            </w:r>
          </w:p>
        </w:tc>
      </w:tr>
    </w:tbl>
    <w:p>
      <w:pPr>
        <w:pStyle w:val="TextBody"/>
        <w:bidi w:val="0"/>
        <w:spacing w:lineRule="auto" w:line="271" w:before="0" w:after="0"/>
        <w:ind w:left="0" w:right="0" w:firstLine="490"/>
        <w:jc w:val="both"/>
        <w:rPr/>
      </w:pPr>
      <w:r>
        <w:rPr/>
        <w:t>​</w:t>
      </w:r>
    </w:p>
    <w:p>
      <w:pPr>
        <w:pStyle w:val="TextBody"/>
        <w:bidi w:val="0"/>
        <w:spacing w:lineRule="auto" w:line="271" w:before="0" w:after="0"/>
        <w:ind w:left="0" w:right="0" w:firstLine="490"/>
        <w:jc w:val="both"/>
        <w:rPr>
          <w:rFonts w:ascii="Times New Roman;Times;serif" w:hAnsi="Times New Roman;Times;serif"/>
          <w:sz w:val="20"/>
        </w:rPr>
      </w:pPr>
      <w:r>
        <w:rPr>
          <w:rFonts w:ascii="Times New Roman;Times;serif" w:hAnsi="Times New Roman;Times;serif"/>
          <w:sz w:val="20"/>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lineRule="auto" w:line="271" w:before="0" w:after="0"/>
        <w:ind w:left="0" w:right="0" w:firstLine="49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0"/>
        <w:ind w:left="0" w:right="0" w:firstLine="490"/>
        <w:jc w:val="both"/>
        <w:rPr>
          <w:rFonts w:ascii="Times New Roman;Times;serif" w:hAnsi="Times New Roman;Times;serif"/>
          <w:sz w:val="20"/>
        </w:rPr>
      </w:pPr>
      <w:bookmarkStart w:id="1221" w:name="Tc_2B_s9PEq-Uybje2xL0aGDg_16_12"/>
      <w:bookmarkStart w:id="1222" w:name="Tc_50v35AOezESqU4cLbg-jlw_16_11"/>
      <w:bookmarkStart w:id="1223" w:name="Tc_zPQXbYAK2UW2UXYDPA_FFw_16_9"/>
      <w:bookmarkStart w:id="1224" w:name="Tc_C34QRb2U20CWFtAeJ4kHkA_16_8"/>
      <w:bookmarkStart w:id="1225" w:name="Tc_KKz7sqcrzESCiZvqywG5yA_16_5"/>
      <w:bookmarkStart w:id="1226" w:name="Tc_XQVQsUGBr0-BRGGwNB5abw_16_2"/>
      <w:bookmarkStart w:id="1227" w:name="Tc_jcGI3ic5yEmCqNGjZ6ynvQ_16_0"/>
      <w:bookmarkStart w:id="1228" w:name="Tc_KLZgh2VQuUyXHJidUFbBsQ_15_12"/>
      <w:bookmarkStart w:id="1229" w:name="Tc_VFByRCUCIkeYHRQKZdbLTQ_15_11"/>
      <w:bookmarkStart w:id="1230" w:name="Tc_9SzEQU4HKE2M1VdLHZ5B6Q_15_8"/>
      <w:bookmarkStart w:id="1231" w:name="Tc_zY9M_pQB6UqmZEvZ3V_WWw_15_6"/>
      <w:bookmarkStart w:id="1232" w:name="Tc__xvfrKUBNk-IgknaskIR3w_15_5"/>
      <w:bookmarkStart w:id="1233" w:name="Tc_j2Kkvk6hpEKpuOb-DyxvKA_15_2"/>
      <w:bookmarkStart w:id="1234" w:name="Tc_fcczn4Ox5kSeSVkE34444w_15_0"/>
      <w:bookmarkStart w:id="1235" w:name="Tc_SyGttPX5B0WL5txUrEQkUQ_14_12"/>
      <w:bookmarkStart w:id="1236" w:name="Tc_-z8ItjOg-ECJM7tIzKSIMQ_14_11"/>
      <w:bookmarkStart w:id="1237" w:name="Tc_VGnsiV0H3EywqgUtOfmLyw_14_8"/>
      <w:bookmarkStart w:id="1238" w:name="Tc_xPfEng-bvUK-VDyr4NZ-0A_14_6"/>
      <w:bookmarkStart w:id="1239" w:name="Tc_TZA0eom7TEio4WxWyKb-bg_14_5"/>
      <w:bookmarkStart w:id="1240" w:name="Tc_Vo6kYbQg-UOPQqCBrb6vfw_14_2"/>
      <w:bookmarkStart w:id="1241" w:name="Tc_HlHgbbaGA0-rQ1VwsTyZfg_14_0"/>
      <w:bookmarkStart w:id="1242" w:name="Tc_bcKnUhTpe0qlrBUu9IdtcQ_13_12"/>
      <w:bookmarkStart w:id="1243" w:name="Tc_sZwpAxIz5kKo9-evHur4Iw_13_11"/>
      <w:bookmarkStart w:id="1244" w:name="Tc_BTZqG0DmSU6xK_R7Jol6fA_13_8"/>
      <w:bookmarkStart w:id="1245" w:name="Tc_XFUVWKMqhUm9ssxN9vhjyQ_13_6"/>
      <w:bookmarkStart w:id="1246" w:name="Tc_QcwQoEj-7U-1Cct_WGGS9w_13_5"/>
      <w:bookmarkStart w:id="1247" w:name="Tc_7Y5o9FI1okqNklkH8uNnVg_13_2"/>
      <w:bookmarkStart w:id="1248" w:name="Tc__5irBDK8VESwZ8-RHjEPvA_13_0"/>
      <w:bookmarkStart w:id="1249" w:name="Tc_tihLkTqFSUOUGumBlnoIFg_12_12"/>
      <w:bookmarkStart w:id="1250" w:name="Tc_LP8oS9Pa4ECYoQbzoEn-yA_12_11"/>
      <w:bookmarkStart w:id="1251" w:name="Tc_LK113k9Mh0mbOz8O-d2BNw_12_8"/>
      <w:bookmarkStart w:id="1252" w:name="Tc_edG-E3JNQkmWkOEwOhLyVA_12_6"/>
      <w:bookmarkStart w:id="1253" w:name="Tc_gG9KYPDEiUylqqliVHtOiQ_12_5"/>
      <w:bookmarkStart w:id="1254" w:name="Tc_tkPt2Olq-kWM7cop0YWlPw_12_2"/>
      <w:bookmarkStart w:id="1255" w:name="Tc_kCbMplwYaka4nmK0p25GTw_12_0"/>
      <w:bookmarkStart w:id="1256" w:name="Tc_J0CK-7DMa0C54nl_6YsehQ_11_12"/>
      <w:bookmarkStart w:id="1257" w:name="Tc_ygh5OfkP3kG9si7RZaIONg_11_11"/>
      <w:bookmarkStart w:id="1258" w:name="Tc_ZEu_RL3mQUCrg6qvsKYD_g_11_8"/>
      <w:bookmarkStart w:id="1259" w:name="Tc_-BN2D5wuX0W5U2TGrCBYyA_11_6"/>
      <w:bookmarkStart w:id="1260" w:name="Tc_fhNB863lekuuf8vEWgOX5A_11_5"/>
      <w:bookmarkStart w:id="1261" w:name="Tc_VU16lW-lY06fH8It_NYSAw_11_2"/>
      <w:bookmarkStart w:id="1262" w:name="Tc_QyfYlBd7c0aY66XksnuXfA_11_0"/>
      <w:bookmarkStart w:id="1263" w:name="Tc_zHOXYIzuPUm7Yru32QQkag_10_0"/>
      <w:bookmarkStart w:id="1264" w:name="Tc_zoXE6IdVCUivjsd9hsE_Hg_9_12"/>
      <w:bookmarkStart w:id="1265" w:name="Tc_tEIMtosRjU-5rASn5WuLyg_9_11"/>
      <w:bookmarkStart w:id="1266" w:name="Tc_gLcUEhfk106H4zSoS8anuw_9_9"/>
      <w:bookmarkStart w:id="1267" w:name="Tc_u8on800GbU2KBGFyHWMFLg_9_8"/>
      <w:bookmarkStart w:id="1268" w:name="Tc_-yChRwW-c0mW7XIVfSj-iQ_9_5"/>
      <w:bookmarkStart w:id="1269" w:name="Tc__sHsH0je4UOxNaYQBljXmQ_9_2"/>
      <w:bookmarkStart w:id="1270" w:name="Tc_f3uTTrwR8kSYh_g2Pi32-g_9_0"/>
      <w:bookmarkStart w:id="1271" w:name="Tc_YWiB-CpdC0GXme3y2JMLgA_8_12"/>
      <w:bookmarkStart w:id="1272" w:name="Tc_lSxzu038F0u8C8xiwPyF6w_8_11"/>
      <w:bookmarkStart w:id="1273" w:name="Tc_MCIg8_JHK0GADqGREdAYKA_8_8"/>
      <w:bookmarkStart w:id="1274" w:name="Tc_Y4H3oKMiLk60OAniqdao5A_8_6"/>
      <w:bookmarkStart w:id="1275" w:name="Tc_OocxGnNkvU-sdaheZK3JRQ_8_5"/>
      <w:bookmarkStart w:id="1276" w:name="Tc_Ii8LkkW9Z0Wfzh3frAqPtw_8_2"/>
      <w:bookmarkStart w:id="1277" w:name="Tc_rFl8J5mawkOKE5RPgCfa6Q_8_0"/>
      <w:bookmarkStart w:id="1278" w:name="Tc_Ms-3B45Ufkm-oTtas6Bhjg_7_12"/>
      <w:bookmarkStart w:id="1279" w:name="Tc_zoJUDodzi0qPfursVZtMlg_7_11"/>
      <w:bookmarkStart w:id="1280" w:name="Tc_5L6ymfHs0E2d7hkOcoCmfA_7_8"/>
      <w:bookmarkStart w:id="1281" w:name="Tc_SKzVU1Qbl0i2UJOvRCWBjg_7_6"/>
      <w:bookmarkStart w:id="1282" w:name="Tc_TJXc5H6omUeBhtVUOikGDA_7_5"/>
      <w:bookmarkStart w:id="1283" w:name="Tc_SkcVVmv6VE2AWeGrOvMN0w_7_2"/>
      <w:bookmarkStart w:id="1284" w:name="Tc_zcqOXqQifkyGvNF-15Vvpw_7_0"/>
      <w:bookmarkStart w:id="1285" w:name="Tc__1HSjF3riEGz20GfIIecUA_6_12"/>
      <w:bookmarkStart w:id="1286" w:name="Tc_L07bdKKvsUOw_hNXkXGffA_6_11"/>
      <w:bookmarkStart w:id="1287" w:name="Tc_9x1LKY_ZlUuG3S_BROsAaw_6_8"/>
      <w:bookmarkStart w:id="1288" w:name="Tc_gdKPYtbBX0ysc0SuzgOceA_6_6"/>
      <w:bookmarkStart w:id="1289" w:name="Tc_bOmVV9bPM0ySCNoIN0NkUA_6_5"/>
      <w:bookmarkStart w:id="1290" w:name="Tc_5BovmCosyk27Qwd0TBFEYg_6_2"/>
      <w:bookmarkStart w:id="1291" w:name="Tc_Y-oSVWI2e0egP10Dly36ng_6_0"/>
      <w:bookmarkStart w:id="1292" w:name="Tc_-0zzqm78CECr4lbgBSjfBA_5_12"/>
      <w:bookmarkStart w:id="1293" w:name="Tc_3C9_ef1y-k-gZLfsGyzCqA_5_11"/>
      <w:bookmarkStart w:id="1294" w:name="Tc_RZ9yc6XTI06gI5sWe4WpNQ_5_8"/>
      <w:bookmarkStart w:id="1295" w:name="Tc_y7yApvtds0-QDbwXQT1OeQ_5_6"/>
      <w:bookmarkStart w:id="1296" w:name="Tc_Ghcn1G71VkGByV8mz9Q2Yg_5_5"/>
      <w:bookmarkStart w:id="1297" w:name="Tc_qTrxK2VyGEqPViThFwktLw_5_2"/>
      <w:bookmarkStart w:id="1298" w:name="Tc_1IiyCOpItEm_n7tF5nUmQg_5_0"/>
      <w:bookmarkStart w:id="1299" w:name="Tc__vN6dyKE40SU9ooWGtRGGw_4_12"/>
      <w:bookmarkStart w:id="1300" w:name="Tc_j3WLFnuuDk-trabSNSNLpg_4_11"/>
      <w:bookmarkStart w:id="1301" w:name="Tc_7My2JqSZR0e-Zp48OMZyfw_4_8"/>
      <w:bookmarkStart w:id="1302" w:name="Tc_6ezTSxAe4UmYKzML42p2zw_4_6"/>
      <w:bookmarkStart w:id="1303" w:name="Tc_UXnqimmxQkiaLhVQaIJvEw_4_5"/>
      <w:bookmarkStart w:id="1304" w:name="Tc_JFMnAyKZbUikfA3PtSI95Q_4_2"/>
      <w:bookmarkStart w:id="1305" w:name="Tc_KKJfSi_HgEK0I88I2EzT1g_4_0"/>
      <w:bookmarkStart w:id="1306" w:name="Tc__qqh-2XQ2ESh8l5K_ytvvA_3_0"/>
      <w:bookmarkStart w:id="1307" w:name="Tc_2f92L2kZW0K44mDC1KTXTw_2_11"/>
      <w:bookmarkStart w:id="1308" w:name="Tc_j9XOaHUWdEGbkBd9t7Ri_w_2_8"/>
      <w:bookmarkStart w:id="1309" w:name="Tc_PFjtO_dXJkiT_9NcT8r3-g_2_5"/>
      <w:bookmarkStart w:id="1310" w:name="Tc_hKTpNYnfMUyHcNTBzB1Y5w_2_2"/>
      <w:bookmarkStart w:id="1311" w:name="Tc_jYOCdkDwgEuwqaHh8Dp9jg_1_5"/>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r>
        <w:rPr>
          <w:rFonts w:ascii="Times New Roman;Times;serif" w:hAnsi="Times New Roman;Times;serif"/>
          <w:sz w:val="20"/>
        </w:rPr>
        <w:t>The following table presents the fair value of assets (liabilities) measured on a recurring basis by level as of September 30, 2025 and December 31, 2024 (in thousands). See Note 16, “Interest Rate Swaps” for further disclosure related to the Company’s interest rate swaps.</w:t>
      </w:r>
    </w:p>
    <w:p>
      <w:pPr>
        <w:pStyle w:val="TextBody"/>
        <w:bidi w:val="0"/>
        <w:spacing w:lineRule="auto" w:line="271"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2471"/>
        <w:gridCol w:w="109"/>
        <w:gridCol w:w="204"/>
        <w:gridCol w:w="641"/>
        <w:gridCol w:w="326"/>
        <w:gridCol w:w="538"/>
        <w:gridCol w:w="1651"/>
        <w:gridCol w:w="326"/>
        <w:gridCol w:w="456"/>
        <w:gridCol w:w="1332"/>
        <w:gridCol w:w="326"/>
        <w:gridCol w:w="550"/>
        <w:gridCol w:w="1275"/>
      </w:tblGrid>
      <w:tr>
        <w:trPr/>
        <w:tc>
          <w:tcPr>
            <w:tcW w:w="2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69085" cy="175260"/>
                      <wp:effectExtent l="0" t="0" r="0" b="0"/>
                      <wp:wrapNone/>
                      <wp:docPr id="191" name="Frame191"/>
                      <a:graphic xmlns:a="http://schemas.openxmlformats.org/drawingml/2006/main">
                        <a:graphicData uri="http://schemas.microsoft.com/office/word/2010/wordprocessingShape">
                          <wps:wsp>
                            <wps:cNvSpPr txBox="1"/>
                            <wps:spPr>
                              <a:xfrm>
                                <a:off x="0" y="0"/>
                                <a:ext cx="156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9540" cy="175260"/>
                      <wp:effectExtent l="0" t="0" r="0" b="0"/>
                      <wp:wrapNone/>
                      <wp:docPr id="193" name="Frame193"/>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07035" cy="175260"/>
                      <wp:effectExtent l="0" t="0" r="0" b="0"/>
                      <wp:wrapNone/>
                      <wp:docPr id="194" name="Frame194"/>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41630" cy="175260"/>
                      <wp:effectExtent l="0" t="0" r="0" b="0"/>
                      <wp:wrapNone/>
                      <wp:docPr id="196" name="Frame196"/>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048385" cy="175260"/>
                      <wp:effectExtent l="0" t="0" r="0" b="0"/>
                      <wp:wrapNone/>
                      <wp:docPr id="197" name="Frame197"/>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89560" cy="175260"/>
                      <wp:effectExtent l="0" t="0" r="0" b="0"/>
                      <wp:wrapNone/>
                      <wp:docPr id="199" name="Frame199"/>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845820" cy="175260"/>
                      <wp:effectExtent l="0" t="0" r="0" b="0"/>
                      <wp:wrapNone/>
                      <wp:docPr id="200" name="Frame200"/>
                      <a:graphic xmlns:a="http://schemas.openxmlformats.org/drawingml/2006/main">
                        <a:graphicData uri="http://schemas.microsoft.com/office/word/2010/wordprocessingShape">
                          <wps:wsp>
                            <wps:cNvSpPr txBox="1"/>
                            <wps:spPr>
                              <a:xfrm>
                                <a:off x="0" y="0"/>
                                <a:ext cx="845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49250" cy="175260"/>
                      <wp:effectExtent l="0" t="0" r="0" b="0"/>
                      <wp:wrapNone/>
                      <wp:docPr id="202" name="Frame202"/>
                      <a:graphic xmlns:a="http://schemas.openxmlformats.org/drawingml/2006/main">
                        <a:graphicData uri="http://schemas.microsoft.com/office/word/2010/wordprocessingShape">
                          <wps:wsp>
                            <wps:cNvSpPr txBox="1"/>
                            <wps:spPr>
                              <a:xfrm>
                                <a:off x="0" y="0"/>
                                <a:ext cx="349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09625" cy="175260"/>
                      <wp:effectExtent l="0" t="0" r="0" b="0"/>
                      <wp:wrapNone/>
                      <wp:docPr id="203" name="Frame203"/>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45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at Reporting Date Using</w:t>
            </w:r>
          </w:p>
        </w:tc>
      </w:tr>
      <w:tr>
        <w:trPr/>
        <w:tc>
          <w:tcPr>
            <w:tcW w:w="24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26" w:type="dxa"/>
            <w:tcBorders/>
            <w:vAlign w:val="center"/>
          </w:tcPr>
          <w:p>
            <w:pPr>
              <w:pStyle w:val="TableContents"/>
              <w:bidi w:val="0"/>
              <w:spacing w:before="0" w:after="0"/>
              <w:ind w:left="0" w:right="0" w:hanging="0"/>
              <w:jc w:val="left"/>
              <w:rPr/>
            </w:pPr>
            <w:r>
              <w:rPr/>
              <w:t>    </w:t>
            </w:r>
          </w:p>
        </w:tc>
        <w:tc>
          <w:tcPr>
            <w:tcW w:w="2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Quoted Prices in Active Markets for Identical Assets</w:t>
              <w:br/>
              <w:t>(Level 1)</w:t>
            </w:r>
          </w:p>
        </w:tc>
        <w:tc>
          <w:tcPr>
            <w:tcW w:w="326" w:type="dxa"/>
            <w:tcBorders/>
            <w:vAlign w:val="center"/>
          </w:tcPr>
          <w:p>
            <w:pPr>
              <w:pStyle w:val="TableContents"/>
              <w:bidi w:val="0"/>
              <w:spacing w:before="0" w:after="0"/>
              <w:ind w:left="0" w:right="0" w:hanging="0"/>
              <w:jc w:val="left"/>
              <w:rPr/>
            </w:pPr>
            <w:r>
              <w:rPr/>
              <w:t>    </w:t>
            </w:r>
          </w:p>
        </w:tc>
        <w:tc>
          <w:tcPr>
            <w:tcW w:w="17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Other Observable Inputs</w:t>
              <w:br/>
              <w:t>(Level 2)</w:t>
            </w:r>
          </w:p>
        </w:tc>
        <w:tc>
          <w:tcPr>
            <w:tcW w:w="326" w:type="dxa"/>
            <w:tcBorders/>
            <w:vAlign w:val="center"/>
          </w:tcPr>
          <w:p>
            <w:pPr>
              <w:pStyle w:val="TableContents"/>
              <w:bidi w:val="0"/>
              <w:spacing w:before="0" w:after="0"/>
              <w:ind w:left="0" w:right="0" w:hanging="0"/>
              <w:jc w:val="left"/>
              <w:rPr/>
            </w:pPr>
            <w:r>
              <w:rPr/>
              <w:t>    </w:t>
            </w:r>
          </w:p>
        </w:tc>
        <w:tc>
          <w:tcPr>
            <w:tcW w:w="1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Significant Unobservable Inputs</w:t>
              <w:br/>
              <w:t>(Level 3)</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September 30, 2025</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center"/>
              <w:rPr/>
            </w:pPr>
            <w:r>
              <w:rPr/>
              <w:t>​</w:t>
            </w:r>
          </w:p>
        </w:tc>
        <w:tc>
          <w:tcPr>
            <w:tcW w:w="6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center"/>
              <w:rPr/>
            </w:pPr>
            <w:r>
              <w:rPr/>
              <w:t>​</w:t>
            </w:r>
          </w:p>
        </w:tc>
        <w:tc>
          <w:tcPr>
            <w:tcW w:w="16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center"/>
              <w:rPr/>
            </w:pPr>
            <w:r>
              <w:rPr/>
              <w:t>​</w:t>
            </w:r>
          </w:p>
        </w:tc>
        <w:tc>
          <w:tcPr>
            <w:tcW w:w="133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center"/>
              <w:rPr/>
            </w:pPr>
            <w:r>
              <w:rPr/>
              <w:t>​</w:t>
            </w:r>
          </w:p>
        </w:tc>
        <w:tc>
          <w:tcPr>
            <w:tcW w:w="1275" w:type="dxa"/>
            <w:tcBorders/>
            <w:shd w:fill="CCEEFF" w:val="clear"/>
            <w:vAlign w:val="center"/>
          </w:tcPr>
          <w:p>
            <w:pPr>
              <w:pStyle w:val="TableContents"/>
              <w:bidi w:val="0"/>
              <w:spacing w:before="0" w:after="0"/>
              <w:ind w:left="0" w:right="0" w:hanging="0"/>
              <w:jc w:val="center"/>
              <w:rPr/>
            </w:pPr>
            <w:r>
              <w:rPr/>
              <w:t>​</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1,786</w:t>
            </w:r>
          </w:p>
        </w:tc>
        <w:tc>
          <w:tcPr>
            <w:tcW w:w="326"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1,786</w:t>
            </w:r>
          </w:p>
        </w:tc>
        <w:tc>
          <w:tcPr>
            <w:tcW w:w="326"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vAlign w:val="center"/>
          </w:tcPr>
          <w:p>
            <w:pPr>
              <w:pStyle w:val="TableContents"/>
              <w:bidi w:val="0"/>
              <w:spacing w:before="0" w:after="0"/>
              <w:ind w:left="0" w:right="0" w:hanging="0"/>
              <w:jc w:val="right"/>
              <w:rPr/>
            </w:pPr>
            <w:r>
              <w:rPr/>
              <w:t>—</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w:t>
            </w:r>
          </w:p>
        </w:tc>
        <w:tc>
          <w:tcPr>
            <w:tcW w:w="326"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w:t>
            </w:r>
          </w:p>
        </w:tc>
        <w:tc>
          <w:tcPr>
            <w:tcW w:w="326" w:type="dxa"/>
            <w:tcBorders/>
            <w:shd w:fill="CCEEFF" w:val="clear"/>
            <w:vAlign w:val="center"/>
          </w:tcPr>
          <w:p>
            <w:pPr>
              <w:pStyle w:val="TableContents"/>
              <w:bidi w:val="0"/>
              <w:spacing w:before="0" w:after="0"/>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shd w:fill="CCEEFF" w:val="clear"/>
            <w:vAlign w:val="center"/>
          </w:tcPr>
          <w:p>
            <w:pPr>
              <w:pStyle w:val="TableContents"/>
              <w:bidi w:val="0"/>
              <w:spacing w:before="0" w:after="0"/>
              <w:ind w:left="0" w:right="0" w:hanging="0"/>
              <w:jc w:val="right"/>
              <w:rPr/>
            </w:pPr>
            <w:r>
              <w:rPr/>
              <w:t>—</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- 2029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326"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326"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vAlign w:val="center"/>
          </w:tcPr>
          <w:p>
            <w:pPr>
              <w:pStyle w:val="TableContents"/>
              <w:bidi w:val="0"/>
              <w:spacing w:before="0" w:after="0"/>
              <w:ind w:left="0" w:right="0" w:hanging="0"/>
              <w:jc w:val="right"/>
              <w:rPr/>
            </w:pPr>
            <w:r>
              <w:rPr/>
              <w:t>—</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- 2030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326"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326" w:type="dxa"/>
            <w:tcBorders/>
            <w:shd w:fill="CCEEFF" w:val="clear"/>
            <w:vAlign w:val="center"/>
          </w:tcPr>
          <w:p>
            <w:pPr>
              <w:pStyle w:val="TableContents"/>
              <w:bidi w:val="0"/>
              <w:spacing w:before="0" w:after="0"/>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shd w:fill="CCEEFF" w:val="clear"/>
            <w:vAlign w:val="center"/>
          </w:tcPr>
          <w:p>
            <w:pPr>
              <w:pStyle w:val="TableContents"/>
              <w:bidi w:val="0"/>
              <w:spacing w:before="0" w:after="0"/>
              <w:ind w:left="0" w:right="0" w:hanging="0"/>
              <w:jc w:val="right"/>
              <w:rPr/>
            </w:pPr>
            <w:r>
              <w:rPr/>
              <w:t>—</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Credit Facility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w:t>
            </w:r>
          </w:p>
        </w:tc>
        <w:tc>
          <w:tcPr>
            <w:tcW w:w="326"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w:t>
            </w:r>
          </w:p>
        </w:tc>
        <w:tc>
          <w:tcPr>
            <w:tcW w:w="326"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vAlign w:val="center"/>
          </w:tcPr>
          <w:p>
            <w:pPr>
              <w:pStyle w:val="TableContents"/>
              <w:bidi w:val="0"/>
              <w:spacing w:before="0" w:after="0"/>
              <w:ind w:left="0" w:right="0" w:hanging="0"/>
              <w:jc w:val="right"/>
              <w:rPr/>
            </w:pPr>
            <w:r>
              <w:rPr/>
              <w:t>—</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35,022</w:t>
            </w:r>
          </w:p>
        </w:tc>
        <w:tc>
          <w:tcPr>
            <w:tcW w:w="326"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35,022</w:t>
            </w:r>
          </w:p>
        </w:tc>
        <w:tc>
          <w:tcPr>
            <w:tcW w:w="326" w:type="dxa"/>
            <w:tcBorders/>
            <w:shd w:fill="CCEEFF" w:val="clear"/>
            <w:vAlign w:val="center"/>
          </w:tcPr>
          <w:p>
            <w:pPr>
              <w:pStyle w:val="TableContents"/>
              <w:bidi w:val="0"/>
              <w:spacing w:before="0" w:after="0"/>
              <w:ind w:left="0" w:right="0" w:hanging="0"/>
              <w:jc w:val="left"/>
              <w:rPr/>
            </w:pPr>
            <w:r>
              <w:rPr/>
              <w:t>    </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shd w:fill="CCEEFF" w:val="clear"/>
            <w:vAlign w:val="center"/>
          </w:tcPr>
          <w:p>
            <w:pPr>
              <w:pStyle w:val="TableContents"/>
              <w:bidi w:val="0"/>
              <w:spacing w:before="0" w:after="0"/>
              <w:ind w:left="0" w:right="0" w:hanging="0"/>
              <w:jc w:val="right"/>
              <w:rPr/>
            </w:pPr>
            <w:r>
              <w:rPr/>
              <w:t>—</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2024</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center"/>
              <w:rPr/>
            </w:pPr>
            <w:r>
              <w:rPr/>
              <w:t>​</w:t>
            </w:r>
          </w:p>
        </w:tc>
        <w:tc>
          <w:tcPr>
            <w:tcW w:w="6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center"/>
              <w:rPr/>
            </w:pPr>
            <w:r>
              <w:rPr/>
              <w:t>​</w:t>
            </w:r>
          </w:p>
        </w:tc>
        <w:tc>
          <w:tcPr>
            <w:tcW w:w="13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center"/>
              <w:rPr/>
            </w:pPr>
            <w:r>
              <w:rPr/>
              <w:t>​</w:t>
            </w:r>
          </w:p>
        </w:tc>
        <w:tc>
          <w:tcPr>
            <w:tcW w:w="1275" w:type="dxa"/>
            <w:tcBorders/>
            <w:vAlign w:val="center"/>
          </w:tcPr>
          <w:p>
            <w:pPr>
              <w:pStyle w:val="TableContents"/>
              <w:bidi w:val="0"/>
              <w:spacing w:before="0" w:after="0"/>
              <w:ind w:left="0" w:right="0" w:hanging="0"/>
              <w:jc w:val="center"/>
              <w:rPr/>
            </w:pPr>
            <w:r>
              <w:rPr/>
              <w:t>​</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- 2026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w:t>
            </w:r>
          </w:p>
        </w:tc>
        <w:tc>
          <w:tcPr>
            <w:tcW w:w="326"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2,372</w:t>
            </w:r>
          </w:p>
        </w:tc>
        <w:tc>
          <w:tcPr>
            <w:tcW w:w="326" w:type="dxa"/>
            <w:tcBorders/>
            <w:shd w:fill="CCEEFF" w:val="clear"/>
            <w:vAlign w:val="center"/>
          </w:tcPr>
          <w:p>
            <w:pPr>
              <w:pStyle w:val="TableContents"/>
              <w:bidi w:val="0"/>
              <w:spacing w:before="0" w:after="0"/>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shd w:fill="CCEEFF" w:val="clear"/>
            <w:vAlign w:val="center"/>
          </w:tcPr>
          <w:p>
            <w:pPr>
              <w:pStyle w:val="TableContents"/>
              <w:bidi w:val="0"/>
              <w:spacing w:before="0" w:after="0"/>
              <w:ind w:left="0" w:right="0" w:hanging="0"/>
              <w:jc w:val="right"/>
              <w:rPr/>
            </w:pPr>
            <w:r>
              <w:rPr/>
              <w:t>—</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- 2027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5,854</w:t>
            </w:r>
          </w:p>
        </w:tc>
        <w:tc>
          <w:tcPr>
            <w:tcW w:w="326"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5,854</w:t>
            </w:r>
          </w:p>
        </w:tc>
        <w:tc>
          <w:tcPr>
            <w:tcW w:w="326"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vAlign w:val="center"/>
          </w:tcPr>
          <w:p>
            <w:pPr>
              <w:pStyle w:val="TableContents"/>
              <w:bidi w:val="0"/>
              <w:spacing w:before="0" w:after="0"/>
              <w:ind w:left="0" w:right="0" w:hanging="0"/>
              <w:jc w:val="right"/>
              <w:rPr/>
            </w:pPr>
            <w:r>
              <w:rPr/>
              <w:t>—</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- 2028 Term Loan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w:t>
            </w:r>
          </w:p>
        </w:tc>
        <w:tc>
          <w:tcPr>
            <w:tcW w:w="326"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w:t>
            </w:r>
          </w:p>
        </w:tc>
        <w:tc>
          <w:tcPr>
            <w:tcW w:w="326" w:type="dxa"/>
            <w:tcBorders/>
            <w:shd w:fill="CCEEFF" w:val="clear"/>
            <w:vAlign w:val="center"/>
          </w:tcPr>
          <w:p>
            <w:pPr>
              <w:pStyle w:val="TableContents"/>
              <w:bidi w:val="0"/>
              <w:spacing w:before="0" w:after="0"/>
              <w:ind w:left="0" w:right="0" w:hanging="0"/>
              <w:jc w:val="left"/>
              <w:rPr/>
            </w:pPr>
            <w:r>
              <w:rPr/>
              <w:t>    </w:t>
            </w:r>
          </w:p>
        </w:tc>
        <w:tc>
          <w:tcPr>
            <w:tcW w:w="55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shd w:fill="CCEEFF" w:val="clear"/>
            <w:vAlign w:val="center"/>
          </w:tcPr>
          <w:p>
            <w:pPr>
              <w:pStyle w:val="TableContents"/>
              <w:bidi w:val="0"/>
              <w:spacing w:before="0" w:after="0"/>
              <w:ind w:left="0" w:right="0" w:hanging="0"/>
              <w:jc w:val="right"/>
              <w:rPr/>
            </w:pPr>
            <w:r>
              <w:rPr/>
              <w:t>—</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- 2029 Term Loan Interest Rate Swaps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3,099</w:t>
            </w:r>
          </w:p>
        </w:tc>
        <w:tc>
          <w:tcPr>
            <w:tcW w:w="32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3,099</w:t>
            </w:r>
          </w:p>
        </w:tc>
        <w:tc>
          <w:tcPr>
            <w:tcW w:w="326"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vAlign w:val="center"/>
          </w:tcPr>
          <w:p>
            <w:pPr>
              <w:pStyle w:val="TableContents"/>
              <w:bidi w:val="0"/>
              <w:spacing w:before="0" w:after="0"/>
              <w:ind w:left="0" w:right="0" w:hanging="0"/>
              <w:jc w:val="right"/>
              <w:rPr/>
            </w:pPr>
            <w:r>
              <w:rPr/>
              <w:t>—</w:t>
            </w:r>
          </w:p>
        </w:tc>
      </w:tr>
      <w:tr>
        <w:trPr/>
        <w:tc>
          <w:tcPr>
            <w:tcW w:w="24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 Hedge - Credit Facility 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26" w:type="dxa"/>
            <w:tcBorders/>
            <w:shd w:fill="CCEEFF" w:val="clear"/>
            <w:vAlign w:val="center"/>
          </w:tcPr>
          <w:p>
            <w:pPr>
              <w:pStyle w:val="TableContents"/>
              <w:bidi w:val="0"/>
              <w:spacing w:before="0" w:after="0"/>
              <w:ind w:left="0" w:right="0" w:hanging="0"/>
              <w:jc w:val="left"/>
              <w:rPr/>
            </w:pPr>
            <w:r>
              <w:rPr/>
              <w:t>    </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326"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shd w:fill="CCEEFF" w:val="clear"/>
            <w:vAlign w:val="center"/>
          </w:tcPr>
          <w:p>
            <w:pPr>
              <w:pStyle w:val="TableContents"/>
              <w:bidi w:val="0"/>
              <w:spacing w:before="0" w:after="0"/>
              <w:ind w:left="0" w:right="0" w:hanging="0"/>
              <w:jc w:val="right"/>
              <w:rPr/>
            </w:pPr>
            <w:r>
              <w:rPr/>
              <w:t>—</w:t>
            </w:r>
          </w:p>
        </w:tc>
      </w:tr>
      <w:tr>
        <w:trPr/>
        <w:tc>
          <w:tcPr>
            <w:tcW w:w="24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10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39,666</w:t>
            </w:r>
          </w:p>
        </w:tc>
        <w:tc>
          <w:tcPr>
            <w:tcW w:w="326"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39,666</w:t>
            </w:r>
          </w:p>
        </w:tc>
        <w:tc>
          <w:tcPr>
            <w:tcW w:w="326" w:type="dxa"/>
            <w:tcBorders/>
            <w:vAlign w:val="center"/>
          </w:tcPr>
          <w:p>
            <w:pPr>
              <w:pStyle w:val="TableContents"/>
              <w:bidi w:val="0"/>
              <w:spacing w:before="0" w:after="0"/>
              <w:ind w:left="0" w:right="0" w:hanging="0"/>
              <w:jc w:val="left"/>
              <w:rPr/>
            </w:pPr>
            <w:r>
              <w:rPr/>
              <w:t>    </w:t>
            </w:r>
          </w:p>
        </w:tc>
        <w:tc>
          <w:tcPr>
            <w:tcW w:w="4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75" w:type="dxa"/>
            <w:tcBorders/>
            <w:vAlign w:val="center"/>
          </w:tcPr>
          <w:p>
            <w:pPr>
              <w:pStyle w:val="TableContents"/>
              <w:bidi w:val="0"/>
              <w:spacing w:before="0" w:after="0"/>
              <w:ind w:left="0" w:right="60" w:hanging="0"/>
              <w:jc w:val="right"/>
              <w:rPr/>
            </w:pPr>
            <w:r>
              <w:rPr/>
              <w:t>—</w:t>
            </w:r>
          </w:p>
        </w:tc>
      </w:tr>
    </w:tbl>
    <w:p>
      <w:pPr>
        <w:pStyle w:val="TextBody"/>
        <w:bidi w:val="0"/>
        <w:spacing w:lineRule="auto" w:line="271" w:before="0" w:after="0"/>
        <w:ind w:left="0" w:right="0" w:firstLine="49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312" w:name="Tc_BijCPLCht0yWfnFcnACcxQ_15_5"/>
      <w:bookmarkStart w:id="1313" w:name="Tc_CB_EIHA2mECftVS37nyOTA_15_2"/>
      <w:bookmarkStart w:id="1314" w:name="Tc_Q2FRMdsFGkKkAzuYG7MUJQ_15_0"/>
      <w:bookmarkStart w:id="1315" w:name="Tc_JVynzIGY0UiDPEiipJzdNw_14_0"/>
      <w:bookmarkStart w:id="1316" w:name="Tc_cEydZN6po0aPGFMOh1ntcg_13_0"/>
      <w:bookmarkStart w:id="1317" w:name="Tc_EaRVjOPfK0yoNykBvdNtbw_12_0"/>
      <w:bookmarkStart w:id="1318" w:name="Tc_f03TQS6RdEOYZRIBM95oig_11_0"/>
      <w:bookmarkStart w:id="1319" w:name="Tc_XHOmOEqgYUuR5vZR1uuhIA_10_0"/>
      <w:bookmarkStart w:id="1320" w:name="Tc_91NFROCVaUCMXE8RQfpSMw_9_0"/>
      <w:bookmarkStart w:id="1321" w:name="Tc_DDkTzindC0ywf_lXYcqwCw_8_0"/>
      <w:bookmarkStart w:id="1322" w:name="Tc_TOUy1gBQq0OPwhZQ8Lgo5Q_7_0"/>
      <w:bookmarkStart w:id="1323" w:name="Tc_41zhk-K-K0yCwNwPsgW6rA_6_0"/>
      <w:bookmarkStart w:id="1324" w:name="Tc_KOr_n0fZnkCykmYklKVaow_5_0"/>
      <w:bookmarkStart w:id="1325" w:name="Tc_J4FF8dP130OUNU_mgEJIzw_4_5"/>
      <w:bookmarkStart w:id="1326" w:name="Tc_yejGkMkHEEaRTBgpcAvY9Q_4_2"/>
      <w:bookmarkStart w:id="1327" w:name="Tc_S-RevZUf9E6QWR-KlFNSRg_4_0"/>
      <w:bookmarkStart w:id="1328" w:name="Tc_ZLD6bJobi0ChpQah8q8JCA_3_0"/>
      <w:bookmarkStart w:id="1329" w:name="Tc_yutgxl5lhUmS0g-Cb8OKvw_2_5"/>
      <w:bookmarkStart w:id="1330" w:name="Tc_i1nXvH9X0kycGQmpS_Xt7g_2_2"/>
      <w:bookmarkStart w:id="1331" w:name="Tc_H2Fki-MwB02LQOiAhCH2Nw_1_2"/>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9. INTANGIBLE ASSETS AND LIABILITIES</w:t>
      </w:r>
    </w:p>
    <w:p>
      <w:pPr>
        <w:pStyle w:val="TextBody"/>
        <w:bidi w:val="0"/>
        <w:spacing w:before="0" w:after="0"/>
        <w:ind w:left="0" w:right="0" w:hanging="0"/>
        <w:jc w:val="left"/>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Intangible assets and liabilities consist of the value of above-market and below-market leases, the value of in-place leases, and the value of leasing costs, based in each case on their fair values. The gross values of certain intangible lease assets and liabilities that were fully amortized as of December 31, 2024, and the related accumulated amortization, were adjusted in the disclosure below. There was no impact to Intangible Lease Assets-Net or Intangible Lease Liabilities-Net as reported in the consolidated balance sheets as of December 31, 2024 as a result of the disclosure adjustment. Intangible assets and liabilities consisted of the following as of September 30, 2025 and December 31, 2024 (in thousands):</w:t>
      </w:r>
    </w:p>
    <w:p>
      <w:pPr>
        <w:pStyle w:val="TextBody"/>
        <w:bidi w:val="0"/>
        <w:spacing w:lineRule="auto" w:line="268" w:before="0" w:after="0"/>
        <w:ind w:left="0" w:right="0" w:firstLine="490"/>
        <w:jc w:val="both"/>
        <w:rPr/>
      </w:pPr>
      <w:r>
        <w:rPr/>
        <w:t>​</w:t>
      </w:r>
    </w:p>
    <w:tbl>
      <w:tblPr>
        <w:tblW w:w="6970" w:type="dxa"/>
        <w:jc w:val="left"/>
        <w:tblInd w:w="0" w:type="dxa"/>
        <w:tblLayout w:type="fixed"/>
        <w:tblCellMar>
          <w:top w:w="0" w:type="dxa"/>
          <w:left w:w="0" w:type="dxa"/>
          <w:bottom w:w="0" w:type="dxa"/>
          <w:right w:w="0" w:type="dxa"/>
        </w:tblCellMar>
      </w:tblPr>
      <w:tblGrid>
        <w:gridCol w:w="3706"/>
        <w:gridCol w:w="326"/>
        <w:gridCol w:w="277"/>
        <w:gridCol w:w="1029"/>
        <w:gridCol w:w="326"/>
        <w:gridCol w:w="265"/>
        <w:gridCol w:w="1041"/>
      </w:tblGrid>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5895" cy="175260"/>
                      <wp:effectExtent l="0" t="0" r="0" b="0"/>
                      <wp:wrapNone/>
                      <wp:docPr id="205" name="Frame20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53415" cy="175260"/>
                      <wp:effectExtent l="0" t="0" r="0" b="0"/>
                      <wp:wrapNone/>
                      <wp:docPr id="206" name="Frame206"/>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68275" cy="175260"/>
                      <wp:effectExtent l="0" t="0" r="0" b="0"/>
                      <wp:wrapNone/>
                      <wp:docPr id="208" name="Frame20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61035" cy="175260"/>
                      <wp:effectExtent l="0" t="0" r="0" b="0"/>
                      <wp:wrapNone/>
                      <wp:docPr id="209" name="Frame209"/>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7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2025</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91,004</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82,740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24,581</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23,295</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25,904</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141,489</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130,086</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(66,937)</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(50,888)</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74,552</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79,198</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(24,098)</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(21,267)</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(24,098)</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9,318</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(14,780)</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59,772</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64,074</w:t>
            </w:r>
          </w:p>
        </w:tc>
      </w:tr>
    </w:tbl>
    <w:p>
      <w:pPr>
        <w:pStyle w:val="TextBody"/>
        <w:shd w:fill="FFFFFF" w:val="clear"/>
        <w:bidi w:val="0"/>
        <w:spacing w:lineRule="auto" w:line="268"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firstLine="490"/>
        <w:jc w:val="both"/>
        <w:rPr>
          <w:rFonts w:ascii="Times New Roman;Times;serif" w:hAnsi="Times New Roman;Times;serif"/>
          <w:sz w:val="20"/>
        </w:rPr>
      </w:pPr>
      <w:bookmarkStart w:id="1332" w:name="Tc_4F25HmZaR0qyWRfLBbScXg_9_8"/>
      <w:bookmarkStart w:id="1333" w:name="Tc_lwbCko6pVk6e4blYk6EMsA_9_5"/>
      <w:bookmarkStart w:id="1334" w:name="Tc_ywPoghLHsEqdpt5CLRcVfA_9_2"/>
      <w:bookmarkStart w:id="1335" w:name="Tc_SDgk3cDORECOEX1wqMsJGw_9_0"/>
      <w:bookmarkStart w:id="1336" w:name="Tc_VIF-llbTF0SJRC4DygZlVQ_8_0"/>
      <w:bookmarkStart w:id="1337" w:name="Tc_okvfYZlxgkqbFxi9XjtYNg_7_0"/>
      <w:bookmarkStart w:id="1338" w:name="Tc_5acJuzWCiU6Dl7Ep0_Tuxg_6_0"/>
      <w:bookmarkStart w:id="1339" w:name="Tc_AUmpMUopLE-ExhKM_cc_DQ_5_0"/>
      <w:bookmarkStart w:id="1340" w:name="Tc_ZGDul3PKTUKvL9nnCwWjFQ_4_0"/>
      <w:bookmarkStart w:id="1341" w:name="Tc_I9EsYrCnKE2loAGlxMkQoQ_3_0"/>
      <w:bookmarkStart w:id="1342" w:name="Tc_D9oyQwaSmkebwXGwF6pc0w_2_8"/>
      <w:bookmarkStart w:id="1343" w:name="Tc_EhI1o-2xq06AkYQRUagzpQ_2_5"/>
      <w:bookmarkStart w:id="1344" w:name="Tc_aj851iZGGkKpfqjWugmD2Q_2_2"/>
      <w:bookmarkStart w:id="1345" w:name="Tc_EanJFKVnK0y-OT4iFQvItQ_2_0"/>
      <w:bookmarkStart w:id="1346" w:name="Tc_pOZsvB6PY0SQ8ieMVlkTTg_1_8"/>
      <w:bookmarkStart w:id="1347" w:name="Tc_uc5kXYljdUqQgXafsnkg-Q_1_5"/>
      <w:bookmarkStart w:id="1348" w:name="Tc_u6Xk5vviM0qcwrqAlmzSTw_1_2"/>
      <w:bookmarkStart w:id="1349" w:name="Tc_ba8xxrxVp0SIHMX_uL18Gw_1_0"/>
      <w:bookmarkStart w:id="1350" w:name="Tc_8AXGhxvSlk20GTOhLbaIVg_5_11"/>
      <w:bookmarkStart w:id="1351" w:name="Tc_gMz7if2-mEWKrHbfi8mmZA_5_8"/>
      <w:bookmarkStart w:id="1352" w:name="Tc_0fMhmTnHmkuEJQQzEVlTSg_5_5"/>
      <w:bookmarkStart w:id="1353" w:name="Tc_OE8gYm9pmUeh2PiGfoH1uQ_5_2"/>
      <w:bookmarkStart w:id="1354" w:name="Tc_D2EmHCyvRE-pUhQN9ZvDDQ_5_0"/>
      <w:bookmarkStart w:id="1355" w:name="Tc_m_KJUJubDkG5A2ZP9rijGg_4_0"/>
      <w:bookmarkStart w:id="1356" w:name="Tc_y6cmaWFfPEOREaieRcTm2g_3_11"/>
      <w:bookmarkStart w:id="1357" w:name="Tc_c5aIZ8juOkm4n9xQDPfMQw_3_8"/>
      <w:bookmarkStart w:id="1358" w:name="Tc_XIkRdG0uJEqzbFpDiYmprQ_3_5"/>
      <w:bookmarkStart w:id="1359" w:name="Tc_gklaZM4I8EWHjWMxmdYzXQ_3_2"/>
      <w:bookmarkStart w:id="1360" w:name="Tc_4LEILGcsdU-BMCRygAxyiQ_3_0"/>
      <w:bookmarkStart w:id="1361" w:name="Tc__Th6y_Uj0UCR2leQ6OXuSg_2_11"/>
      <w:bookmarkStart w:id="1362" w:name="Tc_3I5TACXd60yVqnBvPMklcg_2_8"/>
      <w:bookmarkStart w:id="1363" w:name="Tc_3ocvpMHtmE2OmnnQZZJ0qw_2_5"/>
      <w:bookmarkStart w:id="1364" w:name="Tc_krRKJokflUy7DWzxJezPPA_2_2"/>
      <w:bookmarkStart w:id="1365" w:name="Tc_RNyNirVvKEK2000nvDyomA_1_8"/>
      <w:bookmarkStart w:id="1366" w:name="Tc_wgzkfSOr8UC_o_odI7w7MA_1_2"/>
      <w:bookmarkStart w:id="1367" w:name="_d1b39755_7ac9_4766_9ff3_a2fcab4802d2"/>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r>
        <w:rPr>
          <w:rFonts w:ascii="Times New Roman;Times;serif" w:hAnsi="Times New Roman;Times;serif"/>
          <w:sz w:val="20"/>
        </w:rPr>
        <w:t>The following table reflects the net amortization of intangible assets and liabilities during the three and nine months ended September 30, 2025 and 2024 (in thousands):</w:t>
      </w:r>
    </w:p>
    <w:p>
      <w:pPr>
        <w:pStyle w:val="TextBody"/>
        <w:bidi w:val="0"/>
        <w:spacing w:lineRule="auto" w:line="268" w:before="0" w:after="0"/>
        <w:ind w:left="0" w:right="0" w:firstLine="490"/>
        <w:jc w:val="both"/>
        <w:rPr/>
      </w:pPr>
      <w:r>
        <w:rPr/>
        <w:t>​</w:t>
      </w:r>
    </w:p>
    <w:tbl>
      <w:tblPr>
        <w:tblW w:w="10129" w:type="dxa"/>
        <w:jc w:val="left"/>
        <w:tblInd w:w="0" w:type="dxa"/>
        <w:tblLayout w:type="fixed"/>
        <w:tblCellMar>
          <w:top w:w="0" w:type="dxa"/>
          <w:left w:w="0" w:type="dxa"/>
          <w:bottom w:w="0" w:type="dxa"/>
          <w:right w:w="0" w:type="dxa"/>
        </w:tblCellMar>
      </w:tblPr>
      <w:tblGrid>
        <w:gridCol w:w="4411"/>
        <w:gridCol w:w="109"/>
        <w:gridCol w:w="352"/>
        <w:gridCol w:w="954"/>
        <w:gridCol w:w="122"/>
        <w:gridCol w:w="352"/>
        <w:gridCol w:w="954"/>
        <w:gridCol w:w="109"/>
        <w:gridCol w:w="310"/>
        <w:gridCol w:w="996"/>
        <w:gridCol w:w="109"/>
        <w:gridCol w:w="287"/>
        <w:gridCol w:w="1064"/>
      </w:tblGrid>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23520" cy="175260"/>
                      <wp:effectExtent l="0" t="0" r="0" b="0"/>
                      <wp:wrapNone/>
                      <wp:docPr id="211" name="Frame21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05790" cy="175260"/>
                      <wp:effectExtent l="0" t="0" r="0" b="0"/>
                      <wp:wrapNone/>
                      <wp:docPr id="212" name="Frame212"/>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7470" cy="175260"/>
                      <wp:effectExtent l="0" t="0" r="0" b="0"/>
                      <wp:wrapNone/>
                      <wp:docPr id="213" name="Frame213"/>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23520" cy="175260"/>
                      <wp:effectExtent l="0" t="0" r="0" b="0"/>
                      <wp:wrapNone/>
                      <wp:docPr id="214" name="Frame21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05790" cy="175260"/>
                      <wp:effectExtent l="0" t="0" r="0" b="0"/>
                      <wp:wrapNone/>
                      <wp:docPr id="215" name="Frame215"/>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96850" cy="175260"/>
                      <wp:effectExtent l="0" t="0" r="0" b="0"/>
                      <wp:wrapNone/>
                      <wp:docPr id="217" name="Frame21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32460" cy="175260"/>
                      <wp:effectExtent l="0" t="0" r="0" b="0"/>
                      <wp:wrapNone/>
                      <wp:docPr id="218" name="Frame218"/>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82245" cy="175260"/>
                      <wp:effectExtent l="0" t="0" r="0" b="0"/>
                      <wp:wrapNone/>
                      <wp:docPr id="220" name="Frame22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75640" cy="175260"/>
                      <wp:effectExtent l="0" t="0" r="0" b="0"/>
                      <wp:wrapNone/>
                      <wp:docPr id="221" name="Frame221"/>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27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4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2025</w:t>
            </w:r>
          </w:p>
        </w:tc>
        <w:tc>
          <w:tcPr>
            <w:tcW w:w="122"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2024</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2025</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2024</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5,951</w:t>
            </w:r>
          </w:p>
        </w:tc>
        <w:tc>
          <w:tcPr>
            <w:tcW w:w="122"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5,188</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18,267</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14,532</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Income Properties Revenue</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122"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5,771</w:t>
            </w:r>
          </w:p>
        </w:tc>
        <w:tc>
          <w:tcPr>
            <w:tcW w:w="122"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17,371</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15,362</w:t>
            </w:r>
          </w:p>
        </w:tc>
      </w:tr>
    </w:tbl>
    <w:p>
      <w:pPr>
        <w:pStyle w:val="TextBody"/>
        <w:bidi w:val="0"/>
        <w:spacing w:lineRule="auto" w:line="268" w:before="0" w:after="0"/>
        <w:ind w:left="0" w:right="0" w:firstLine="490"/>
        <w:jc w:val="both"/>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Amortization Expense for the three and nine months ended September 30, 2025 includes $0.5 million and $1.8 million, respectively, in the acceleration of amortization of lease intangibles related to certain leases terminated during the nine months ended September 30, 2025. Accretion to Income Properties Revenue for the three and nine months ended September 30, 2025 includes less than $0.1 million and $0.5 million, respectively, in the acceleration of amortization of lease intangibles related to certain leases terminated during the nine months ended September 30, 2025.</w:t>
      </w:r>
    </w:p>
    <w:p>
      <w:pPr>
        <w:pStyle w:val="TextBody"/>
        <w:bidi w:val="0"/>
        <w:spacing w:lineRule="auto" w:line="268" w:before="0" w:after="0"/>
        <w:ind w:left="0" w:right="0" w:firstLine="490"/>
        <w:jc w:val="both"/>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73"/>
        <w:gridCol w:w="326"/>
        <w:gridCol w:w="425"/>
        <w:gridCol w:w="1365"/>
        <w:gridCol w:w="326"/>
        <w:gridCol w:w="540"/>
        <w:gridCol w:w="1618"/>
        <w:gridCol w:w="326"/>
        <w:gridCol w:w="615"/>
        <w:gridCol w:w="2291"/>
      </w:tblGrid>
      <w:tr>
        <w:trPr/>
        <w:tc>
          <w:tcPr>
            <w:tcW w:w="23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1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866775" cy="175260"/>
                      <wp:effectExtent l="0" t="0" r="0" b="0"/>
                      <wp:wrapNone/>
                      <wp:docPr id="222" name="Frame222"/>
                      <a:graphic xmlns:a="http://schemas.openxmlformats.org/drawingml/2006/main">
                        <a:graphicData uri="http://schemas.microsoft.com/office/word/2010/wordprocessingShape">
                          <wps:wsp>
                            <wps:cNvSpPr txBox="1"/>
                            <wps:spPr>
                              <a:xfrm>
                                <a:off x="0" y="0"/>
                                <a:ext cx="866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027430" cy="175260"/>
                      <wp:effectExtent l="0" t="0" r="0" b="0"/>
                      <wp:wrapNone/>
                      <wp:docPr id="224" name="Frame224"/>
                      <a:graphic xmlns:a="http://schemas.openxmlformats.org/drawingml/2006/main">
                        <a:graphicData uri="http://schemas.microsoft.com/office/word/2010/wordprocessingShape">
                          <wps:wsp>
                            <wps:cNvSpPr txBox="1"/>
                            <wps:spPr>
                              <a:xfrm>
                                <a:off x="0" y="0"/>
                                <a:ext cx="1027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0"/>
              <w:ind w:left="0" w:right="0" w:hanging="0"/>
              <w:jc w:val="left"/>
              <w:rPr/>
            </w:pPr>
            <w:r>
              <w:rPr/>
              <w:t>​</w:t>
            </w:r>
          </w:p>
        </w:tc>
        <w:tc>
          <w:tcPr>
            <w:tcW w:w="2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454785" cy="175260"/>
                      <wp:effectExtent l="0" t="0" r="0" b="0"/>
                      <wp:wrapNone/>
                      <wp:docPr id="226" name="Frame226"/>
                      <a:graphic xmlns:a="http://schemas.openxmlformats.org/drawingml/2006/main">
                        <a:graphicData uri="http://schemas.microsoft.com/office/word/2010/wordprocessingShape">
                          <wps:wsp>
                            <wps:cNvSpPr txBox="1"/>
                            <wps:spPr>
                              <a:xfrm>
                                <a:off x="0" y="0"/>
                                <a:ext cx="145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1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Expense</w:t>
            </w:r>
          </w:p>
        </w:tc>
        <w:tc>
          <w:tcPr>
            <w:tcW w:w="326" w:type="dxa"/>
            <w:tcBorders/>
            <w:vAlign w:val="center"/>
          </w:tcPr>
          <w:p>
            <w:pPr>
              <w:pStyle w:val="TableContents"/>
              <w:bidi w:val="0"/>
              <w:spacing w:before="0" w:after="0"/>
              <w:ind w:left="0" w:right="0" w:hanging="0"/>
              <w:jc w:val="left"/>
              <w:rPr/>
            </w:pPr>
            <w:r>
              <w:rPr/>
              <w:t>    </w:t>
            </w:r>
          </w:p>
        </w:tc>
        <w:tc>
          <w:tcPr>
            <w:tcW w:w="2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Accretion to Income Property Revenue</w:t>
            </w:r>
          </w:p>
        </w:tc>
        <w:tc>
          <w:tcPr>
            <w:tcW w:w="326" w:type="dxa"/>
            <w:tcBorders/>
            <w:vAlign w:val="center"/>
          </w:tcPr>
          <w:p>
            <w:pPr>
              <w:pStyle w:val="TableContents"/>
              <w:bidi w:val="0"/>
              <w:spacing w:before="0" w:after="0"/>
              <w:ind w:left="0" w:right="0" w:hanging="0"/>
              <w:jc w:val="left"/>
              <w:rPr/>
            </w:pPr>
            <w:r>
              <w:rPr/>
              <w:t>    </w:t>
            </w:r>
          </w:p>
        </w:tc>
        <w:tc>
          <w:tcPr>
            <w:tcW w:w="2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Future Amortization of Intangible Assets and Liabilities</w:t>
            </w:r>
          </w:p>
        </w:tc>
      </w:tr>
      <w:tr>
        <w:trPr/>
        <w:tc>
          <w:tcPr>
            <w:tcW w:w="2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2025</w:t>
            </w:r>
          </w:p>
        </w:tc>
        <w:tc>
          <w:tcPr>
            <w:tcW w:w="32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5,263</w:t>
            </w:r>
          </w:p>
        </w:tc>
        <w:tc>
          <w:tcPr>
            <w:tcW w:w="326" w:type="dxa"/>
            <w:tcBorders/>
            <w:shd w:fill="CCEEFF" w:val="clear"/>
            <w:vAlign w:val="center"/>
          </w:tcPr>
          <w:p>
            <w:pPr>
              <w:pStyle w:val="TableContents"/>
              <w:bidi w:val="0"/>
              <w:spacing w:before="0" w:after="0"/>
              <w:ind w:left="0" w:right="0" w:hanging="0"/>
              <w:jc w:val="left"/>
              <w:rPr/>
            </w:pPr>
            <w:r>
              <w:rPr/>
              <w:t>​</w:t>
            </w:r>
          </w:p>
        </w:tc>
        <w:tc>
          <w:tcPr>
            <w:tcW w:w="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w:t>
            </w:r>
          </w:p>
        </w:tc>
      </w:tr>
      <w:tr>
        <w:trPr/>
        <w:tc>
          <w:tcPr>
            <w:tcW w:w="2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13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18,224</w:t>
            </w:r>
          </w:p>
        </w:tc>
        <w:tc>
          <w:tcPr>
            <w:tcW w:w="32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left"/>
              <w:rPr/>
            </w:pPr>
            <w:r>
              <w:rPr/>
              <w:t>​</w:t>
            </w:r>
          </w:p>
        </w:tc>
        <w:tc>
          <w:tcPr>
            <w:tcW w:w="2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17,308</w:t>
            </w:r>
          </w:p>
        </w:tc>
      </w:tr>
      <w:tr>
        <w:trPr/>
        <w:tc>
          <w:tcPr>
            <w:tcW w:w="2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13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13,407</w:t>
            </w:r>
          </w:p>
        </w:tc>
        <w:tc>
          <w:tcPr>
            <w:tcW w:w="326" w:type="dxa"/>
            <w:tcBorders/>
            <w:shd w:fill="CCEEFF" w:val="clear"/>
            <w:vAlign w:val="center"/>
          </w:tcPr>
          <w:p>
            <w:pPr>
              <w:pStyle w:val="TableContents"/>
              <w:bidi w:val="0"/>
              <w:spacing w:before="0" w:after="0"/>
              <w:ind w:left="0" w:right="0" w:hanging="0"/>
              <w:jc w:val="left"/>
              <w:rPr/>
            </w:pPr>
            <w:r>
              <w:rPr/>
              <w:t>​</w:t>
            </w:r>
          </w:p>
        </w:tc>
        <w:tc>
          <w:tcPr>
            <w:tcW w:w="540" w:type="dxa"/>
            <w:tcBorders/>
            <w:shd w:fill="CCEEFF" w:val="clear"/>
            <w:vAlign w:val="center"/>
          </w:tcPr>
          <w:p>
            <w:pPr>
              <w:pStyle w:val="TableContents"/>
              <w:bidi w:val="0"/>
              <w:spacing w:before="0" w:after="0"/>
              <w:ind w:left="0" w:right="0" w:hanging="0"/>
              <w:jc w:val="left"/>
              <w:rPr/>
            </w:pPr>
            <w:r>
              <w:rPr/>
              <w:t>​</w:t>
            </w:r>
          </w:p>
        </w:tc>
        <w:tc>
          <w:tcPr>
            <w:tcW w:w="1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left"/>
              <w:rPr/>
            </w:pPr>
            <w:r>
              <w:rPr/>
              <w:t>​</w:t>
            </w:r>
          </w:p>
        </w:tc>
        <w:tc>
          <w:tcPr>
            <w:tcW w:w="2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12,706</w:t>
            </w:r>
          </w:p>
        </w:tc>
      </w:tr>
      <w:tr>
        <w:trPr/>
        <w:tc>
          <w:tcPr>
            <w:tcW w:w="2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13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9,292</w:t>
            </w:r>
          </w:p>
        </w:tc>
        <w:tc>
          <w:tcPr>
            <w:tcW w:w="32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left"/>
              <w:rPr/>
            </w:pPr>
            <w:r>
              <w:rPr/>
              <w:t>​</w:t>
            </w:r>
          </w:p>
        </w:tc>
        <w:tc>
          <w:tcPr>
            <w:tcW w:w="2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8,841</w:t>
            </w:r>
          </w:p>
        </w:tc>
      </w:tr>
      <w:tr>
        <w:trPr/>
        <w:tc>
          <w:tcPr>
            <w:tcW w:w="2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pPr>
            <w:r>
              <w:rPr/>
              <w:t>​</w:t>
            </w:r>
          </w:p>
        </w:tc>
        <w:tc>
          <w:tcPr>
            <w:tcW w:w="13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5,554</w:t>
            </w:r>
          </w:p>
        </w:tc>
        <w:tc>
          <w:tcPr>
            <w:tcW w:w="326" w:type="dxa"/>
            <w:tcBorders/>
            <w:shd w:fill="CCEEFF" w:val="clear"/>
            <w:vAlign w:val="center"/>
          </w:tcPr>
          <w:p>
            <w:pPr>
              <w:pStyle w:val="TableContents"/>
              <w:bidi w:val="0"/>
              <w:spacing w:before="0" w:after="0"/>
              <w:ind w:left="0" w:right="0" w:hanging="0"/>
              <w:jc w:val="left"/>
              <w:rPr/>
            </w:pPr>
            <w:r>
              <w:rPr/>
              <w:t>​</w:t>
            </w:r>
          </w:p>
        </w:tc>
        <w:tc>
          <w:tcPr>
            <w:tcW w:w="540" w:type="dxa"/>
            <w:tcBorders/>
            <w:shd w:fill="CCEEFF" w:val="clear"/>
            <w:vAlign w:val="center"/>
          </w:tcPr>
          <w:p>
            <w:pPr>
              <w:pStyle w:val="TableContents"/>
              <w:bidi w:val="0"/>
              <w:spacing w:before="0" w:after="0"/>
              <w:ind w:left="0" w:right="0" w:hanging="0"/>
              <w:jc w:val="left"/>
              <w:rPr/>
            </w:pPr>
            <w:r>
              <w:rPr/>
              <w:t>​</w:t>
            </w:r>
          </w:p>
        </w:tc>
        <w:tc>
          <w:tcPr>
            <w:tcW w:w="1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left"/>
              <w:rPr/>
            </w:pPr>
            <w:r>
              <w:rPr/>
              <w:t>​</w:t>
            </w:r>
          </w:p>
        </w:tc>
        <w:tc>
          <w:tcPr>
            <w:tcW w:w="2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w:t>
            </w:r>
          </w:p>
        </w:tc>
      </w:tr>
      <w:tr>
        <w:trPr/>
        <w:tc>
          <w:tcPr>
            <w:tcW w:w="2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2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13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3,908</w:t>
            </w:r>
          </w:p>
        </w:tc>
        <w:tc>
          <w:tcPr>
            <w:tcW w:w="32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left"/>
              <w:rPr/>
            </w:pPr>
            <w:r>
              <w:rPr/>
              <w:t>​</w:t>
            </w:r>
          </w:p>
        </w:tc>
        <w:tc>
          <w:tcPr>
            <w:tcW w:w="2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3,550</w:t>
            </w:r>
          </w:p>
        </w:tc>
      </w:tr>
      <w:tr>
        <w:trPr/>
        <w:tc>
          <w:tcPr>
            <w:tcW w:w="2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8,384</w:t>
            </w:r>
          </w:p>
        </w:tc>
        <w:tc>
          <w:tcPr>
            <w:tcW w:w="326" w:type="dxa"/>
            <w:tcBorders/>
            <w:shd w:fill="CCEEFF" w:val="clear"/>
            <w:vAlign w:val="center"/>
          </w:tcPr>
          <w:p>
            <w:pPr>
              <w:pStyle w:val="TableContents"/>
              <w:bidi w:val="0"/>
              <w:spacing w:before="0" w:after="0"/>
              <w:ind w:left="0" w:right="0" w:hanging="0"/>
              <w:jc w:val="left"/>
              <w:rPr/>
            </w:pPr>
            <w:r>
              <w:rPr/>
              <w:t>​</w:t>
            </w:r>
          </w:p>
        </w:tc>
        <w:tc>
          <w:tcPr>
            <w:tcW w:w="5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7,426</w:t>
            </w:r>
          </w:p>
        </w:tc>
      </w:tr>
      <w:tr>
        <w:trPr/>
        <w:tc>
          <w:tcPr>
            <w:tcW w:w="2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4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64,032</w:t>
            </w:r>
          </w:p>
        </w:tc>
        <w:tc>
          <w:tcPr>
            <w:tcW w:w="326" w:type="dxa"/>
            <w:tcBorders/>
            <w:vAlign w:val="center"/>
          </w:tcPr>
          <w:p>
            <w:pPr>
              <w:pStyle w:val="TableContents"/>
              <w:bidi w:val="0"/>
              <w:spacing w:before="0" w:after="0"/>
              <w:ind w:left="0" w:right="0" w:hanging="0"/>
              <w:jc w:val="left"/>
              <w:rPr/>
            </w:pPr>
            <w:r>
              <w:rPr/>
              <w:t>​</w:t>
            </w:r>
          </w:p>
        </w:tc>
        <w:tc>
          <w:tcPr>
            <w:tcW w:w="5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(4,260)</w:t>
            </w:r>
          </w:p>
        </w:tc>
        <w:tc>
          <w:tcPr>
            <w:tcW w:w="326" w:type="dxa"/>
            <w:tcBorders/>
            <w:vAlign w:val="center"/>
          </w:tcPr>
          <w:p>
            <w:pPr>
              <w:pStyle w:val="TableContents"/>
              <w:bidi w:val="0"/>
              <w:spacing w:before="0" w:after="0"/>
              <w:ind w:left="0" w:right="0" w:hanging="0"/>
              <w:jc w:val="left"/>
              <w:rPr/>
            </w:pPr>
            <w:r>
              <w:rPr/>
              <w:t>​</w:t>
            </w:r>
          </w:p>
        </w:tc>
        <w:tc>
          <w:tcPr>
            <w:tcW w:w="6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59,772</w:t>
            </w:r>
          </w:p>
        </w:tc>
      </w:tr>
    </w:tbl>
    <w:p>
      <w:pPr>
        <w:pStyle w:val="TextBody"/>
        <w:bidi w:val="0"/>
        <w:spacing w:before="0" w:after="0"/>
        <w:ind w:left="0" w:right="0" w:hanging="0"/>
        <w:jc w:val="left"/>
        <w:rPr/>
      </w:pPr>
      <w:r>
        <w:rPr/>
        <w: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September 30, 2025, the weighted average amortization period of total intangible assets and liabilities was 7.6 years and 7.0 years, respectively.</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10. PROVISION FOR IMPAIRMENT</w:t>
      </w:r>
    </w:p>
    <w:p>
      <w:pPr>
        <w:pStyle w:val="TextBody"/>
        <w:bidi w:val="0"/>
        <w:spacing w:before="0" w:after="0"/>
        <w:ind w:left="0" w:right="0" w:hanging="0"/>
        <w:jc w:val="both"/>
        <w:rPr/>
      </w:pPr>
      <w:r>
        <w:rPr/>
        <w:t>​</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i/>
          <w:sz w:val="20"/>
        </w:rPr>
        <w:t xml:space="preserve">Income Properties. </w:t>
      </w:r>
      <w:r>
        <w:rPr>
          <w:rFonts w:ascii="Times New Roman;Times;serif" w:hAnsi="Times New Roman;Times;serif"/>
          <w:sz w:val="20"/>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executed purchase and sale agreements on specific properties, third party valuations, discounted cash flow models, and other model-based techniques.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There were no impairment charges on the Company’s income property portfolio during the nine months ended September 30, 2025 or 2024.</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Pursuant to ASC 326, Financial Instruments - Credit Losses, the Company 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During the nine months ended September 30, 2025, the Company recorded an impairment charge of less than $0.1 million related to its commercial loans and investments. During the nine months ended September 30, 2024, the Company recorded an impairment charge of $0.7 million related to its commercial loans and investments.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68" w:name="Tc_N-JrkaHvrEu-5uKy_eBaUw_12_5"/>
      <w:bookmarkStart w:id="1369" w:name="Tc_4ZNk9_AaTk6HvMsgINQ8zQ_12_2"/>
      <w:bookmarkStart w:id="1370" w:name="Tc_eWP1jG0aHUufiMU1SbroPQ_12_0"/>
      <w:bookmarkStart w:id="1371" w:name="Tc_9amBlIj6AUOfALg5GXZRuQ_11_0"/>
      <w:bookmarkStart w:id="1372" w:name="Tc_Vs9nwhMzJ0-TBNzdk9fPww_10_0"/>
      <w:bookmarkStart w:id="1373" w:name="Tc_FQr0-lXQ2kKgs99uxEoP4A_9_0"/>
      <w:bookmarkStart w:id="1374" w:name="Tc_LFe_tn7DTEywOpJBC07y_A_8_0"/>
      <w:bookmarkStart w:id="1375" w:name="Tc_8zW-xe47P0GH9lIo-ed1jQ_7_0"/>
      <w:bookmarkStart w:id="1376" w:name="Tc_gxE34qt7W0WPDwZ23dA_JQ_5_0"/>
      <w:bookmarkStart w:id="1377" w:name="Tc_Kld--ZKoQ0GuZ5t4m028_A_4_0"/>
      <w:bookmarkStart w:id="1378" w:name="Tc_G-w8mRiFGECZhNfWqKu9VQ_3_5"/>
      <w:bookmarkStart w:id="1379" w:name="Tc_ybpoh6vytUaFZzNVJsD7Tg_3_2"/>
      <w:bookmarkStart w:id="1380" w:name="Tc_EI9z6bJbTEWs1ygmi-jHGA_3_0"/>
      <w:bookmarkStart w:id="1381" w:name="Tc_UCksMzT9pESXRQ9mClFQ2Q_2_5"/>
      <w:bookmarkStart w:id="1382" w:name="Tc_CbsqL7Svl02k8pipQZdORQ_2_2"/>
      <w:bookmarkStart w:id="1383" w:name="Tc_awdBhfldD0O2bYVZFGkKuA_1_2"/>
      <w:bookmarkStart w:id="1384" w:name="_7a71d79e_4205_47ce_9f7e_5778ccc0af5c"/>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r>
        <w:rPr>
          <w:rFonts w:ascii="Times New Roman;Times;serif" w:hAnsi="Times New Roman;Times;serif"/>
          <w:b/>
          <w:sz w:val="20"/>
        </w:rPr>
        <w:t>NOTE 11. OTHER ASSETS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Other assets consisted of the following as of September 30, 2025 and December 31, 2024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6112"/>
        <w:gridCol w:w="326"/>
        <w:gridCol w:w="408"/>
        <w:gridCol w:w="1312"/>
        <w:gridCol w:w="326"/>
        <w:gridCol w:w="364"/>
        <w:gridCol w:w="1357"/>
      </w:tblGrid>
      <w:tr>
        <w:trPr/>
        <w:tc>
          <w:tcPr>
            <w:tcW w:w="6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881120" cy="175260"/>
                      <wp:effectExtent l="0" t="0" r="0" b="0"/>
                      <wp:wrapNone/>
                      <wp:docPr id="227" name="Frame227"/>
                      <a:graphic xmlns:a="http://schemas.openxmlformats.org/drawingml/2006/main">
                        <a:graphicData uri="http://schemas.microsoft.com/office/word/2010/wordprocessingShape">
                          <wps:wsp>
                            <wps:cNvSpPr txBox="1"/>
                            <wps:spPr>
                              <a:xfrm>
                                <a:off x="0" y="0"/>
                                <a:ext cx="388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59080" cy="175260"/>
                      <wp:effectExtent l="0" t="0" r="0" b="0"/>
                      <wp:wrapNone/>
                      <wp:docPr id="229" name="Frame229"/>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33120" cy="175260"/>
                      <wp:effectExtent l="0" t="0" r="0" b="0"/>
                      <wp:wrapNone/>
                      <wp:docPr id="230" name="Frame230"/>
                      <a:graphic xmlns:a="http://schemas.openxmlformats.org/drawingml/2006/main">
                        <a:graphicData uri="http://schemas.microsoft.com/office/word/2010/wordprocessingShape">
                          <wps:wsp>
                            <wps:cNvSpPr txBox="1"/>
                            <wps:spPr>
                              <a:xfrm>
                                <a:off x="0" y="0"/>
                                <a:ext cx="833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31140" cy="175260"/>
                      <wp:effectExtent l="0" t="0" r="0" b="0"/>
                      <wp:wrapNone/>
                      <wp:docPr id="232" name="Frame23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61695" cy="175260"/>
                      <wp:effectExtent l="0" t="0" r="0" b="0"/>
                      <wp:wrapNone/>
                      <wp:docPr id="233" name="Frame233"/>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7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1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left"/>
              <w:rPr/>
            </w:pPr>
            <w:r>
              <w:rPr/>
              <w:t>    </w:t>
            </w:r>
          </w:p>
        </w:tc>
        <w:tc>
          <w:tcPr>
            <w:tcW w:w="1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611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Property Tenant Receivables, Net of Allowance for Doubtful Accounts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3,321</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w:t>
            </w:r>
          </w:p>
        </w:tc>
      </w:tr>
      <w:tr>
        <w:trPr/>
        <w:tc>
          <w:tcPr>
            <w:tcW w:w="6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Property Straight-line Rent Adjustment</w:t>
            </w:r>
          </w:p>
        </w:tc>
        <w:tc>
          <w:tcPr>
            <w:tcW w:w="326"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9,054</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7,437</w:t>
            </w:r>
          </w:p>
        </w:tc>
      </w:tr>
      <w:tr>
        <w:trPr/>
        <w:tc>
          <w:tcPr>
            <w:tcW w:w="6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Property Leasing Commissions and Costs, Net</w:t>
            </w:r>
          </w:p>
        </w:tc>
        <w:tc>
          <w:tcPr>
            <w:tcW w:w="326"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pPr>
            <w:r>
              <w:rPr/>
              <w:t>​</w:t>
            </w:r>
          </w:p>
        </w:tc>
        <w:tc>
          <w:tcPr>
            <w:tcW w:w="13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8,526</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7,594</w:t>
            </w:r>
          </w:p>
        </w:tc>
      </w:tr>
      <w:tr>
        <w:trPr/>
        <w:tc>
          <w:tcPr>
            <w:tcW w:w="611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Right-of-Use Asset</w:t>
            </w:r>
          </w:p>
        </w:tc>
        <w:tc>
          <w:tcPr>
            <w:tcW w:w="326"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6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w:t>
            </w:r>
          </w:p>
        </w:tc>
        <w:tc>
          <w:tcPr>
            <w:tcW w:w="326"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pPr>
            <w:r>
              <w:rPr/>
              <w:t>​</w:t>
            </w:r>
          </w:p>
        </w:tc>
        <w:tc>
          <w:tcPr>
            <w:tcW w:w="13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12,517</w:t>
            </w:r>
          </w:p>
        </w:tc>
      </w:tr>
      <w:tr>
        <w:trPr/>
        <w:tc>
          <w:tcPr>
            <w:tcW w:w="6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Infrastructure Reimbursement Receivables</w:t>
            </w:r>
          </w:p>
        </w:tc>
        <w:tc>
          <w:tcPr>
            <w:tcW w:w="326"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6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pPr>
            <w:r>
              <w:rPr/>
              <w:t>​</w:t>
            </w:r>
          </w:p>
        </w:tc>
        <w:tc>
          <w:tcPr>
            <w:tcW w:w="13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8,707</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r>
      <w:tr>
        <w:trPr/>
        <w:tc>
          <w:tcPr>
            <w:tcW w:w="6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from Alpine Income Property Trust, Inc.</w:t>
            </w:r>
          </w:p>
        </w:tc>
        <w:tc>
          <w:tcPr>
            <w:tcW w:w="326"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13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w:t>
            </w:r>
          </w:p>
        </w:tc>
      </w:tr>
      <w:tr>
        <w:trPr/>
        <w:tc>
          <w:tcPr>
            <w:tcW w:w="61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Financing Costs, Net of Accumulated Amortization </w:t>
            </w:r>
          </w:p>
        </w:tc>
        <w:tc>
          <w:tcPr>
            <w:tcW w:w="326" w:type="dxa"/>
            <w:tcBorders/>
            <w:shd w:fill="CCEEFF" w:val="clear"/>
            <w:vAlign w:val="center"/>
          </w:tcPr>
          <w:p>
            <w:pPr>
              <w:pStyle w:val="TableContents"/>
              <w:bidi w:val="0"/>
              <w:spacing w:before="0" w:after="0"/>
              <w:ind w:left="0" w:right="0" w:hanging="0"/>
              <w:jc w:val="left"/>
              <w:rPr/>
            </w:pPr>
            <w:r>
              <w:rPr/>
              <w:t>​</w:t>
            </w:r>
          </w:p>
        </w:tc>
        <w:tc>
          <w:tcPr>
            <w:tcW w:w="4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w:t>
            </w:r>
          </w:p>
        </w:tc>
      </w:tr>
      <w:tr>
        <w:trPr/>
        <w:tc>
          <w:tcPr>
            <w:tcW w:w="61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vAlign w:val="center"/>
          </w:tcPr>
          <w:p>
            <w:pPr>
              <w:pStyle w:val="TableContents"/>
              <w:bidi w:val="0"/>
              <w:spacing w:before="0" w:after="0"/>
              <w:ind w:left="0" w:right="0" w:hanging="0"/>
              <w:jc w:val="left"/>
              <w:rPr/>
            </w:pPr>
            <w:r>
              <w:rPr/>
              <w:t>​</w:t>
            </w:r>
          </w:p>
        </w:tc>
        <w:tc>
          <w:tcPr>
            <w:tcW w:w="4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36,136</w:t>
            </w:r>
          </w:p>
        </w:tc>
        <w:tc>
          <w:tcPr>
            <w:tcW w:w="326" w:type="dxa"/>
            <w:tcBorders/>
            <w:vAlign w:val="center"/>
          </w:tcPr>
          <w:p>
            <w:pPr>
              <w:pStyle w:val="TableContents"/>
              <w:bidi w:val="0"/>
              <w:spacing w:before="0" w:after="0"/>
              <w:ind w:left="0" w:right="0" w:hanging="0"/>
              <w:jc w:val="left"/>
              <w:rPr/>
            </w:pPr>
            <w:r>
              <w:rPr/>
              <w:t>​</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36,201</w:t>
            </w:r>
          </w:p>
        </w:tc>
      </w:tr>
    </w:tbl>
    <w:tbl>
      <w:tblPr>
        <w:tblW w:w="9677" w:type="dxa"/>
        <w:jc w:val="left"/>
        <w:tblInd w:w="0" w:type="dxa"/>
        <w:tblLayout w:type="fixed"/>
        <w:tblCellMar>
          <w:top w:w="0" w:type="dxa"/>
          <w:left w:w="0" w:type="dxa"/>
          <w:bottom w:w="0" w:type="dxa"/>
          <w:right w:w="0" w:type="dxa"/>
        </w:tblCellMar>
      </w:tblPr>
      <w:tblGrid>
        <w:gridCol w:w="286"/>
        <w:gridCol w:w="9391"/>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93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Allowance for doubtful accounts was $2.2</w:t>
            </w:r>
            <w:r>
              <w:rPr>
                <w:rFonts w:ascii="Times New Roman;Times;serif" w:hAnsi="Times New Roman;Times;serif"/>
                <w:sz w:val="20"/>
              </w:rPr>
              <w:t xml:space="preserve"> </w:t>
            </w:r>
            <w:r>
              <w:rPr>
                <w:rFonts w:ascii="Times New Roman;Times;serif" w:hAnsi="Times New Roman;Times;serif"/>
                <w:sz w:val="16"/>
              </w:rPr>
              <w:t>million and $1.9</w:t>
            </w:r>
            <w:r>
              <w:rPr>
                <w:rFonts w:ascii="Times New Roman;Times;serif" w:hAnsi="Times New Roman;Times;serif"/>
                <w:sz w:val="20"/>
              </w:rPr>
              <w:t xml:space="preserve"> </w:t>
            </w:r>
            <w:r>
              <w:rPr>
                <w:rFonts w:ascii="Times New Roman;Times;serif" w:hAnsi="Times New Roman;Times;serif"/>
                <w:sz w:val="16"/>
              </w:rPr>
              <w:t xml:space="preserve">million as of September 30, 2025 and December 31, 2024, respectively.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12. EQUITY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11, 2022, the Company filed a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2022 Registration Statement effective on October 26, 2022.</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October 16, 2024, the Company filed a new shelf registration statement on Form S-3, relating to the registration and potential issuance of its common stock, preferred stock, debt securities, warrants, rights, and units with a maximum aggregate offering price of up to $500.0 million (the “2024 Registration Statement”). The Securities and Exchange Commission declared the 2024 Registration Statement effective on November 12, 2024. The 2022 Registration Statement was terminated concurrently with the effectiveness of the 2024 Registration Statement.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EQUITY OFFERING</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0"/>
        <w:ind w:left="0" w:right="0" w:firstLine="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2021 ATM Program was terminated in connection with the establishment of the 2022 ATM Program, hereinafter defined.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October 28, 2022, the Company implemented a $150.0 million “at-the-market” equity offering program (the “2022 ATM Program”) pursuant to which the Company sold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 </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the aggregate, under the 2021 ATM Program and 2022 ATM Program, during the year ended December 31, 2022,</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sold 1,566,026 shares for gross proceeds of $33.4 million at a weighted average price of $21.33 per share, generating net proceeds of $32.9 million after deducting transaction fees totaling $0.5 million. The Company was not active under the 2022 ATM Program during the year ended December 31, 2023.During the year ended December 31, 2024, the Company sold 7,226,192 shares under the 2022 ATM Program for gross proceeds of $134.2 million at a weighted average price of $18.58 per share, generating net proceeds of $132.2 million after deducting transaction fees of $2.0 million. The 2022 ATM Program was terminated in connection with the establishment of the 2024 ATM Program, hereinafter defined.</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November 12, 2024, the Company implemented a $250.0 million “at-the-market” equity offering program (the “2024 ATM Program”) pursuant to which the Company may sell, from time to time, shares of the Company’s common stock. During the year ended December 31, 2024, the Company sold 1,696,601 shares under the 2024 ATM Program for gross proceeds of $33.5 million at a weighted average price of $19.77 per share, generating net proceeds of $33.0 million after deducting transaction fees of $0.5 million. In the aggregate, under the 2022 ATM Program and 2024 ATM Program, during the year ended December 31, 2024, the Company sold 8,922,793 shares for gross proceeds of $167.7 million at a weighted average price of $18.79 per share, generating net proceeds of $165.2 million after deducting transaction fees totaling $2.5 million.</w:t>
      </w:r>
    </w:p>
    <w:p>
      <w:pPr>
        <w:pStyle w:val="TextBody"/>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was not active under the 2024 ATM Program during the nine months ended September 30, 2025. As of September 30, 2025, $216.5 million of availability remained under the 2024 ATM Program.</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discount and expenses.</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April 4, 2024, </w:t>
      </w:r>
      <w:r>
        <w:rPr>
          <w:rFonts w:ascii="Times New Roman;Times;serif" w:hAnsi="Times New Roman;Times;serif"/>
          <w:sz w:val="20"/>
          <w:shd w:fill="FFFFFF" w:val="clear"/>
        </w:rPr>
        <w:t xml:space="preserve">the Company </w:t>
      </w:r>
      <w:r>
        <w:rPr>
          <w:rFonts w:ascii="Times New Roman;Times;serif" w:hAnsi="Times New Roman;Times;serif"/>
          <w:sz w:val="20"/>
        </w:rPr>
        <w:t>priced a public</w:t>
      </w:r>
      <w:r>
        <w:rPr>
          <w:rFonts w:ascii="Times New Roman;Times;serif" w:hAnsi="Times New Roman;Times;serif"/>
          <w:sz w:val="20"/>
          <w:shd w:fill="FFFFFF" w:val="clear"/>
        </w:rPr>
        <w:t xml:space="preserve"> offering of 1,500,000 additional shares of the Series A Preferred Stock, liquidation preference $25.00 per share, at a public offering price of $20.00 per share. The Company also granted the underwriters a 30-day option to purchase up to an additional 225,000 shares of the Series A Preferred Stock to cover over-allotments, which the underwriters exercised with respect to 218,417 shares on April 9, 2024. Upon closing on April 11, 2024, 1,718,417 shares of the Series A Preferred Stock (including the 218,417 shares of Series A Preferred Stock issued pursuant to the underwriters’ option) were issued generating net proceeds of $33.1 million, after deducting the underwriting discount and offering expenses payable by the Company</w:t>
      </w:r>
      <w:r>
        <w:rPr>
          <w:rFonts w:ascii="Times New Roman;Times;serif" w:hAnsi="Times New Roman;Times;serif"/>
          <w:sz w:val="20"/>
        </w:rPr>
        <w: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August 23, 2024, the Company implemented a $24.5 million “at-the-market” preferred stock equity offering program (the “2024 Preferred Stock ATM Program”) pursuant to which the Company may sell, from time to time, shares of the</w:t>
      </w:r>
      <w:r>
        <w:rPr>
          <w:rFonts w:ascii="Times New Roman;Times;serif" w:hAnsi="Times New Roman;Times;serif"/>
          <w:color w:val="212529"/>
          <w:sz w:val="20"/>
          <w:shd w:fill="FFFFFF" w:val="clear"/>
        </w:rPr>
        <w:t xml:space="preserve"> Series A Preferred Stock</w:t>
      </w:r>
      <w:r>
        <w:rPr>
          <w:rFonts w:ascii="Times New Roman;Times;serif" w:hAnsi="Times New Roman;Times;serif"/>
          <w:sz w:val="20"/>
        </w:rPr>
        <w:t>. During the year ended December 31, 2024, the Company sold 15,844 shares under the 2024 Preferred Stock ATM Program generating net proceeds of $0.4 million at a weighted average price of $23.22 per share after deducting transaction fees of less than $0.1 million. The Company was not active under the 2024 Preferred Stock ATM Program during the nine months ended September 30, 2025. As of September 30, 2025, $24.1 million of availability remained under the 2024 Preferred Stock ATM Program.</w:t>
      </w:r>
    </w:p>
    <w:p>
      <w:pPr>
        <w:pStyle w:val="TextBody"/>
        <w:bidi w:val="0"/>
        <w:spacing w:before="0" w:after="0"/>
        <w:ind w:left="0" w:right="0" w:firstLine="72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the Series A Preferred Stock may convert some or all of their Series A Preferred Stock into shares of the Company’s common stock at conversion rates set forth in the Articles Supplementary. </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385" w:name="Tc_pfXLuLYosk-fcKK4Mfo79w_9_11"/>
      <w:bookmarkStart w:id="1386" w:name="Tc_im2nQDojUUuBlUOurqO8-g_9_8"/>
      <w:bookmarkStart w:id="1387" w:name="Tc_JDg8kDx_2ECdUwHgCdgnjQ_9_5"/>
      <w:bookmarkStart w:id="1388" w:name="Tc_K5eHTD46gUuchvhtmmefyg_9_2"/>
      <w:bookmarkStart w:id="1389" w:name="Tc_aSxefYn750qpdCuNXm4g_w_9_0"/>
      <w:bookmarkStart w:id="1390" w:name="Tc_xhBCyKhpvkS11x9BwUeqgA_8_11"/>
      <w:bookmarkStart w:id="1391" w:name="Tc_jU81bkxnzUqJS7jJiwB-Dw_8_8"/>
      <w:bookmarkStart w:id="1392" w:name="Tc_1FrBfJne_kupKyp55eqgtg_8_5"/>
      <w:bookmarkStart w:id="1393" w:name="Tc_w9eeCJrXOUKiwDx04rmP6A_8_2"/>
      <w:bookmarkStart w:id="1394" w:name="Tc_CRZVOOZXSkKGlB-GgJAavQ_8_0"/>
      <w:bookmarkStart w:id="1395" w:name="Tc__BaMIleIVkeHCtTFaJXVkw_7_0"/>
      <w:bookmarkStart w:id="1396" w:name="Tc_QZBoUaGIGkivDjzAs5ffvQ_5_11"/>
      <w:bookmarkStart w:id="1397" w:name="Tc_xfY6l4I8EEiEvrWSpX2FRw_5_8"/>
      <w:bookmarkStart w:id="1398" w:name="Tc_eF8gme7zrEKRcRwyKnrRtw_5_5"/>
      <w:bookmarkStart w:id="1399" w:name="Tc_5QEKWGmAW0ekhYMj9-EJtQ_5_2"/>
      <w:bookmarkStart w:id="1400" w:name="Tc_8LVYnC3hnEqJ6hiqkEpzHQ_5_0"/>
      <w:bookmarkStart w:id="1401" w:name="Tc_uQKu9Q2LbEm_z6YVVISvmg_4_11"/>
      <w:bookmarkStart w:id="1402" w:name="Tc_t0O4OdSCOEaRmv012_hj8A_4_8"/>
      <w:bookmarkStart w:id="1403" w:name="Tc_qcoPnKIrgEm8wj1dGRO22Q_4_5"/>
      <w:bookmarkStart w:id="1404" w:name="Tc_LiWf6uSh1kuuL6_JkiQufg_4_2"/>
      <w:bookmarkStart w:id="1405" w:name="Tc_oH9ZedcwS0On0rxvtrEZJw_4_0"/>
      <w:bookmarkStart w:id="1406" w:name="Tc_w9BqsfPykUy7VoTI0q0jXQ_3_0"/>
      <w:bookmarkStart w:id="1407" w:name="Tc_f1yPmAcEkUG-suJDJr5xug_2_11"/>
      <w:bookmarkStart w:id="1408" w:name="Tc_Df5kyLeaC0Oule_cjWcM2A_2_8"/>
      <w:bookmarkStart w:id="1409" w:name="Tc_XMVC_EcQkUuMb1NpmtcR6A_2_5"/>
      <w:bookmarkStart w:id="1410" w:name="Tc_WN8LES53NUmDIff9Cah_9A_2_2"/>
      <w:bookmarkStart w:id="1411" w:name="Tc_kCP6PMYhPkSGvHiqb5fn8g_1_8"/>
      <w:bookmarkStart w:id="1412" w:name="Tc_4xJN_0jUAUWtEgWXKd7INw_1_2"/>
      <w:bookmarkStart w:id="1413" w:name="_b5591f53_c79a_49ec_8bd0_03ff7382d3e8"/>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r>
        <w:rPr>
          <w:rFonts w:ascii="Times New Roman;Times;serif" w:hAnsi="Times New Roman;Times;serif"/>
          <w:sz w:val="20"/>
        </w:rPr>
        <w:t>See Note 14, “Share Repurchases” for the Company’s Series A Preferred Stock repurchase activity.</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following table outlines dividends declared and paid for the Series A Preferred Stock and the Company’s common stock during the three and nine months ended September 30, 2025 and 2024 (in thousands, except per share data): </w:t>
      </w:r>
    </w:p>
    <w:p>
      <w:pPr>
        <w:pStyle w:val="TextBody"/>
        <w:bidi w:val="0"/>
        <w:spacing w:before="0" w:after="0"/>
        <w:ind w:left="0" w:right="0" w:firstLine="490"/>
        <w:jc w:val="both"/>
        <w:rPr/>
      </w:pPr>
      <w:r>
        <w:rPr/>
        <w:t>​</w:t>
      </w:r>
    </w:p>
    <w:tbl>
      <w:tblPr>
        <w:tblW w:w="8674" w:type="dxa"/>
        <w:jc w:val="left"/>
        <w:tblInd w:w="0" w:type="dxa"/>
        <w:tblLayout w:type="fixed"/>
        <w:tblCellMar>
          <w:top w:w="0" w:type="dxa"/>
          <w:left w:w="0" w:type="dxa"/>
          <w:bottom w:w="0" w:type="dxa"/>
          <w:right w:w="0" w:type="dxa"/>
        </w:tblCellMar>
      </w:tblPr>
      <w:tblGrid>
        <w:gridCol w:w="2101"/>
        <w:gridCol w:w="326"/>
        <w:gridCol w:w="310"/>
        <w:gridCol w:w="996"/>
        <w:gridCol w:w="326"/>
        <w:gridCol w:w="310"/>
        <w:gridCol w:w="996"/>
        <w:gridCol w:w="326"/>
        <w:gridCol w:w="310"/>
        <w:gridCol w:w="996"/>
        <w:gridCol w:w="326"/>
        <w:gridCol w:w="305"/>
        <w:gridCol w:w="1046"/>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96850" cy="175260"/>
                      <wp:effectExtent l="0" t="0" r="0" b="0"/>
                      <wp:wrapNone/>
                      <wp:docPr id="235" name="Frame23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32460" cy="175260"/>
                      <wp:effectExtent l="0" t="0" r="0" b="0"/>
                      <wp:wrapNone/>
                      <wp:docPr id="236" name="Frame236"/>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96850" cy="175260"/>
                      <wp:effectExtent l="0" t="0" r="0" b="0"/>
                      <wp:wrapNone/>
                      <wp:docPr id="238" name="Frame23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32460" cy="175260"/>
                      <wp:effectExtent l="0" t="0" r="0" b="0"/>
                      <wp:wrapNone/>
                      <wp:docPr id="239" name="Frame239"/>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96850" cy="175260"/>
                      <wp:effectExtent l="0" t="0" r="0" b="0"/>
                      <wp:wrapNone/>
                      <wp:docPr id="241" name="Frame24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32460" cy="175260"/>
                      <wp:effectExtent l="0" t="0" r="0" b="0"/>
                      <wp:wrapNone/>
                      <wp:docPr id="242" name="Frame242"/>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93675" cy="175260"/>
                      <wp:effectExtent l="0" t="0" r="0" b="0"/>
                      <wp:wrapNone/>
                      <wp:docPr id="244" name="Frame244"/>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64210" cy="175260"/>
                      <wp:effectExtent l="0" t="0" r="0" b="0"/>
                      <wp:wrapNone/>
                      <wp:docPr id="245" name="Frame245"/>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26" w:type="dxa"/>
            <w:tcBorders/>
            <w:vAlign w:val="center"/>
          </w:tcPr>
          <w:p>
            <w:pPr>
              <w:pStyle w:val="TableContents"/>
              <w:bidi w:val="0"/>
              <w:spacing w:before="0" w:after="0"/>
              <w:ind w:left="0" w:right="0" w:hanging="0"/>
              <w:jc w:val="left"/>
              <w:rPr/>
            </w:pPr>
            <w:r>
              <w:rPr/>
              <w:t>​</w:t>
            </w:r>
          </w:p>
        </w:tc>
        <w:tc>
          <w:tcPr>
            <w:tcW w:w="29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21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2025</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2024</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2025</w:t>
            </w:r>
          </w:p>
        </w:tc>
        <w:tc>
          <w:tcPr>
            <w:tcW w:w="326" w:type="dxa"/>
            <w:tcBorders/>
            <w:vAlign w:val="center"/>
          </w:tcPr>
          <w:p>
            <w:pPr>
              <w:pStyle w:val="TableContents"/>
              <w:bidi w:val="0"/>
              <w:spacing w:before="0" w:after="0"/>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2024</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Series A Preferred Stock </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5,634</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4,936</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12,390</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11,030</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36,820</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28,339</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 Share </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1.14</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13. COMMON STOCK AND EARNINGS PER SHARE</w:t>
      </w:r>
    </w:p>
    <w:p>
      <w:pPr>
        <w:pStyle w:val="TextBody"/>
        <w:bidi w:val="0"/>
        <w:spacing w:before="0" w:after="0"/>
        <w:ind w:left="0" w:right="0" w:firstLine="360"/>
        <w:jc w:val="both"/>
        <w:rPr/>
      </w:pPr>
      <w:r>
        <w:rPr/>
        <w:t>​</w:t>
      </w:r>
    </w:p>
    <w:p>
      <w:pPr>
        <w:pStyle w:val="TextBody"/>
        <w:bidi w:val="0"/>
        <w:spacing w:lineRule="auto" w:line="268"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vesting of restricted stock at the beginning of each period using the treasury stock method at average cost for the periods. Effective as of January 1, 2022, diluted earnings per common share also reflects the 2025 Notes (hereinafter defined) on an if-converted basis.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240"/>
        <w:ind w:left="0" w:right="0" w:firstLine="490"/>
        <w:jc w:val="both"/>
        <w:rPr>
          <w:rFonts w:ascii="Times New Roman;Times;serif" w:hAnsi="Times New Roman;Times;serif"/>
          <w:sz w:val="20"/>
        </w:rPr>
      </w:pPr>
      <w:bookmarkStart w:id="1414" w:name="Tc_oe7Jscbh20uYyqQeLq_oiQ_16_11"/>
      <w:bookmarkStart w:id="1415" w:name="Tc_PbgNFu4-8UCLa4DBc6WFtw_16_8"/>
      <w:bookmarkStart w:id="1416" w:name="Tc_hAImpKLeQ0WbR7lwaNzBkg_16_5"/>
      <w:bookmarkStart w:id="1417" w:name="Tc_Q5S30KOL_ECwt8nSRy9rDw_16_2"/>
      <w:bookmarkStart w:id="1418" w:name="Tc_0IsrvGkyZkWqkJtQ0DOe1Q_16_0"/>
      <w:bookmarkStart w:id="1419" w:name="Tc_XcQZ1XEpzk-gWlMVkJKaQA_15_0"/>
      <w:bookmarkStart w:id="1420" w:name="Tc_vsGnfeMNbk6ERYK9lJRgQQ_14_0"/>
      <w:bookmarkStart w:id="1421" w:name="Tc_Xp5L-PCkMEasBaMO9nST_w_12_0"/>
      <w:bookmarkStart w:id="1422" w:name="Tc_17u-dVPiLEmIrLiaXWMP7w_11_12"/>
      <w:bookmarkStart w:id="1423" w:name="Tc_iTF18JgyUkeyxOq36-VeqA_11_9"/>
      <w:bookmarkStart w:id="1424" w:name="Tc_HLJVGoYOn06AY8AbLaGAYQ_11_6"/>
      <w:bookmarkStart w:id="1425" w:name="Tc_AnyIi4-Ii0StIdTjfgnBww_11_3"/>
      <w:bookmarkStart w:id="1426" w:name="Tc_wHANbhO2wUK753j8vrDcCA_11_0"/>
      <w:bookmarkStart w:id="1427" w:name="Tc_AX60OAu5xEGExJtnW5k_vg_10_0"/>
      <w:bookmarkStart w:id="1428" w:name="Tc_KNTg7eQPxEy-Dq2n1d333Q_9_0"/>
      <w:bookmarkStart w:id="1429" w:name="Tc_TQasf9uDI0yeU1LpBKm32g_8_0"/>
      <w:bookmarkStart w:id="1430" w:name="Tc_vIGtkVR4oE6g1bWkdgzEBQ_6_11"/>
      <w:bookmarkStart w:id="1431" w:name="Tc_TZ-KgkS5NUGIm-8OG7qvsA_6_8"/>
      <w:bookmarkStart w:id="1432" w:name="Tc_G8i9bFTHVkGGNrU3ShlKeQ_6_5"/>
      <w:bookmarkStart w:id="1433" w:name="Tc_U5cQkG4hg0mfLEEmkYoVXQ_6_2"/>
      <w:bookmarkStart w:id="1434" w:name="Tc_9yRswkOr00alcXuA2zOgVg_6_0"/>
      <w:bookmarkStart w:id="1435" w:name="Tc_OuwT9JHNPUS7AiBN1SijWg_5_12"/>
      <w:bookmarkStart w:id="1436" w:name="Tc_U9S8i8-tL0y9AZlLScvXGw_5_9"/>
      <w:bookmarkStart w:id="1437" w:name="Tc_UAPiZVEBvkehIXcleVYk3Q_5_6"/>
      <w:bookmarkStart w:id="1438" w:name="Tc_iP9rd1Cklky-56Up5AOSXw_5_3"/>
      <w:bookmarkStart w:id="1439" w:name="Tc_buaS6FaKR0-FD5mgEhWx9Q_5_0"/>
      <w:bookmarkStart w:id="1440" w:name="Tc_O7vEpqJisk66LJ7aFBfA1A_4_11"/>
      <w:bookmarkStart w:id="1441" w:name="Tc_pv6eVvcxtEGx4gX94XHeYg_4_8"/>
      <w:bookmarkStart w:id="1442" w:name="Tc_SlrX-Utyeky0TFAqe5nDgg_4_5"/>
      <w:bookmarkStart w:id="1443" w:name="Tc_dW3vZTOEaUeVb4lIGQkiEg_4_2"/>
      <w:bookmarkStart w:id="1444" w:name="Tc_wpT_H6nCj0mUTs6s0l2bgw_4_0"/>
      <w:bookmarkStart w:id="1445" w:name="Tc_pRCDYe174E6SVahLZj8Bkw_3_0"/>
      <w:bookmarkStart w:id="1446" w:name="Tc_013hlfaxtUq1uGvnA4ya4w_2_11"/>
      <w:bookmarkStart w:id="1447" w:name="Tc_8cVkEHkbHE610u1iLYwQjg_2_8"/>
      <w:bookmarkStart w:id="1448" w:name="Tc_wQZbT7cAnk2bu5pSfIudoQ_2_5"/>
      <w:bookmarkStart w:id="1449" w:name="Tc_pos-ulvsDEGkL__1DmtYOg_2_2"/>
      <w:bookmarkStart w:id="1450" w:name="Tc__c_9VVbqikePRxo-tSB--g_1_8"/>
      <w:bookmarkStart w:id="1451" w:name="Tc_ElN9mPB9yEiqM3eQqxuz2A_1_2"/>
      <w:bookmarkStart w:id="1452" w:name="_bda1ae8c_9d0f_4f20_971a_aadae15bf94b"/>
      <w:bookmarkStart w:id="1453" w:name="_c3e3569c_855b_477f_92c6_76e31b7d64c4"/>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r>
        <w:rPr>
          <w:rFonts w:ascii="Times New Roman;Times;serif" w:hAnsi="Times New Roman;Times;serif"/>
          <w:sz w:val="20"/>
        </w:rPr>
        <w:t xml:space="preserve">The following is a reconciliation of basic and diluted earnings per common share for each of the periods presented (in thousands, except share and per share data): </w:t>
      </w:r>
    </w:p>
    <w:tbl>
      <w:tblPr>
        <w:tblW w:w="10205" w:type="dxa"/>
        <w:jc w:val="left"/>
        <w:tblInd w:w="0" w:type="dxa"/>
        <w:tblLayout w:type="fixed"/>
        <w:tblCellMar>
          <w:top w:w="0" w:type="dxa"/>
          <w:left w:w="0" w:type="dxa"/>
          <w:bottom w:w="0" w:type="dxa"/>
          <w:right w:w="0" w:type="dxa"/>
        </w:tblCellMar>
      </w:tblPr>
      <w:tblGrid>
        <w:gridCol w:w="3632"/>
        <w:gridCol w:w="326"/>
        <w:gridCol w:w="220"/>
        <w:gridCol w:w="1086"/>
        <w:gridCol w:w="326"/>
        <w:gridCol w:w="220"/>
        <w:gridCol w:w="1086"/>
        <w:gridCol w:w="326"/>
        <w:gridCol w:w="220"/>
        <w:gridCol w:w="1086"/>
        <w:gridCol w:w="326"/>
        <w:gridCol w:w="220"/>
        <w:gridCol w:w="1131"/>
      </w:tblGrid>
      <w:tr>
        <w:trPr/>
        <w:tc>
          <w:tcPr>
            <w:tcW w:w="36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9700" cy="175260"/>
                      <wp:effectExtent l="0" t="0" r="0" b="0"/>
                      <wp:wrapNone/>
                      <wp:docPr id="247" name="Frame24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89610" cy="175260"/>
                      <wp:effectExtent l="0" t="0" r="0" b="0"/>
                      <wp:wrapNone/>
                      <wp:docPr id="248" name="Frame248"/>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9700" cy="175260"/>
                      <wp:effectExtent l="0" t="0" r="0" b="0"/>
                      <wp:wrapNone/>
                      <wp:docPr id="250" name="Frame25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89610" cy="175260"/>
                      <wp:effectExtent l="0" t="0" r="0" b="0"/>
                      <wp:wrapNone/>
                      <wp:docPr id="251" name="Frame251"/>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9700" cy="175260"/>
                      <wp:effectExtent l="0" t="0" r="0" b="0"/>
                      <wp:wrapNone/>
                      <wp:docPr id="253" name="Frame25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89610" cy="175260"/>
                      <wp:effectExtent l="0" t="0" r="0" b="0"/>
                      <wp:wrapNone/>
                      <wp:docPr id="254" name="Frame254"/>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9700" cy="175260"/>
                      <wp:effectExtent l="0" t="0" r="0" b="0"/>
                      <wp:wrapNone/>
                      <wp:docPr id="256" name="Frame25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18185" cy="175260"/>
                      <wp:effectExtent l="0" t="0" r="0" b="0"/>
                      <wp:wrapNone/>
                      <wp:docPr id="257" name="Frame257"/>
                      <a:graphic xmlns:a="http://schemas.openxmlformats.org/drawingml/2006/main">
                        <a:graphicData uri="http://schemas.microsoft.com/office/word/2010/wordprocessingShape">
                          <wps:wsp>
                            <wps:cNvSpPr txBox="1"/>
                            <wps:spPr>
                              <a:xfrm>
                                <a:off x="0" y="0"/>
                                <a:ext cx="71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26" w:type="dxa"/>
            <w:tcBorders/>
            <w:vAlign w:val="center"/>
          </w:tcPr>
          <w:p>
            <w:pPr>
              <w:pStyle w:val="TableContents"/>
              <w:bidi w:val="0"/>
              <w:spacing w:before="0" w:after="0"/>
              <w:ind w:left="0" w:right="0" w:hanging="0"/>
              <w:jc w:val="left"/>
              <w:rPr/>
            </w:pPr>
            <w:r>
              <w:rPr/>
              <w:t>​</w:t>
            </w:r>
          </w:p>
        </w:tc>
        <w:tc>
          <w:tcPr>
            <w:tcW w:w="29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6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2025</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2024</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2025</w:t>
            </w:r>
          </w:p>
        </w:tc>
        <w:tc>
          <w:tcPr>
            <w:tcW w:w="326" w:type="dxa"/>
            <w:tcBorders/>
            <w:vAlign w:val="center"/>
          </w:tcPr>
          <w:p>
            <w:pPr>
              <w:pStyle w:val="TableContents"/>
              <w:bidi w:val="0"/>
              <w:spacing w:before="0" w:after="0"/>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2024</w:t>
            </w:r>
          </w:p>
        </w:tc>
      </w:tr>
      <w:tr>
        <w:trPr/>
        <w:tc>
          <w:tcPr>
            <w:tcW w:w="3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pPr>
            <w:r>
              <w:rPr/>
              <w:t>​</w:t>
            </w:r>
          </w:p>
        </w:tc>
      </w:tr>
      <w:tr>
        <w:trPr/>
        <w:tc>
          <w:tcPr>
            <w:tcW w:w="3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Used in Basic EPS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(23,877)</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8,316</w:t>
            </w:r>
          </w:p>
        </w:tc>
      </w:tr>
      <w:tr>
        <w:trPr/>
        <w:tc>
          <w:tcPr>
            <w:tcW w:w="363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Add Back: Effect of Dilutive Interest Related to 2025 Notes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 Used in Diluted EPS</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(23,877)</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8,316</w:t>
            </w:r>
          </w:p>
        </w:tc>
      </w:tr>
      <w:tr>
        <w:trPr/>
        <w:tc>
          <w:tcPr>
            <w:tcW w:w="363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pPr>
            <w:r>
              <w:rPr/>
              <w:t>​</w:t>
            </w:r>
          </w:p>
        </w:tc>
      </w:tr>
      <w:tr>
        <w:trPr/>
        <w:tc>
          <w:tcPr>
            <w:tcW w:w="3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Shares: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pPr>
            <w:r>
              <w:rPr/>
              <w:t>​</w:t>
            </w:r>
          </w:p>
        </w:tc>
      </w:tr>
      <w:tr>
        <w:trPr/>
        <w:tc>
          <w:tcPr>
            <w:tcW w:w="3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32,651,101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25,445,411</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32,298,304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23,601,389</w:t>
            </w:r>
          </w:p>
        </w:tc>
      </w:tr>
      <w:tr>
        <w:trPr/>
        <w:tc>
          <w:tcPr>
            <w:tcW w:w="3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 Applicable to Unvested Restricted Stock Using the Treasury Stock Method</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31,674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76,338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15,591</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23,980</w:t>
            </w:r>
          </w:p>
        </w:tc>
      </w:tr>
      <w:tr>
        <w:trPr/>
        <w:tc>
          <w:tcPr>
            <w:tcW w:w="363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Shares Applicable to Dilutive Effect of 2025 Notes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Diluted</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32,682,775</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25,521,749</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32,313,895</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23,625,369</w:t>
            </w:r>
          </w:p>
        </w:tc>
      </w:tr>
      <w:tr>
        <w:trPr/>
        <w:tc>
          <w:tcPr>
            <w:tcW w:w="363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pPr>
            <w:r>
              <w:rPr/>
              <w:t>​</w:t>
            </w:r>
          </w:p>
        </w:tc>
      </w:tr>
      <w:tr>
        <w:trPr/>
        <w:tc>
          <w:tcPr>
            <w:tcW w:w="3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 Share Information:</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0"/>
              <w:ind w:left="0" w:right="0" w:hanging="0"/>
              <w:jc w:val="right"/>
              <w:rPr/>
            </w:pPr>
            <w:r>
              <w:rPr/>
              <w:t>​</w:t>
            </w:r>
          </w:p>
        </w:tc>
      </w:tr>
      <w:tr>
        <w:trPr/>
        <w:tc>
          <w:tcPr>
            <w:tcW w:w="3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left"/>
              <w:rPr/>
            </w:pPr>
            <w:r>
              <w:rPr/>
              <w:t>​</w:t>
            </w:r>
          </w:p>
        </w:tc>
      </w:tr>
      <w:tr>
        <w:trPr/>
        <w:tc>
          <w:tcPr>
            <w:tcW w:w="3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(0.74)</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0.35</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lineRule="auto" w:line="240" w:before="0" w:after="0"/>
              <w:jc w:val="both"/>
              <w:rPr>
                <w:rFonts w:ascii="Times New Roman;Times;serif" w:hAnsi="Times New Roman;Times;serif"/>
                <w:sz w:val="11"/>
              </w:rPr>
            </w:pPr>
            <w:r>
              <w:rPr>
                <w:rFonts w:ascii="Times New Roman;Times;serif" w:hAnsi="Times New Roman;Times;serif"/>
                <w:sz w:val="11"/>
              </w:rPr>
              <w:t>(1)</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2025 Notes were settled during the nine months ended September 30, 2025. As applicable, includes interest expense, amortization of discount, amortization of fees, and other changes in net income or loss that would result from the assumed conversion of the 2025 Notes to derive FFO (as defined herein) effective January 1, 2022 due to the implementation of ASU 2020-06 which requires presentation on an if-converted basis. For the nine months ended September 30, 2025, a total of $0.6</w:t>
            </w:r>
            <w:r>
              <w:rPr>
                <w:rFonts w:ascii="Times New Roman;Times;serif" w:hAnsi="Times New Roman;Times;serif"/>
                <w:sz w:val="20"/>
              </w:rPr>
              <w:t xml:space="preserve"> </w:t>
            </w:r>
            <w:r>
              <w:rPr>
                <w:rFonts w:ascii="Times New Roman;Times;serif" w:hAnsi="Times New Roman;Times;serif"/>
                <w:sz w:val="16"/>
              </w:rPr>
              <w:t>million of interest was not included, as the impact of the 2025 Notes, if-converted, would be antidilutive to net loss attributable to common stockholders for the period. For the three and nine months ended September 30, 2024, a total of $0.5</w:t>
            </w:r>
            <w:r>
              <w:rPr>
                <w:rFonts w:ascii="Times New Roman;Times;serif" w:hAnsi="Times New Roman;Times;serif"/>
                <w:sz w:val="20"/>
              </w:rPr>
              <w:t xml:space="preserve"> </w:t>
            </w:r>
            <w:r>
              <w:rPr>
                <w:rFonts w:ascii="Times New Roman;Times;serif" w:hAnsi="Times New Roman;Times;serif"/>
                <w:sz w:val="16"/>
              </w:rPr>
              <w:t>million and $1.6</w:t>
            </w:r>
            <w:r>
              <w:rPr>
                <w:rFonts w:ascii="Times New Roman;Times;serif" w:hAnsi="Times New Roman;Times;serif"/>
                <w:sz w:val="20"/>
              </w:rPr>
              <w:t xml:space="preserve"> </w:t>
            </w:r>
            <w:r>
              <w:rPr>
                <w:rFonts w:ascii="Times New Roman;Times;serif" w:hAnsi="Times New Roman;Times;serif"/>
                <w:sz w:val="16"/>
              </w:rPr>
              <w:t>million of interest was not included, respectively, as the impact of the 2025 Notes, if-converted, would be antidilutive to net income attributable to common stockholders for the respective period</w:t>
            </w:r>
            <w:r>
              <w:rPr>
                <w:rFonts w:ascii="Times New Roman;Times;serif" w:hAnsi="Times New Roman;Times;serif"/>
                <w:color w:val="212529"/>
                <w:sz w:val="16"/>
                <w:shd w:fill="FFFFFF" w:val="clear"/>
              </w:rPr>
              <w:t>s.</w:t>
            </w:r>
            <w:r>
              <w:rPr>
                <w:rFonts w:ascii="Times New Roman;Times;serif" w:hAnsi="Times New Roman;Times;serif"/>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(2)</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2025 Notes were settled during the nine months ended September 30, 2025. During the nine months ended September 30, 2025, the Company issued 1,089,555</w:t>
            </w:r>
            <w:r>
              <w:rPr>
                <w:rFonts w:ascii="Times New Roman;Times;serif" w:hAnsi="Times New Roman;Times;serif"/>
                <w:sz w:val="20"/>
              </w:rPr>
              <w:t xml:space="preserve"> </w:t>
            </w:r>
            <w:r>
              <w:rPr>
                <w:rFonts w:ascii="Times New Roman;Times;serif" w:hAnsi="Times New Roman;Times;serif"/>
                <w:sz w:val="16"/>
              </w:rPr>
              <w:t>shares of the Company’s common stock in connection with the settlement of the 2025 Notes and such shares were included in the basic and diluted weighted average share count for the period. Due to the implementation of ASU 2020-06, a total of 1.3</w:t>
            </w:r>
            <w:r>
              <w:rPr>
                <w:rFonts w:ascii="Times New Roman;Times;serif" w:hAnsi="Times New Roman;Times;serif"/>
                <w:sz w:val="20"/>
              </w:rPr>
              <w:t xml:space="preserve"> </w:t>
            </w:r>
            <w:r>
              <w:rPr>
                <w:rFonts w:ascii="Times New Roman;Times;serif" w:hAnsi="Times New Roman;Times;serif"/>
                <w:sz w:val="16"/>
              </w:rPr>
              <w:t>million shares, representing the dilutive impact of the 2025 Notes, were not included in the computation of diluted net loss per share attributable to common stockholders for the nine months ended September 30, 2025, because they were antidilutive to the net loss attributable to common stockholders for the period. Due to the implementation of ASU 2020-06, a total of  3.7</w:t>
            </w:r>
            <w:r>
              <w:rPr>
                <w:rFonts w:ascii="Times New Roman;Times;serif" w:hAnsi="Times New Roman;Times;serif"/>
                <w:sz w:val="20"/>
              </w:rPr>
              <w:t xml:space="preserve"> </w:t>
            </w:r>
            <w:r>
              <w:rPr>
                <w:rFonts w:ascii="Times New Roman;Times;serif" w:hAnsi="Times New Roman;Times;serif"/>
                <w:sz w:val="16"/>
              </w:rPr>
              <w:t>million shares and 3.6</w:t>
            </w:r>
            <w:r>
              <w:rPr>
                <w:rFonts w:ascii="Times New Roman;Times;serif" w:hAnsi="Times New Roman;Times;serif"/>
                <w:sz w:val="20"/>
              </w:rPr>
              <w:t xml:space="preserve"> </w:t>
            </w:r>
            <w:r>
              <w:rPr>
                <w:rFonts w:ascii="Times New Roman;Times;serif" w:hAnsi="Times New Roman;Times;serif"/>
                <w:sz w:val="16"/>
              </w:rPr>
              <w:t>million shares, representing the dilutive impact of the 2025 Notes, were not included in the computation of diluted net income per share attributable to common stockholders for the three and nine months ended September 30, 2024, respectively, because they were antidilutive to net income attributable to common stockholders for the respective periods.</w:t>
            </w:r>
            <w:r>
              <w:rPr>
                <w:rFonts w:ascii="Times New Roman;Times;serif" w:hAnsi="Times New Roman;Times;serif"/>
                <w:sz w:val="20"/>
              </w:rPr>
              <w:t xml:space="preserve"> </w:t>
            </w:r>
          </w:p>
        </w:tc>
      </w:tr>
    </w:tbl>
    <w:p>
      <w:pPr>
        <w:pStyle w:val="TextBody"/>
        <w:pBdr/>
        <w:bidi w:val="0"/>
        <w:spacing w:before="0" w:after="0"/>
        <w:ind w:left="0" w:right="0" w:hanging="36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There were 31,674 and 15,591 potentially dilutive shares related to the Company’s restricted stock for the three and nine months ended September 30, 2025, respectively. There were 76,338 and 23,980 potentially dilutive shares related to the Company’s restricted stock for the three and nine months ended September 30, 2024, respectively</w:t>
      </w:r>
      <w:r>
        <w:rPr>
          <w:rFonts w:ascii="TimesNewRomanPSMT" w:hAnsi="TimesNewRomanPSMT"/>
          <w:sz w:val="20"/>
        </w:rPr>
        <w:t>.</w:t>
      </w:r>
    </w:p>
    <w:p>
      <w:pPr>
        <w:pStyle w:val="TextBody"/>
        <w:bidi w:val="0"/>
        <w:spacing w:before="0" w:after="0"/>
        <w:ind w:left="0" w:right="0" w:firstLine="49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14. SHARE REPURCHASES</w:t>
      </w:r>
    </w:p>
    <w:p>
      <w:pPr>
        <w:pStyle w:val="TextBody"/>
        <w:bidi w:val="0"/>
        <w:spacing w:before="0" w:after="0"/>
        <w:ind w:left="0" w:right="0" w:firstLine="49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COMMON STOCK REPURCHASE PROGRAM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NewRomanPSMT" w:hAnsi="TimesNewRomanPSMT"/>
          <w:sz w:val="20"/>
        </w:rPr>
        <w:t>In February 2020, the Company’s Board of Directors approved a $10.0</w:t>
      </w:r>
      <w:r>
        <w:rPr>
          <w:rFonts w:ascii="Times New Roman;Times;serif" w:hAnsi="Times New Roman;Times;serif"/>
          <w:sz w:val="20"/>
        </w:rPr>
        <w:t xml:space="preserve"> </w:t>
      </w:r>
      <w:r>
        <w:rPr>
          <w:rFonts w:ascii="TimesNewRomanPSMT" w:hAnsi="TimesNewRomanPSMT"/>
          <w:sz w:val="20"/>
        </w:rPr>
        <w:t>million common stock repurchase program (the “$10.0</w:t>
      </w:r>
      <w:r>
        <w:rPr>
          <w:rFonts w:ascii="Times New Roman;Times;serif" w:hAnsi="Times New Roman;Times;serif"/>
          <w:sz w:val="20"/>
        </w:rPr>
        <w:t xml:space="preserve"> </w:t>
      </w:r>
      <w:r>
        <w:rPr>
          <w:rFonts w:ascii="TimesNewRomanPSMT" w:hAnsi="TimesNewRomanPSMT"/>
          <w:sz w:val="20"/>
        </w:rPr>
        <w:t>Million Common Stock Repurchase Program”). During the year ended December 31, 2020, the Company repurchased 265,695</w:t>
      </w:r>
      <w:r>
        <w:rPr>
          <w:rFonts w:ascii="Times New Roman;Times;serif" w:hAnsi="Times New Roman;Times;serif"/>
          <w:sz w:val="20"/>
        </w:rPr>
        <w:t xml:space="preserve"> </w:t>
      </w:r>
      <w:r>
        <w:rPr>
          <w:rFonts w:ascii="TimesNewRomanPSMT" w:hAnsi="TimesNewRomanPSMT"/>
          <w:sz w:val="20"/>
        </w:rPr>
        <w:t>shares of its common stock on the open market for a total cost of $4.1</w:t>
      </w:r>
      <w:r>
        <w:rPr>
          <w:rFonts w:ascii="Times New Roman;Times;serif" w:hAnsi="Times New Roman;Times;serif"/>
          <w:sz w:val="20"/>
        </w:rPr>
        <w:t xml:space="preserve"> </w:t>
      </w:r>
      <w:r>
        <w:rPr>
          <w:rFonts w:ascii="TimesNewRomanPSMT" w:hAnsi="TimesNewRomanPSMT"/>
          <w:sz w:val="20"/>
        </w:rPr>
        <w:t>million, or an average price per share of $15.43. During the year ended December 31, 2021, the Company repurchased 121,659</w:t>
      </w:r>
      <w:r>
        <w:rPr>
          <w:rFonts w:ascii="Times New Roman;Times;serif" w:hAnsi="Times New Roman;Times;serif"/>
          <w:sz w:val="20"/>
        </w:rPr>
        <w:t xml:space="preserve"> </w:t>
      </w:r>
      <w:r>
        <w:rPr>
          <w:rFonts w:ascii="TimesNewRomanPSMT" w:hAnsi="TimesNewRomanPSMT"/>
          <w:sz w:val="20"/>
        </w:rPr>
        <w:t>shares of its common stock on the open market for a total cost of $2.2</w:t>
      </w:r>
      <w:r>
        <w:rPr>
          <w:rFonts w:ascii="Times New Roman;Times;serif" w:hAnsi="Times New Roman;Times;serif"/>
          <w:sz w:val="20"/>
        </w:rPr>
        <w:t xml:space="preserve"> </w:t>
      </w:r>
      <w:r>
        <w:rPr>
          <w:rFonts w:ascii="TimesNewRomanPSMT" w:hAnsi="TimesNewRomanPSMT"/>
          <w:sz w:val="20"/>
        </w:rPr>
        <w:t>million, or an average price per share of $18.16. During the year ended December 31, 2022, the Company repurchased 145,724</w:t>
      </w:r>
      <w:r>
        <w:rPr>
          <w:rFonts w:ascii="Times New Roman;Times;serif" w:hAnsi="Times New Roman;Times;serif"/>
          <w:sz w:val="20"/>
        </w:rPr>
        <w:t xml:space="preserve"> </w:t>
      </w:r>
      <w:r>
        <w:rPr>
          <w:rFonts w:ascii="TimesNewRomanPSMT" w:hAnsi="TimesNewRomanPSMT"/>
          <w:sz w:val="20"/>
        </w:rPr>
        <w:t>shares of its common stock on the open market for a total cost of $2.8</w:t>
      </w:r>
      <w:r>
        <w:rPr>
          <w:rFonts w:ascii="Times New Roman;Times;serif" w:hAnsi="Times New Roman;Times;serif"/>
          <w:sz w:val="20"/>
        </w:rPr>
        <w:t xml:space="preserve"> </w:t>
      </w:r>
      <w:r>
        <w:rPr>
          <w:rFonts w:ascii="TimesNewRomanPSMT" w:hAnsi="TimesNewRomanPSMT"/>
          <w:sz w:val="20"/>
        </w:rPr>
        <w:t>million, or an average price per share of $19.15. No</w:t>
      </w:r>
      <w:r>
        <w:rPr>
          <w:rFonts w:ascii="Times New Roman;Times;serif" w:hAnsi="Times New Roman;Times;serif"/>
          <w:sz w:val="20"/>
        </w:rPr>
        <w:t xml:space="preserve"> </w:t>
      </w:r>
      <w:r>
        <w:rPr>
          <w:rFonts w:ascii="TimesNewRomanPSMT" w:hAnsi="TimesNewRomanPSMT"/>
          <w:sz w:val="20"/>
        </w:rPr>
        <w:t>repurchases were made pursuant to the $10.0</w:t>
      </w:r>
      <w:r>
        <w:rPr>
          <w:rFonts w:ascii="Times New Roman;Times;serif" w:hAnsi="Times New Roman;Times;serif"/>
          <w:sz w:val="20"/>
        </w:rPr>
        <w:t xml:space="preserve"> </w:t>
      </w:r>
      <w:r>
        <w:rPr>
          <w:rFonts w:ascii="TimesNewRomanPSMT" w:hAnsi="TimesNewRomanPSMT"/>
          <w:sz w:val="20"/>
        </w:rPr>
        <w:t>Million Common Stock Repurchase Program during the year ended December 31, 2023.</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NewRomanPSMT" w:hAnsi="TimesNewRomanPSMT"/>
          <w:sz w:val="20"/>
        </w:rPr>
        <w:t>On February 16, 2023, the Company’s Board of Directors approved a common stock repurchase program (the “February 2023 $5.0</w:t>
      </w:r>
      <w:r>
        <w:rPr>
          <w:rFonts w:ascii="Times New Roman;Times;serif" w:hAnsi="Times New Roman;Times;serif"/>
          <w:sz w:val="20"/>
        </w:rPr>
        <w:t xml:space="preserve"> </w:t>
      </w:r>
      <w:r>
        <w:rPr>
          <w:rFonts w:ascii="TimesNewRomanPSMT" w:hAnsi="TimesNewRomanPSMT"/>
          <w:sz w:val="20"/>
        </w:rPr>
        <w:t>Million Common Stock Repurchase Program”), which eliminated the unutilized portion of the $10.0</w:t>
      </w:r>
      <w:r>
        <w:rPr>
          <w:rFonts w:ascii="Times New Roman;Times;serif" w:hAnsi="Times New Roman;Times;serif"/>
          <w:sz w:val="20"/>
        </w:rPr>
        <w:t xml:space="preserve"> </w:t>
      </w:r>
      <w:r>
        <w:rPr>
          <w:rFonts w:ascii="TimesNewRomanPSMT" w:hAnsi="TimesNewRomanPSMT"/>
          <w:sz w:val="20"/>
        </w:rPr>
        <w:t>Million Common Stock Repurchase Program. Pursuant to the February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During the three months ended March 31, 2023, the Company repurchased 303,354</w:t>
      </w:r>
      <w:r>
        <w:rPr>
          <w:rFonts w:ascii="Times New Roman;Times;serif" w:hAnsi="Times New Roman;Times;serif"/>
          <w:sz w:val="20"/>
        </w:rPr>
        <w:t xml:space="preserve"> </w:t>
      </w:r>
      <w:r>
        <w:rPr>
          <w:rFonts w:ascii="TimesNewRomanPSMT" w:hAnsi="TimesNewRomanPSMT"/>
          <w:sz w:val="20"/>
        </w:rPr>
        <w:t>shares of its common stock on the open market for a total cost of $5.0</w:t>
      </w:r>
      <w:r>
        <w:rPr>
          <w:rFonts w:ascii="Times New Roman;Times;serif" w:hAnsi="Times New Roman;Times;serif"/>
          <w:sz w:val="20"/>
        </w:rPr>
        <w:t xml:space="preserve"> </w:t>
      </w:r>
      <w:r>
        <w:rPr>
          <w:rFonts w:ascii="TimesNewRomanPSMT" w:hAnsi="TimesNewRomanPSMT"/>
          <w:sz w:val="20"/>
        </w:rPr>
        <w:t>million, or an average price per share of $16.48, pursuant to the February 2023 $5.0</w:t>
      </w:r>
      <w:r>
        <w:rPr>
          <w:rFonts w:ascii="Times New Roman;Times;serif" w:hAnsi="Times New Roman;Times;serif"/>
          <w:sz w:val="20"/>
        </w:rPr>
        <w:t xml:space="preserve"> </w:t>
      </w:r>
      <w:r>
        <w:rPr>
          <w:rFonts w:ascii="TimesNewRomanPSMT" w:hAnsi="TimesNewRomanPSMT"/>
          <w:sz w:val="20"/>
        </w:rPr>
        <w:t>Million Common Stock Repurchase Program</w:t>
      </w:r>
      <w:r>
        <w:rPr>
          <w:rFonts w:ascii="Times New Roman;Times;serif" w:hAnsi="Times New Roman;Times;serif"/>
          <w:sz w:val="20"/>
        </w:rPr>
        <w:t xml:space="preserve">. Accordingly, as of </w:t>
      </w:r>
      <w:r>
        <w:rPr>
          <w:rFonts w:ascii="TimesNewRomanPSMT" w:hAnsi="TimesNewRomanPSMT"/>
          <w:sz w:val="20"/>
        </w:rPr>
        <w:t>March 31</w:t>
      </w:r>
      <w:r>
        <w:rPr>
          <w:rFonts w:ascii="Times New Roman;Times;serif" w:hAnsi="Times New Roman;Times;serif"/>
          <w:sz w:val="20"/>
        </w:rPr>
        <w:t>, 2023, no shares of the Company’s common stock remained available for repurchase under the February 2023 $5.0 Million Common Stock Repurchase Program.</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April 25, 2023, the Company’s Board of Directors approved a common stock repurchase program, </w:t>
      </w:r>
      <w:r>
        <w:rPr>
          <w:rFonts w:ascii="TimesNewRomanPSMT" w:hAnsi="TimesNewRomanPSMT"/>
          <w:sz w:val="20"/>
        </w:rPr>
        <w:t>(the “April 2023 $5.0</w:t>
      </w:r>
      <w:r>
        <w:rPr>
          <w:rFonts w:ascii="Times New Roman;Times;serif" w:hAnsi="Times New Roman;Times;serif"/>
          <w:sz w:val="20"/>
        </w:rPr>
        <w:t xml:space="preserve"> </w:t>
      </w:r>
      <w:r>
        <w:rPr>
          <w:rFonts w:ascii="TimesNewRomanPSMT" w:hAnsi="TimesNewRomanPSMT"/>
          <w:sz w:val="20"/>
        </w:rPr>
        <w:t>Million Common Stock Repurchase Program”). Pursuant to the April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w:t>
      </w:r>
      <w:r>
        <w:rPr>
          <w:rFonts w:ascii="Times New Roman;Times;serif" w:hAnsi="Times New Roman;Times;serif"/>
          <w:sz w:val="20"/>
          <w:shd w:fill="FFFFFF" w:val="clear"/>
        </w:rPr>
        <w:t xml:space="preserve"> </w:t>
      </w:r>
      <w:r>
        <w:rPr>
          <w:rFonts w:ascii="TimesNewRomanPSMT" w:hAnsi="TimesNewRomanPSMT"/>
          <w:sz w:val="20"/>
        </w:rPr>
        <w:t>During the year ended December 31, 2023, the Company repurchased 62,015</w:t>
      </w:r>
      <w:r>
        <w:rPr>
          <w:rFonts w:ascii="Times New Roman;Times;serif" w:hAnsi="Times New Roman;Times;serif"/>
          <w:sz w:val="20"/>
        </w:rPr>
        <w:t xml:space="preserve"> </w:t>
      </w:r>
      <w:r>
        <w:rPr>
          <w:rFonts w:ascii="TimesNewRomanPSMT" w:hAnsi="TimesNewRomanPSMT"/>
          <w:sz w:val="20"/>
        </w:rPr>
        <w:t>shares of its common stock on the open market for a total cost of $1.0</w:t>
      </w:r>
      <w:r>
        <w:rPr>
          <w:rFonts w:ascii="Times New Roman;Times;serif" w:hAnsi="Times New Roman;Times;serif"/>
          <w:sz w:val="20"/>
        </w:rPr>
        <w:t xml:space="preserve"> </w:t>
      </w:r>
      <w:r>
        <w:rPr>
          <w:rFonts w:ascii="TimesNewRomanPSMT" w:hAnsi="TimesNewRomanPSMT"/>
          <w:sz w:val="20"/>
        </w:rPr>
        <w:t>million, or an average price per share of $15.72. The April 2023 $5.0</w:t>
      </w:r>
      <w:r>
        <w:rPr>
          <w:rFonts w:ascii="Times New Roman;Times;serif" w:hAnsi="Times New Roman;Times;serif"/>
          <w:sz w:val="20"/>
        </w:rPr>
        <w:t xml:space="preserve"> </w:t>
      </w:r>
      <w:r>
        <w:rPr>
          <w:rFonts w:ascii="TimesNewRomanPSMT" w:hAnsi="TimesNewRomanPSMT"/>
          <w:sz w:val="20"/>
        </w:rPr>
        <w:t>Million Common Stock Repurchase Program was terminated in connection with the establishment of the December 2023 $5.0</w:t>
      </w:r>
      <w:r>
        <w:rPr>
          <w:rFonts w:ascii="Times New Roman;Times;serif" w:hAnsi="Times New Roman;Times;serif"/>
          <w:sz w:val="20"/>
        </w:rPr>
        <w:t xml:space="preserve"> </w:t>
      </w:r>
      <w:r>
        <w:rPr>
          <w:rFonts w:ascii="TimesNewRomanPSMT" w:hAnsi="TimesNewRomanPSMT"/>
          <w:sz w:val="20"/>
        </w:rPr>
        <w:t xml:space="preserve">Million Common Stock Repurchase Program (hereinafter defined).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December 12, 2023, the Company’s Board of Directors approved a common stock repurchase program </w:t>
      </w:r>
      <w:r>
        <w:rPr>
          <w:rFonts w:ascii="TimesNewRomanPSMT" w:hAnsi="TimesNewRomanPSMT"/>
          <w:sz w:val="20"/>
        </w:rPr>
        <w:t>(the “December 2023 $5.0</w:t>
      </w:r>
      <w:r>
        <w:rPr>
          <w:rFonts w:ascii="Times New Roman;Times;serif" w:hAnsi="Times New Roman;Times;serif"/>
          <w:sz w:val="20"/>
        </w:rPr>
        <w:t xml:space="preserve"> </w:t>
      </w:r>
      <w:r>
        <w:rPr>
          <w:rFonts w:ascii="TimesNewRomanPSMT" w:hAnsi="TimesNewRomanPSMT"/>
          <w:sz w:val="20"/>
        </w:rPr>
        <w:t>Million Common Stock Repurchase Program”). 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the Company was authorized to repurchase shares of its common stock for a total purchase price of up to $5.0</w:t>
      </w:r>
      <w:r>
        <w:rPr>
          <w:rFonts w:ascii="Times New Roman;Times;serif" w:hAnsi="Times New Roman;Times;serif"/>
          <w:sz w:val="20"/>
        </w:rPr>
        <w:t xml:space="preserve"> </w:t>
      </w:r>
      <w:r>
        <w:rPr>
          <w:rFonts w:ascii="TimesNewRomanPSMT" w:hAnsi="TimesNewRomanPSMT"/>
          <w:sz w:val="20"/>
        </w:rPr>
        <w:t>million. During the year ended December 31, 2024, the Company repurchased 40,726</w:t>
      </w:r>
      <w:r>
        <w:rPr>
          <w:rFonts w:ascii="Times New Roman;Times;serif" w:hAnsi="Times New Roman;Times;serif"/>
          <w:sz w:val="20"/>
        </w:rPr>
        <w:t xml:space="preserve"> </w:t>
      </w:r>
      <w:r>
        <w:rPr>
          <w:rFonts w:ascii="TimesNewRomanPSMT" w:hAnsi="TimesNewRomanPSMT"/>
          <w:sz w:val="20"/>
        </w:rPr>
        <w:t>shares of its common stock on the open market for a total cost of $0.7</w:t>
      </w:r>
      <w:r>
        <w:rPr>
          <w:rFonts w:ascii="Times New Roman;Times;serif" w:hAnsi="Times New Roman;Times;serif"/>
          <w:sz w:val="20"/>
        </w:rPr>
        <w:t xml:space="preserve"> </w:t>
      </w:r>
      <w:r>
        <w:rPr>
          <w:rFonts w:ascii="TimesNewRomanPSMT" w:hAnsi="TimesNewRomanPSMT"/>
          <w:sz w:val="20"/>
        </w:rPr>
        <w:t>million, or an average price per share of $16.28</w:t>
      </w:r>
      <w:r>
        <w:rPr>
          <w:rFonts w:ascii="Times New Roman;Times;serif" w:hAnsi="Times New Roman;Times;serif"/>
          <w:sz w:val="20"/>
        </w:rPr>
        <w:t xml:space="preserve"> </w:t>
      </w:r>
      <w:r>
        <w:rPr>
          <w:rFonts w:ascii="TimesNewRomanPSMT" w:hAnsi="TimesNewRomanPSMT"/>
          <w:sz w:val="20"/>
        </w:rPr>
        <w:t>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During the three months ended September 30, 2025, the Company repurchased 263,910</w:t>
      </w:r>
      <w:r>
        <w:rPr>
          <w:rFonts w:ascii="Times New Roman;Times;serif" w:hAnsi="Times New Roman;Times;serif"/>
          <w:sz w:val="20"/>
        </w:rPr>
        <w:t xml:space="preserve"> </w:t>
      </w:r>
      <w:r>
        <w:rPr>
          <w:rFonts w:ascii="TimesNewRomanPSMT" w:hAnsi="TimesNewRomanPSMT"/>
          <w:sz w:val="20"/>
        </w:rPr>
        <w:t>shares of its common stock on the open market for a total cost of $4.3</w:t>
      </w:r>
      <w:r>
        <w:rPr>
          <w:rFonts w:ascii="Times New Roman;Times;serif" w:hAnsi="Times New Roman;Times;serif"/>
          <w:sz w:val="20"/>
        </w:rPr>
        <w:t xml:space="preserve"> </w:t>
      </w:r>
      <w:r>
        <w:rPr>
          <w:rFonts w:ascii="TimesNewRomanPSMT" w:hAnsi="TimesNewRomanPSMT"/>
          <w:sz w:val="20"/>
        </w:rPr>
        <w:t>million, or an average price per share of $16.29</w:t>
      </w:r>
      <w:r>
        <w:rPr>
          <w:rFonts w:ascii="Times New Roman;Times;serif" w:hAnsi="Times New Roman;Times;serif"/>
          <w:sz w:val="20"/>
        </w:rPr>
        <w:t xml:space="preserve"> </w:t>
      </w:r>
      <w:r>
        <w:rPr>
          <w:rFonts w:ascii="TimesNewRomanPSMT" w:hAnsi="TimesNewRomanPSMT"/>
          <w:sz w:val="20"/>
        </w:rPr>
        <w:t>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During the nine months ended September 30, 2025, the Company repurchased 266,161</w:t>
      </w:r>
      <w:r>
        <w:rPr>
          <w:rFonts w:ascii="Times New Roman;Times;serif" w:hAnsi="Times New Roman;Times;serif"/>
          <w:sz w:val="20"/>
        </w:rPr>
        <w:t xml:space="preserve"> </w:t>
      </w:r>
      <w:r>
        <w:rPr>
          <w:rFonts w:ascii="TimesNewRomanPSMT" w:hAnsi="TimesNewRomanPSMT"/>
          <w:sz w:val="20"/>
        </w:rPr>
        <w:t>shares of its common stock on the open market for a total cost of $4.3</w:t>
      </w:r>
      <w:r>
        <w:rPr>
          <w:rFonts w:ascii="Times New Roman;Times;serif" w:hAnsi="Times New Roman;Times;serif"/>
          <w:sz w:val="20"/>
        </w:rPr>
        <w:t xml:space="preserve"> </w:t>
      </w:r>
      <w:r>
        <w:rPr>
          <w:rFonts w:ascii="TimesNewRomanPSMT" w:hAnsi="TimesNewRomanPSMT"/>
          <w:sz w:val="20"/>
        </w:rPr>
        <w:t>million, or an average price per share of $16.29</w:t>
      </w:r>
      <w:r>
        <w:rPr>
          <w:rFonts w:ascii="Times New Roman;Times;serif" w:hAnsi="Times New Roman;Times;serif"/>
          <w:sz w:val="20"/>
        </w:rPr>
        <w:t xml:space="preserve"> </w:t>
      </w:r>
      <w:r>
        <w:rPr>
          <w:rFonts w:ascii="TimesNewRomanPSMT" w:hAnsi="TimesNewRomanPSMT"/>
          <w:sz w:val="20"/>
        </w:rPr>
        <w:t>pursuant to the December 2023 $5.0</w:t>
      </w:r>
      <w:r>
        <w:rPr>
          <w:rFonts w:ascii="Times New Roman;Times;serif" w:hAnsi="Times New Roman;Times;serif"/>
          <w:sz w:val="20"/>
        </w:rPr>
        <w:t xml:space="preserve"> </w:t>
      </w:r>
      <w:r>
        <w:rPr>
          <w:rFonts w:ascii="TimesNewRomanPSMT" w:hAnsi="TimesNewRomanPSMT"/>
          <w:sz w:val="20"/>
        </w:rPr>
        <w:t>Million Common Stock Repurchase Program. Accordingly, as of the date that the Company’s Board of Directors established the September 2025 $10.0</w:t>
      </w:r>
      <w:r>
        <w:rPr>
          <w:rFonts w:ascii="Times New Roman;Times;serif" w:hAnsi="Times New Roman;Times;serif"/>
          <w:sz w:val="20"/>
        </w:rPr>
        <w:t xml:space="preserve"> </w:t>
      </w:r>
      <w:r>
        <w:rPr>
          <w:rFonts w:ascii="TimesNewRomanPSMT" w:hAnsi="TimesNewRomanPSMT"/>
          <w:sz w:val="20"/>
        </w:rPr>
        <w:t>Million Common Stock Repurchase Program (hereinafter defined), no</w:t>
      </w:r>
      <w:r>
        <w:rPr>
          <w:rFonts w:ascii="Times New Roman;Times;serif" w:hAnsi="Times New Roman;Times;serif"/>
          <w:sz w:val="20"/>
        </w:rPr>
        <w:t xml:space="preserve"> </w:t>
      </w:r>
      <w:r>
        <w:rPr>
          <w:rFonts w:ascii="TimesNewRomanPSMT" w:hAnsi="TimesNewRomanPSMT"/>
          <w:sz w:val="20"/>
        </w:rPr>
        <w:t>shares of the Company’s common stock remained available for repurchase under the December 2023 $5.0</w:t>
      </w:r>
      <w:r>
        <w:rPr>
          <w:rFonts w:ascii="Times New Roman;Times;serif" w:hAnsi="Times New Roman;Times;serif"/>
          <w:sz w:val="20"/>
        </w:rPr>
        <w:t xml:space="preserve"> </w:t>
      </w:r>
      <w:r>
        <w:rPr>
          <w:rFonts w:ascii="TimesNewRomanPSMT" w:hAnsi="TimesNewRomanPSMT"/>
          <w:sz w:val="20"/>
        </w:rPr>
        <w:t xml:space="preserve">Million Common Stock Repurchase Program.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September 24, 2025, the Company’s Board of Directors approved a common stock repurchase program, which is expected to be in effect until the approved dollar amount has been used to repurchase shares </w:t>
      </w:r>
      <w:r>
        <w:rPr>
          <w:rFonts w:ascii="TimesNewRomanPSMT" w:hAnsi="TimesNewRomanPSMT"/>
          <w:sz w:val="20"/>
        </w:rPr>
        <w:t>(the “September 2025 $10.0</w:t>
      </w:r>
      <w:r>
        <w:rPr>
          <w:rFonts w:ascii="Times New Roman;Times;serif" w:hAnsi="Times New Roman;Times;serif"/>
          <w:sz w:val="20"/>
        </w:rPr>
        <w:t xml:space="preserve"> </w:t>
      </w:r>
      <w:r>
        <w:rPr>
          <w:rFonts w:ascii="TimesNewRomanPSMT" w:hAnsi="TimesNewRomanPSMT"/>
          <w:sz w:val="20"/>
        </w:rPr>
        <w:t>Million Common Stock Repurchase Program”). Pursuant to the September 2025 $10.0</w:t>
      </w:r>
      <w:r>
        <w:rPr>
          <w:rFonts w:ascii="Times New Roman;Times;serif" w:hAnsi="Times New Roman;Times;serif"/>
          <w:sz w:val="20"/>
        </w:rPr>
        <w:t xml:space="preserve"> </w:t>
      </w:r>
      <w:r>
        <w:rPr>
          <w:rFonts w:ascii="TimesNewRomanPSMT" w:hAnsi="TimesNewRomanPSMT"/>
          <w:sz w:val="20"/>
        </w:rPr>
        <w:t>Million Common Stock Repurchase Program, the Company may repurchase shares of its common stock for a total purchase price of up to $10.0</w:t>
      </w:r>
      <w:r>
        <w:rPr>
          <w:rFonts w:ascii="Times New Roman;Times;serif" w:hAnsi="Times New Roman;Times;serif"/>
          <w:sz w:val="20"/>
        </w:rPr>
        <w:t xml:space="preserve"> </w:t>
      </w:r>
      <w:r>
        <w:rPr>
          <w:rFonts w:ascii="TimesNewRomanPSMT" w:hAnsi="TimesNewRomanPSMT"/>
          <w:sz w:val="20"/>
        </w:rPr>
        <w:t>million. Shares may be purchased under the September 2025 $10.0</w:t>
      </w:r>
      <w:r>
        <w:rPr>
          <w:rFonts w:ascii="Times New Roman;Times;serif" w:hAnsi="Times New Roman;Times;serif"/>
          <w:sz w:val="20"/>
        </w:rPr>
        <w:t xml:space="preserve"> </w:t>
      </w:r>
      <w:r>
        <w:rPr>
          <w:rFonts w:ascii="TimesNewRomanPSMT" w:hAnsi="TimesNewRomanPSMT"/>
          <w:sz w:val="20"/>
        </w:rPr>
        <w:t>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September 2025 $10.0</w:t>
      </w:r>
      <w:r>
        <w:rPr>
          <w:rFonts w:ascii="Times New Roman;Times;serif" w:hAnsi="Times New Roman;Times;serif"/>
          <w:sz w:val="20"/>
        </w:rPr>
        <w:t xml:space="preserve"> </w:t>
      </w:r>
      <w:r>
        <w:rPr>
          <w:rFonts w:ascii="TimesNewRomanPSMT" w:hAnsi="TimesNewRomanPSMT"/>
          <w:sz w:val="20"/>
        </w:rPr>
        <w:t>Million Common Stock Repurchase Program does not obligate the Company to acquire any particular amount of shares of its common stock and may be modified or suspended. No</w:t>
      </w:r>
      <w:r>
        <w:rPr>
          <w:rFonts w:ascii="Times New Roman;Times;serif" w:hAnsi="Times New Roman;Times;serif"/>
          <w:sz w:val="20"/>
        </w:rPr>
        <w:t xml:space="preserve"> </w:t>
      </w:r>
      <w:r>
        <w:rPr>
          <w:rFonts w:ascii="TimesNewRomanPSMT" w:hAnsi="TimesNewRomanPSMT"/>
          <w:sz w:val="20"/>
        </w:rPr>
        <w:t>repurchases were made pursuant to the September 2025 $10.0</w:t>
      </w:r>
      <w:r>
        <w:rPr>
          <w:rFonts w:ascii="Times New Roman;Times;serif" w:hAnsi="Times New Roman;Times;serif"/>
          <w:sz w:val="20"/>
        </w:rPr>
        <w:t xml:space="preserve"> </w:t>
      </w:r>
      <w:r>
        <w:rPr>
          <w:rFonts w:ascii="TimesNewRomanPSMT" w:hAnsi="TimesNewRomanPSMT"/>
          <w:sz w:val="20"/>
        </w:rPr>
        <w:t>Million Common Stock Repurchase Program during the three and nine months ended September 30, 2025. As of September 30, 2025, $10.0</w:t>
      </w:r>
      <w:r>
        <w:rPr>
          <w:rFonts w:ascii="Times New Roman;Times;serif" w:hAnsi="Times New Roman;Times;serif"/>
          <w:sz w:val="20"/>
        </w:rPr>
        <w:t xml:space="preserve"> </w:t>
      </w:r>
      <w:r>
        <w:rPr>
          <w:rFonts w:ascii="TimesNewRomanPSMT" w:hAnsi="TimesNewRomanPSMT"/>
          <w:sz w:val="20"/>
        </w:rPr>
        <w:t xml:space="preserve">million remained available for repurchases under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NewRomanPSMT" w:hAnsi="TimesNewRomanPSMT"/>
          <w:sz w:val="20"/>
        </w:rPr>
        <w:t>September 2025 $10.0</w:t>
      </w:r>
      <w:r>
        <w:rPr>
          <w:rFonts w:ascii="Times New Roman;Times;serif" w:hAnsi="Times New Roman;Times;serif"/>
          <w:sz w:val="20"/>
        </w:rPr>
        <w:t xml:space="preserve"> </w:t>
      </w:r>
      <w:r>
        <w:rPr>
          <w:rFonts w:ascii="TimesNewRomanPSMT" w:hAnsi="TimesNewRomanPSMT"/>
          <w:sz w:val="20"/>
        </w:rPr>
        <w:t xml:space="preserve">Million Common Stock Repurchase Program. </w:t>
      </w:r>
      <w:r>
        <w:rPr>
          <w:rFonts w:ascii="Times New Roman;Times;serif" w:hAnsi="Times New Roman;Times;serif"/>
          <w:sz w:val="20"/>
        </w:rPr>
        <w:t>For information regarding repurchases completed subsequent to September 30, 2025, refer to Note 23, ”Subsequent Events.”</w:t>
      </w:r>
    </w:p>
    <w:p>
      <w:pPr>
        <w:pStyle w:val="TextBody"/>
        <w:bidi w:val="0"/>
        <w:spacing w:before="0" w:after="0"/>
        <w:ind w:left="0" w:right="0" w:firstLine="49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SERIES A PREFERRED STOCK REPURCHASE PROGRAM</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year ended December 31, 2023, the Company repurchased 21,192 shares of Series A Preferred Stock on the open market for a total cost of $0.4 million, or an average price per share of $18.45. No shares of the Company’s Series A Preferred Stock were repurchased under the Series A Preferred Stock Repurchase Program during the nine months ended September 30, 2025 or 2024.</w:t>
      </w:r>
    </w:p>
    <w:p>
      <w:pPr>
        <w:pStyle w:val="TextBody"/>
        <w:bidi w:val="0"/>
        <w:spacing w:before="280" w:after="0"/>
        <w:ind w:left="0" w:right="0" w:hanging="0"/>
        <w:jc w:val="both"/>
        <w:rPr>
          <w:rFonts w:ascii="Times New Roman;Times;serif" w:hAnsi="Times New Roman;Times;serif"/>
          <w:b/>
          <w:sz w:val="20"/>
        </w:rPr>
      </w:pPr>
      <w:bookmarkStart w:id="1454" w:name="MORTGAGE_NOTES_PAYABLE"/>
      <w:bookmarkStart w:id="1455" w:name="CREDIT_FACILITY"/>
      <w:bookmarkStart w:id="1456" w:name="Tc_vxNxwHknYUSiV3I6aN7StA_8_1"/>
      <w:bookmarkStart w:id="1457" w:name="Tc_8JF8L_Uy7UGR-i4tM8ZZKg_8_0"/>
      <w:bookmarkStart w:id="1458" w:name="Tc_T9aK7Cq4ZkONbLxlqV6d-A_7_4"/>
      <w:bookmarkStart w:id="1459" w:name="Tc_AxrJcDhdcUGGPYlT50T9Bg_7_0"/>
      <w:bookmarkStart w:id="1460" w:name="Tc_K-vJK3_ux0mSjqur8j1Spw_6_8"/>
      <w:bookmarkStart w:id="1461" w:name="Tc_qB7CIziJcUGcejWyLx87Bg_6_4"/>
      <w:bookmarkStart w:id="1462" w:name="Tc_WmxxYIo-3E6ZnDLaFq0F3g_6_0"/>
      <w:bookmarkStart w:id="1463" w:name="Tc_4X44zFYLak2DRsh1etj4OA_5_8"/>
      <w:bookmarkStart w:id="1464" w:name="Tc_59XnYzosS0KQxzaBhxUZNA_5_4"/>
      <w:bookmarkStart w:id="1465" w:name="Tc_3_-ZcT2or0WP0zQahZ78Sw_5_0"/>
      <w:bookmarkStart w:id="1466" w:name="Tc_-K9ArCtsEkutzDLArPegKg_4_8"/>
      <w:bookmarkStart w:id="1467" w:name="Tc_BnzbZuqVlU2UZjIxlEqkFw_4_4"/>
      <w:bookmarkStart w:id="1468" w:name="Tc_CwsLPiooSEulfoG0pDE1zA_4_0"/>
      <w:bookmarkStart w:id="1469" w:name="Tc_nhr6-pzdm02J7V79R_jQXA_3_8"/>
      <w:bookmarkStart w:id="1470" w:name="Tc_PnznuKxRGUa-2eyPh0MOWA_3_4"/>
      <w:bookmarkStart w:id="1471" w:name="Tc_K2N58bHB40i7aH76hZFTSw_3_0"/>
      <w:bookmarkStart w:id="1472" w:name="Tc_24W4TuSwa0G1qIVz9N0ffA_2_8"/>
      <w:bookmarkStart w:id="1473" w:name="Tc_c3hxWAhCokqGoIo7wm6uiw_2_4"/>
      <w:bookmarkStart w:id="1474" w:name="Tc_FMJ0dmDeYkyeYB7X-MT4vQ_2_1"/>
      <w:bookmarkStart w:id="1475" w:name="Tc_0ZiEWzVhfk-F77sGOPaRJA_2_0"/>
      <w:bookmarkStart w:id="1476" w:name="Tc__805DvF9Ak2F157_r5FGWA_1_10"/>
      <w:bookmarkStart w:id="1477" w:name="Tc_SbpnPp-BHUmN7W7SRdruNg_1_7"/>
      <w:bookmarkStart w:id="1478" w:name="Tc_3jrY2m2NyEyGKaOtUf4FMA_1_4"/>
      <w:bookmarkStart w:id="1479" w:name="Tc_9RIIQLuaqkGTAPTKzOD7og_1_1"/>
      <w:bookmarkStart w:id="1480" w:name="_79e4c11c_a6a9_439e_bf78_3dc80c747fd3"/>
      <w:bookmarkStart w:id="1481" w:name="LT_DEBT"/>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r>
        <w:rPr>
          <w:rFonts w:ascii="Times New Roman;Times;serif" w:hAnsi="Times New Roman;Times;serif"/>
          <w:b/>
          <w:sz w:val="20"/>
        </w:rPr>
        <w:t>NOTE 15. LONG-TERM DEBT</w:t>
      </w:r>
    </w:p>
    <w:p>
      <w:pPr>
        <w:pStyle w:val="TextBody"/>
        <w:bidi w:val="0"/>
        <w:spacing w:before="0" w:after="0"/>
        <w:ind w:left="0" w:right="0" w:hanging="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As of September 30, 2025, the Company’s outstanding indebtedness, at face value, was as follows (in thousands):</w:t>
      </w:r>
    </w:p>
    <w:tbl>
      <w:tblPr>
        <w:tblW w:w="9594" w:type="dxa"/>
        <w:jc w:val="left"/>
        <w:tblInd w:w="0" w:type="dxa"/>
        <w:tblLayout w:type="fixed"/>
        <w:tblCellMar>
          <w:top w:w="0" w:type="dxa"/>
          <w:left w:w="0" w:type="dxa"/>
          <w:bottom w:w="0" w:type="dxa"/>
          <w:right w:w="0" w:type="dxa"/>
        </w:tblCellMar>
      </w:tblPr>
      <w:tblGrid>
        <w:gridCol w:w="2896"/>
        <w:gridCol w:w="316"/>
        <w:gridCol w:w="1169"/>
        <w:gridCol w:w="326"/>
        <w:gridCol w:w="712"/>
        <w:gridCol w:w="713"/>
        <w:gridCol w:w="146"/>
        <w:gridCol w:w="109"/>
        <w:gridCol w:w="1456"/>
        <w:gridCol w:w="326"/>
        <w:gridCol w:w="198"/>
        <w:gridCol w:w="1227"/>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838960" cy="175260"/>
                      <wp:effectExtent l="0" t="0" r="0" b="0"/>
                      <wp:wrapNone/>
                      <wp:docPr id="258" name="Frame258"/>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0660" cy="175260"/>
                      <wp:effectExtent l="0" t="0" r="0" b="0"/>
                      <wp:wrapNone/>
                      <wp:docPr id="259" name="Frame25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42315" cy="175260"/>
                      <wp:effectExtent l="0" t="0" r="0" b="0"/>
                      <wp:wrapNone/>
                      <wp:docPr id="260" name="Frame260"/>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52120" cy="175260"/>
                      <wp:effectExtent l="0" t="0" r="0" b="0"/>
                      <wp:wrapNone/>
                      <wp:docPr id="262" name="Frame262"/>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52755" cy="175260"/>
                      <wp:effectExtent l="0" t="0" r="0" b="0"/>
                      <wp:wrapNone/>
                      <wp:docPr id="263" name="Frame263"/>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92710" cy="175260"/>
                      <wp:effectExtent l="0" t="0" r="0" b="0"/>
                      <wp:wrapNone/>
                      <wp:docPr id="264" name="Frame2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924560" cy="175260"/>
                      <wp:effectExtent l="0" t="0" r="0" b="0"/>
                      <wp:wrapNone/>
                      <wp:docPr id="266" name="Frame26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5730" cy="175260"/>
                      <wp:effectExtent l="0" t="0" r="0" b="0"/>
                      <wp:wrapNone/>
                      <wp:docPr id="268" name="Frame268"/>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79145" cy="175260"/>
                      <wp:effectExtent l="0" t="0" r="0" b="0"/>
                      <wp:wrapNone/>
                      <wp:docPr id="269" name="Frame269"/>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Face Value Debt</w:t>
            </w:r>
          </w:p>
        </w:tc>
        <w:tc>
          <w:tcPr>
            <w:tcW w:w="326" w:type="dxa"/>
            <w:tcBorders/>
            <w:vAlign w:val="center"/>
          </w:tcPr>
          <w:p>
            <w:pPr>
              <w:pStyle w:val="TableContents"/>
              <w:bidi w:val="0"/>
              <w:spacing w:before="0" w:after="0"/>
              <w:ind w:left="0" w:right="0" w:hanging="0"/>
              <w:jc w:val="left"/>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c>
          <w:tcPr>
            <w:tcW w:w="146" w:type="dxa"/>
            <w:tcBorders/>
            <w:vAlign w:val="center"/>
          </w:tcPr>
          <w:p>
            <w:pPr>
              <w:pStyle w:val="TableContents"/>
              <w:bidi w:val="0"/>
              <w:spacing w:before="0" w:after="0"/>
              <w:ind w:left="0" w:right="0" w:hanging="0"/>
              <w:jc w:val="left"/>
              <w:rPr/>
            </w:pPr>
            <w:r>
              <w:rPr/>
              <w:t> </w:t>
            </w:r>
          </w:p>
        </w:tc>
        <w:tc>
          <w:tcPr>
            <w:tcW w:w="15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326" w:type="dxa"/>
            <w:tcBorders/>
            <w:vAlign w:val="center"/>
          </w:tcPr>
          <w:p>
            <w:pPr>
              <w:pStyle w:val="TableContents"/>
              <w:bidi w:val="0"/>
              <w:spacing w:before="0" w:after="0"/>
              <w:ind w:left="0" w:right="0" w:hanging="0"/>
              <w:jc w:val="left"/>
              <w:rPr/>
            </w:pPr>
            <w:r>
              <w:rPr/>
              <w:t>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Rate</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w:t>
            </w:r>
            <w:r>
              <w:rPr>
                <w:rFonts w:ascii="Times New Roman;Times;serif" w:hAnsi="Times New Roman;Times;serif"/>
                <w:sz w:val="15"/>
              </w:rPr>
              <w:t xml:space="preserve">(1)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139,000</w:t>
            </w:r>
          </w:p>
        </w:tc>
        <w:tc>
          <w:tcPr>
            <w:tcW w:w="32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5.17%</w:t>
            </w:r>
          </w:p>
        </w:tc>
      </w:tr>
      <w:tr>
        <w:trPr/>
        <w:tc>
          <w:tcPr>
            <w:tcW w:w="28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 xml:space="preserve">(2) </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2.80%</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2028 Term Loan </w:t>
            </w:r>
            <w:r>
              <w:rPr>
                <w:rFonts w:ascii="Times New Roman;Times;serif" w:hAnsi="Times New Roman;Times;serif"/>
                <w:sz w:val="15"/>
              </w:rPr>
              <w:t xml:space="preserve">(3) </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2028</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[1.20% - 2.15%]</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5.18%</w:t>
            </w:r>
          </w:p>
        </w:tc>
      </w:tr>
      <w:tr>
        <w:trPr/>
        <w:tc>
          <w:tcPr>
            <w:tcW w:w="28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2029 Term Loan </w:t>
            </w:r>
            <w:r>
              <w:rPr>
                <w:rFonts w:ascii="Times New Roman;Times;serif" w:hAnsi="Times New Roman;Times;serif"/>
                <w:sz w:val="15"/>
              </w:rPr>
              <w:t xml:space="preserve">(4) </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2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2029</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[1.20% - 2.15%]</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4.21%</w:t>
            </w:r>
          </w:p>
        </w:tc>
      </w:tr>
      <w:tr>
        <w:trPr/>
        <w:tc>
          <w:tcPr>
            <w:tcW w:w="28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2030 Term Loan </w:t>
            </w:r>
            <w:r>
              <w:rPr>
                <w:rFonts w:ascii="Times New Roman;Times;serif" w:hAnsi="Times New Roman;Times;serif"/>
                <w:sz w:val="15"/>
              </w:rPr>
              <w:t xml:space="preserve">(5) </w:t>
            </w:r>
          </w:p>
        </w:tc>
        <w:tc>
          <w:tcPr>
            <w:tcW w:w="316" w:type="dxa"/>
            <w:tcBorders/>
            <w:shd w:fill="CCEEFF" w:val="clear"/>
            <w:vAlign w:val="center"/>
          </w:tcPr>
          <w:p>
            <w:pPr>
              <w:pStyle w:val="TableContents"/>
              <w:bidi w:val="0"/>
              <w:spacing w:before="0" w:after="0"/>
              <w:ind w:left="0" w:right="0" w:hanging="0"/>
              <w:jc w:val="left"/>
              <w:rPr/>
            </w:pPr>
            <w:r>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26" w:type="dxa"/>
            <w:tcBorders/>
            <w:shd w:fill="CCEEFF" w:val="clear"/>
            <w:vAlign w:val="center"/>
          </w:tcPr>
          <w:p>
            <w:pPr>
              <w:pStyle w:val="TableContents"/>
              <w:bidi w:val="0"/>
              <w:spacing w:before="0" w:after="0"/>
              <w:ind w:left="0" w:right="0" w:hanging="0"/>
              <w:jc w:val="left"/>
              <w:rPr/>
            </w:pPr>
            <w:r>
              <w:rPr/>
              <w:t>​</w:t>
            </w:r>
          </w:p>
        </w:tc>
        <w:tc>
          <w:tcPr>
            <w:tcW w:w="1425"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2030</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[1.20% - 2.15%]</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4.24%</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w:t>
            </w:r>
          </w:p>
        </w:tc>
        <w:tc>
          <w:tcPr>
            <w:tcW w:w="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4.060%</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4.06%</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Face Value Debt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606,800</w:t>
            </w:r>
          </w:p>
        </w:tc>
        <w:tc>
          <w:tcPr>
            <w:tcW w:w="32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4.36%</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(1)</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shd w:fill="FFFFFF" w:val="clear"/>
              </w:rPr>
              <w:t>The Company utilized interest rate swaps on $65.0</w:t>
            </w:r>
            <w:r>
              <w:rPr>
                <w:rFonts w:ascii="Times New Roman;Times;serif" w:hAnsi="Times New Roman;Times;serif"/>
                <w:sz w:val="20"/>
                <w:shd w:fill="FFFFFF" w:val="clear"/>
              </w:rPr>
              <w:t> </w:t>
            </w:r>
            <w:r>
              <w:rPr>
                <w:rFonts w:ascii="Times New Roman;Times;serif" w:hAnsi="Times New Roman;Times;serif"/>
                <w:sz w:val="16"/>
                <w:shd w:fill="FFFFFF" w:val="clear"/>
              </w:rPr>
              <w:t>million of the Credit Facility balance to fix SOFR and achieve a weighted average fixed swap rate of 3.12%</w:t>
            </w:r>
            <w:r>
              <w:rPr>
                <w:rFonts w:ascii="Times New Roman;Times;serif" w:hAnsi="Times New Roman;Times;serif"/>
                <w:sz w:val="20"/>
                <w:shd w:fill="FFFFFF" w:val="clear"/>
              </w:rPr>
              <w:t> </w:t>
            </w:r>
            <w:r>
              <w:rPr>
                <w:rFonts w:ascii="Times New Roman;Times;serif" w:hAnsi="Times New Roman;Times;serif"/>
                <w:sz w:val="16"/>
                <w:shd w:fill="FFFFFF" w:val="clear"/>
              </w:rPr>
              <w:t>plus the 10</w:t>
            </w:r>
            <w:r>
              <w:rPr>
                <w:rFonts w:ascii="Times New Roman;Times;serif" w:hAnsi="Times New Roman;Times;serif"/>
                <w:sz w:val="20"/>
                <w:shd w:fill="FFFFFF" w:val="clear"/>
              </w:rPr>
              <w:t> </w:t>
            </w:r>
            <w:r>
              <w:rPr>
                <w:rFonts w:ascii="Times New Roman;Times;serif" w:hAnsi="Times New Roman;Times;serif"/>
                <w:sz w:val="16"/>
                <w:shd w:fill="FFFFFF" w:val="clear"/>
              </w:rPr>
              <w:t xml:space="preserve">bps SOFR adjustment plus the applicable spread. </w:t>
            </w:r>
          </w:p>
        </w:tc>
      </w:tr>
    </w:tbl>
    <w:p>
      <w:pPr>
        <w:pStyle w:val="TextBody"/>
        <w:pBdr/>
        <w:bidi w:val="0"/>
        <w:spacing w:lineRule="auto" w:line="240" w:before="0" w:after="0"/>
        <w:ind w:left="0" w:right="0" w:hanging="360"/>
        <w:jc w:val="both"/>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 xml:space="preserve">      The Company utilized interest rate swaps on the $100.0 million 2027 Term Loan balance to fix SOFR and achieve a weighted average fixed swap rate of 1.35% plus the 10 bps SOFR adjustment plus the applicable spread.</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(3)</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$100.0</w:t>
            </w:r>
            <w:r>
              <w:rPr>
                <w:rFonts w:ascii="Times New Roman;Times;serif" w:hAnsi="Times New Roman;Times;serif"/>
                <w:sz w:val="20"/>
              </w:rPr>
              <w:t xml:space="preserve"> </w:t>
            </w:r>
            <w:r>
              <w:rPr>
                <w:rFonts w:ascii="Times New Roman;Times;serif" w:hAnsi="Times New Roman;Times;serif"/>
                <w:sz w:val="16"/>
              </w:rPr>
              <w:t>million 2028 Term Loan balance to fix SOFR and achieve a fixed swap rate of 3.78%</w:t>
            </w:r>
            <w:r>
              <w:rPr>
                <w:rFonts w:ascii="Times New Roman;Times;serif" w:hAnsi="Times New Roman;Times;serif"/>
                <w:sz w:val="20"/>
              </w:rPr>
              <w:t xml:space="preserve"> </w:t>
            </w:r>
            <w:r>
              <w:rPr>
                <w:rFonts w:ascii="Times New Roman;Times;serif" w:hAnsi="Times New Roman;Times;serif"/>
                <w:sz w:val="16"/>
              </w:rPr>
              <w:t>plus the 10</w:t>
            </w:r>
            <w:r>
              <w:rPr>
                <w:rFonts w:ascii="Times New Roman;Times;serif" w:hAnsi="Times New Roman;Times;serif"/>
                <w:sz w:val="20"/>
              </w:rPr>
              <w:t xml:space="preserve"> </w:t>
            </w:r>
            <w:r>
              <w:rPr>
                <w:rFonts w:ascii="Times New Roman;Times;serif" w:hAnsi="Times New Roman;Times;serif"/>
                <w:sz w:val="16"/>
              </w:rPr>
              <w:t>bps SOFR adjustment plus the applicable spread.</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(4)</w:t>
            </w:r>
          </w:p>
        </w:tc>
        <w:tc>
          <w:tcPr>
            <w:tcW w:w="99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$125.0</w:t>
            </w:r>
            <w:r>
              <w:rPr>
                <w:rFonts w:ascii="Times New Roman;Times;serif" w:hAnsi="Times New Roman;Times;serif"/>
                <w:sz w:val="20"/>
              </w:rPr>
              <w:t xml:space="preserve"> </w:t>
            </w:r>
            <w:r>
              <w:rPr>
                <w:rFonts w:ascii="Times New Roman;Times;serif" w:hAnsi="Times New Roman;Times;serif"/>
                <w:sz w:val="16"/>
              </w:rPr>
              <w:t>million 2029 Term Loan balance to fix SOFR and achieve a weighted average fixed swap rate of 2.91%</w:t>
            </w:r>
            <w:r>
              <w:rPr>
                <w:rFonts w:ascii="Times New Roman;Times;serif" w:hAnsi="Times New Roman;Times;serif"/>
                <w:sz w:val="20"/>
              </w:rPr>
              <w:t xml:space="preserve"> </w:t>
            </w:r>
            <w:r>
              <w:rPr>
                <w:rFonts w:ascii="Times New Roman;Times;serif" w:hAnsi="Times New Roman;Times;serif"/>
                <w:sz w:val="16"/>
              </w:rPr>
              <w:t>plus the applicable spread.</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lineRule="auto" w:line="240" w:before="0" w:after="0"/>
              <w:jc w:val="both"/>
              <w:rPr>
                <w:rFonts w:ascii="Times New Roman;Times;serif" w:hAnsi="Times New Roman;Times;serif"/>
                <w:sz w:val="12"/>
              </w:rPr>
            </w:pPr>
            <w:r>
              <w:rPr>
                <w:rFonts w:ascii="Times New Roman;Times;serif" w:hAnsi="Times New Roman;Times;serif"/>
                <w:sz w:val="12"/>
              </w:rPr>
              <w:t>(5)</w:t>
            </w:r>
          </w:p>
        </w:tc>
        <w:tc>
          <w:tcPr>
            <w:tcW w:w="99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16"/>
              </w:rPr>
              <w:t>The Company utilized interest rate swaps on the $125.0</w:t>
            </w:r>
            <w:r>
              <w:rPr>
                <w:rFonts w:ascii="Times New Roman;Times;serif" w:hAnsi="Times New Roman;Times;serif"/>
                <w:sz w:val="20"/>
              </w:rPr>
              <w:t xml:space="preserve"> </w:t>
            </w:r>
            <w:r>
              <w:rPr>
                <w:rFonts w:ascii="Times New Roman;Times;serif" w:hAnsi="Times New Roman;Times;serif"/>
                <w:sz w:val="16"/>
              </w:rPr>
              <w:t>million 2030 Term Loan balance to fix SOFR and achieve a weighted average fixed swap rate of 2.94%</w:t>
            </w:r>
            <w:r>
              <w:rPr>
                <w:rFonts w:ascii="Times New Roman;Times;serif" w:hAnsi="Times New Roman;Times;serif"/>
                <w:sz w:val="20"/>
              </w:rPr>
              <w:t xml:space="preserve"> </w:t>
            </w:r>
            <w:r>
              <w:rPr>
                <w:rFonts w:ascii="Times New Roman;Times;serif" w:hAnsi="Times New Roman;Times;serif"/>
                <w:sz w:val="16"/>
              </w:rPr>
              <w:t>plus the applicable spread.</w:t>
            </w:r>
          </w:p>
        </w:tc>
      </w:tr>
    </w:tbl>
    <w:p>
      <w:pPr>
        <w:pStyle w:val="TextBody"/>
        <w:pBdr/>
        <w:bidi w:val="0"/>
        <w:spacing w:before="0" w:after="0"/>
        <w:ind w:left="0" w:right="0" w:hanging="360"/>
        <w:jc w:val="both"/>
        <w:rPr/>
      </w:pPr>
      <w:r>
        <w:rPr/>
        <w:t> </w:t>
      </w:r>
    </w:p>
    <w:p>
      <w:pPr>
        <w:pStyle w:val="TextBody"/>
        <w:bidi w:val="0"/>
        <w:spacing w:before="220" w:after="240"/>
        <w:ind w:left="0" w:right="0" w:firstLine="490"/>
        <w:jc w:val="both"/>
        <w:rPr>
          <w:rFonts w:ascii="Times New Roman;Times;serif" w:hAnsi="Times New Roman;Times;serif"/>
          <w:sz w:val="20"/>
        </w:rPr>
      </w:pPr>
      <w:r>
        <w:rPr>
          <w:rFonts w:ascii="Times New Roman;Times;serif" w:hAnsi="Times New Roman;Times;serif"/>
          <w:i/>
          <w:sz w:val="20"/>
        </w:rPr>
        <w:t xml:space="preserve">Credit Facility. </w:t>
      </w:r>
      <w:r>
        <w:rPr>
          <w:rFonts w:ascii="Times New Roman;Times;serif" w:hAnsi="Times New Roman;Times;serif"/>
          <w:sz w:val="20"/>
        </w:rPr>
        <w:t xml:space="preserve">The Credit Facility, with Bank of Montreal (“BMO”) as the administrative agent for the lenders 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As a result of the March 2021 Revolver Amendment and the Eighth Amendment, both as defined below, </w:t>
      </w:r>
      <w:r>
        <w:rPr>
          <w:rFonts w:ascii="Times New Roman;Times;serif" w:hAnsi="Times New Roman;Times;serif"/>
          <w:sz w:val="20"/>
          <w:shd w:fill="FFFFFF" w:val="clear"/>
        </w:rPr>
        <w:t>The Huntington National Bank, PNC Bank, National Association, and Regions Bank, were added as lenders to the Company’s Credit Facility.</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approval. The Credit Facility provides the lenders with a security interest in the equity of the Company subsidiaries that own the properties included in the borrowing base. The indebtedness outstanding under the Credit Facility accrues interest at a rate ranging from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PINE’s common stock and OP Units.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July 1, 2020, the Company entered into the fourth amendment to the 2017 Amended Credit Facility (the “July 2020 Revolver Amendment”) whereby the tangible net worth covenant was adjusted to be more reflective of market terms. The July 2020 Revolver Amendment was effective as of March 31, 2020.</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On November 12, 2020, the Company entered into the fifth amendment to the 2017 Amended Credit Facility (the “November 2020 Revolver Amendment”). The November 2020 Revolver Amendment provided that, among other things, (i) 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a term loan in the aggregate amount of $50.0 million (the “2026 Term Loan”), (iii) 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six months ended June 30, 2021, the Company exercised the 2026 Term Loan accordion option for $15.0 million, increasing total lender commitments to $65.0 million.</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November 5, 2021, the Company entered into the seventh amendment to the 2017 Amended Credit Facility (the “November 2021 Revolver Amendment”). The November 2021 Revolver Amendment included, among other things, (i) addition of a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 </w:t>
      </w:r>
    </w:p>
    <w:p>
      <w:pPr>
        <w:pStyle w:val="TextBody"/>
        <w:bidi w:val="0"/>
        <w:spacing w:before="0" w:after="0"/>
        <w:ind w:left="0" w:right="0" w:firstLine="490"/>
        <w:jc w:val="both"/>
        <w:rPr/>
      </w:pPr>
      <w: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of the maturity date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Agreement, and PNC and Regions Bank as Revolving Lenders, as defined in the Credit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490"/>
        <w:jc w:val="both"/>
        <w:rPr>
          <w:rFonts w:ascii="Times New Roman;Times;serif" w:hAnsi="Times New Roman;Times;serif"/>
          <w:sz w:val="20"/>
        </w:rPr>
      </w:pPr>
      <w:bookmarkStart w:id="1482" w:name="CONVERTIBLE_DEBT"/>
      <w:bookmarkEnd w:id="1482"/>
      <w:r>
        <w:rPr>
          <w:rFonts w:ascii="Times New Roman;Times;serif" w:hAnsi="Times New Roman;Times;serif"/>
          <w:sz w:val="20"/>
        </w:rPr>
        <w:t>On December 20, 2023, the Company entered into the ninth amendment to the 2017 Amended Credit Facility (the “Ninth Amendment”), which revises certain non-monetary limitations as described in more detail in the Ninth Amendment.</w:t>
      </w:r>
    </w:p>
    <w:p>
      <w:pPr>
        <w:pStyle w:val="TextBody"/>
        <w:shd w:fill="FFFFFF" w:val="clear"/>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 xml:space="preserve">At September 30, 2025, the current commitment level under the Credit Facility was $300.0 million, and the undrawn commitment under the Credit Facility totaled $161.0 million. As of September 30, 2025, the Credit Facility had a $139.0 million balance outstanding.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pStyle w:val="TextBody"/>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2029 Term Loan</w:t>
      </w:r>
      <w:r>
        <w:rPr>
          <w:rFonts w:ascii="Times New Roman;Times;serif" w:hAnsi="Times New Roman;Times;serif"/>
          <w:sz w:val="20"/>
        </w:rPr>
        <w:t>. On September 30, 2024, the Company and certain subsidiaries entered into a credit agreement, as amended by the first amendment to credit agreement and joinder, dated as of December 20, 2024 (as so amended, the “Initial KeyBank Credit Agreement”) with KeyBank National Association, as administrative agent, and certain other lenders, for a term loan (the “2029 Term Loan”) in an initial aggregate principal amount of $100.0 million with a maturity date of September 30, 2029. In connection with the Company’s execution of the Second Amendment (hereinafter defined) on September 25, 2025, the 2029 Term Loan was upsized by an additional $25.0 million, resulting in a total principal amount of $125.0 million outstanding under the 2029 Term Loan as of September 30, 2025. The 2029 Term Loan bears interest at SOFR plus a spread based on the Company’s leverage ratio. The Company applied existing SOFR swap agreements, previously used to fix the interest rate on $100.0 million of borrowings under its revolving credit facility, to the 2029 Term Loan, resulting in an initial effective fixed interest rate of 4.68%.</w:t>
      </w:r>
    </w:p>
    <w:p>
      <w:pPr>
        <w:pStyle w:val="TextBody"/>
        <w:shd w:fill="FFFFFF" w:val="clear"/>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2030 Term Loan</w:t>
      </w:r>
      <w:r>
        <w:rPr>
          <w:rFonts w:ascii="Times New Roman;Times;serif" w:hAnsi="Times New Roman;Times;serif"/>
          <w:sz w:val="20"/>
        </w:rPr>
        <w:t>. On September 25, 2025, the Company and certain subsidiaries of the Company entered into a Second Amendment to the Initial KeyBank Credit Agreement (the “Second Amendment”, and the Initial KeyBank Credit Agreement as amended by the Second Amendment, the “KeyBank Credit Agreement”). In addition to the upsize of the 2029 Term Loan described above, the Second Amendment added a new $125.0 million term loan maturing in September 2030 (the “2030 Term Loan”) to the KeyBank Credit Agreement. The 2030 Term Loan bears interest at SOFR plus a spread based on the Company’s leverage ratio.</w:t>
      </w:r>
    </w:p>
    <w:p>
      <w:pPr>
        <w:pStyle w:val="TextBody"/>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applied existing SOFR swap agreements, previously used to fix the interest rate on $125.0 million of borrowings under its revolving credit facility, to the 2030 Term Loan. As a result, the initial effective fixed interest rate on the 2030 Term Loan is approximately 4.2%. Proceeds from the 2030 Term Loan were used to repay the Company’s $65.0 million 2026 Term Loan scheduled to mature in March 2026 and to repay a portion of the outstanding balance on the Company’s revolving credit facility.</w:t>
      </w:r>
    </w:p>
    <w:p>
      <w:pPr>
        <w:pStyle w:val="TextBody"/>
        <w:shd w:fill="FFFFFF" w:val="clear"/>
        <w:bidi w:val="0"/>
        <w:spacing w:before="100" w:after="10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Mortgage Notes Payable</w:t>
      </w:r>
      <w:r>
        <w:rPr>
          <w:rFonts w:ascii="Times New Roman;Times;serif" w:hAnsi="Times New Roman;Times;serif"/>
          <w:sz w:val="20"/>
        </w:rPr>
        <w:t xml:space="preserve">. </w:t>
      </w:r>
      <w:r>
        <w:rPr>
          <w:rFonts w:ascii="Times New Roman;Times;serif" w:hAnsi="Times New Roman;Times;serif"/>
          <w:sz w:val="20"/>
          <w:shd w:fill="FFFFFF" w:val="clear"/>
        </w:rPr>
        <w:t>On March 3, 2022, in connection with the acquisition of Price Plaza Shopping Center, the Company assumed an existing $17.8 million secured fixed-rate mortgage note payable, which bears interest at a fixed rate of 4.06% and matures in August 2026.</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Convertible Debt</w:t>
      </w:r>
      <w:r>
        <w:rPr>
          <w:rFonts w:ascii="Times New Roman;Times;serif" w:hAnsi="Times New Roman;Times;serif"/>
          <w:sz w:val="20"/>
        </w:rPr>
        <w:t>. The Company initially issued $75.0 million aggregate principal amount of 3.875% Convertible Notes  (the “2025 Notes”). Following $24.0 million of repurchases during the years ended December 31, 2020 and 2021, $51.0 million aggregate principal amount of the 2025 Notes remained outstanding as of March 31, 2025.  </w:t>
      </w:r>
    </w:p>
    <w:p>
      <w:pPr>
        <w:pStyle w:val="TextBody"/>
        <w:bidi w:val="0"/>
        <w:spacing w:before="0" w:after="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2025 Notes represented senior unsecured obligations of the Company and paid interest semi-annually in arrears on each April 15th and October 15th, commencing on April 15, 2020, at a rate of 3.875% per annum. After the first quarter 2025 dividend, the conversion rate was equal to 73.8112 shares of common stock for each $1,000 principal amount of 2025 Notes, which represented an adjusted conversion price of $13.55 per share of common stock.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On January 15, 2025, the 2025 Notes became freely convertible at the option of each holder at any time until the close of business on the business day immediately preceding the stated maturity date. On April 3, 2025, the Company completed privately negotiated transactions with holders of $35.2 million in an aggregate principal amount of the 2025 Notes in which the holders exchanged their notes with the Company for an aggregate of 1,089,555 shares of the Company’s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bookmarkStart w:id="1483" w:name="Tc_5pzGxR4Bzk6mYiWr_L-ZPQ_4_1"/>
      <w:bookmarkStart w:id="1484" w:name="Tc_jHkQkmRl8UiF2njoI-ufdw_4_0"/>
      <w:bookmarkStart w:id="1485" w:name="Tc_64aC5qx5ZkC6pX8kkILniA_3_0"/>
      <w:bookmarkStart w:id="1486" w:name="Tc_dsFWT68RykaxfizApUYl7A_2_1"/>
      <w:bookmarkStart w:id="1487" w:name="Tc_HcXfvGL0pkSyMldFO4BoCg_2_0"/>
      <w:bookmarkStart w:id="1488" w:name="Tc_vBbZr1vSC0yZY0U14PPntQ_1_1"/>
      <w:bookmarkStart w:id="1489" w:name="_d3676e3e_749f_44c9_8273_135a3f7b2ffe"/>
      <w:bookmarkStart w:id="1490" w:name="Tc_phnElfYvx0GQx6rqhxTmMQ_9_1"/>
      <w:bookmarkStart w:id="1491" w:name="Tc_aOcFhy1X5kuUKj0F8wd-XA_9_0"/>
      <w:bookmarkStart w:id="1492" w:name="Tc_msmYKk1AhEyVWOKTlp3_Ig_8_2"/>
      <w:bookmarkStart w:id="1493" w:name="Tc_vwf7z1MCgEuOLWRK9n_9Yg_8_0"/>
      <w:bookmarkStart w:id="1494" w:name="Tc_DqyhHSZH3EikJa9w-MkAaQ_7_0"/>
      <w:bookmarkStart w:id="1495" w:name="Tc_j3rmYxImUU63aQzuErO7Kw_6_0"/>
      <w:bookmarkStart w:id="1496" w:name="Tc_deTPCV26jEu74QSIB88a-w_5_0"/>
      <w:bookmarkStart w:id="1497" w:name="Tc_n8kg8xVgW0OBGz5tJjr7aQ_4_0"/>
      <w:bookmarkStart w:id="1498" w:name="Tc_LDvleVtp4UKNeNse5SYAzw_3_0"/>
      <w:bookmarkStart w:id="1499" w:name="Tc_dwUlZV12OEuxf1sjRHN5WQ_2_2"/>
      <w:bookmarkStart w:id="1500" w:name="Tc__W35Zvwlp0WtYF-zSVxCnw_2_1"/>
      <w:bookmarkStart w:id="1501" w:name="Tc_MusfJhDhQUiP84MZgffrcQ_2_0"/>
      <w:bookmarkStart w:id="1502" w:name="Tc_wEQ6o0ioZUGegZbDihxO-g_1_1"/>
      <w:bookmarkStart w:id="1503" w:name="Tc__45DOv-8KU6f3tMLBAmS2Q_1_0"/>
      <w:bookmarkStart w:id="1504" w:name="_8d5e61bf_559d_488e_8b34_6b453f8938ad"/>
      <w:bookmarkStart w:id="1505" w:name="Tc_duFsI8S5JE22FI_wadW4Eg_12_10"/>
      <w:bookmarkStart w:id="1506" w:name="Tc_oOYh62mLQ0-ukLFqZlgaDA_12_7"/>
      <w:bookmarkStart w:id="1507" w:name="Tc_sSeLRUAs3USetuoxu2TA_A_12_4"/>
      <w:bookmarkStart w:id="1508" w:name="Tc_6a-KzILrJkqTseEmKu5urw_12_1"/>
      <w:bookmarkStart w:id="1509" w:name="Tc_gWMuvxOR1UKQbTlrbsvB8Q_12_0"/>
      <w:bookmarkStart w:id="1510" w:name="Tc_uI6X9NjML0eKXqXjUHMBGQ_11_11"/>
      <w:bookmarkStart w:id="1511" w:name="Tc_6-4NXogaP0-fW0hexN4x7Q_11_5"/>
      <w:bookmarkStart w:id="1512" w:name="Tc_i-ccVVT-eUiqvxdbtevhwQ_11_0"/>
      <w:bookmarkStart w:id="1513" w:name="Tc_RCDw2QoysUCuzkInvObhdg_10_11"/>
      <w:bookmarkStart w:id="1514" w:name="Tc_rR_cu89CIkCO3Vs3CdQEJg_10_0"/>
      <w:bookmarkStart w:id="1515" w:name="Tc_a_nMKD3F-ke5ZdmEwCJv0w_9_5"/>
      <w:bookmarkStart w:id="1516" w:name="Tc_spqCHlilMEOEZcQZ9fQc7w_9_2"/>
      <w:bookmarkStart w:id="1517" w:name="Tc_4zug3mNJs0C94w8YjKNyvw_9_0"/>
      <w:bookmarkStart w:id="1518" w:name="Tc_3nDtUqjhKEahtjQQXTCnew_8_11"/>
      <w:bookmarkStart w:id="1519" w:name="Tc_iW5rX1Z8J0u-DWth3zsarg_8_8"/>
      <w:bookmarkStart w:id="1520" w:name="Tc_7jSF0hS6J0SKNPb5uvItTw_8_5"/>
      <w:bookmarkStart w:id="1521" w:name="Tc_dv2jzpRt-U-Jg4oyJL6CYQ_8_0"/>
      <w:bookmarkStart w:id="1522" w:name="Tc_GWZc1-1bEkG3syHbo92sfA_7_11"/>
      <w:bookmarkStart w:id="1523" w:name="Tc_hIBzHIwyXU2juGJVyJrSYg_7_5"/>
      <w:bookmarkStart w:id="1524" w:name="Tc_Rtt1MRuPzk6rIoG6thI6Dw_7_0"/>
      <w:bookmarkStart w:id="1525" w:name="Tc_kWseD5t4PEOD4nU_Ux4GKQ_6_11"/>
      <w:bookmarkStart w:id="1526" w:name="Tc_TVMvbj2NQEW5jwbkyAMDNg_6_5"/>
      <w:bookmarkStart w:id="1527" w:name="Tc_2i2GqgepoUuZVkUoOYzkZg_6_0"/>
      <w:bookmarkStart w:id="1528" w:name="Tc_4wl22Z5sMk2x5GPGWGAcnQ_5_11"/>
      <w:bookmarkStart w:id="1529" w:name="Tc_aW96FVXdx0eUV1NTgt46Dw_5_5"/>
      <w:bookmarkStart w:id="1530" w:name="Tc_82S6b9XuG0GozOSz0GU5Jw_5_0"/>
      <w:bookmarkStart w:id="1531" w:name="Tc_emuK2xcYZUuzK0rdVwgA3Q_4_11"/>
      <w:bookmarkStart w:id="1532" w:name="Tc_XO2_pnwXsk2NijRoctgSmg_4_5"/>
      <w:bookmarkStart w:id="1533" w:name="Tc_CBD1O9vVBUiQhZihFHKJug_4_2"/>
      <w:bookmarkStart w:id="1534" w:name="Tc_3mt6k5Qex0e5i2EmdiBXMw_4_0"/>
      <w:bookmarkStart w:id="1535" w:name="Tc_aS00WCsgAkGh1LJiNSPYOg_3_11"/>
      <w:bookmarkStart w:id="1536" w:name="Tc_odR7Y4FQF0updzCP5WQHqg_3_10"/>
      <w:bookmarkStart w:id="1537" w:name="Tc_BzywTkSAw0SzxWBJlN0LvA_3_7"/>
      <w:bookmarkStart w:id="1538" w:name="Tc_kvdWrcop90aXFfxS3ZUqPg_3_5"/>
      <w:bookmarkStart w:id="1539" w:name="Tc_kmmq36Se9064FxX9xXHLlw_3_4"/>
      <w:bookmarkStart w:id="1540" w:name="Tc_SvL2n7J3m0qH5q951NVY1Q_3_1"/>
      <w:bookmarkStart w:id="1541" w:name="Tc_TRFqS0yapUykkOE-a8jNRw_3_0"/>
      <w:bookmarkStart w:id="1542" w:name="Tc_U29MaTWXYk-0g3YIoqIAFw_2_10"/>
      <w:bookmarkStart w:id="1543" w:name="Tc_0I0Ekxm2Yk-W4auQO8gx8g_2_7"/>
      <w:bookmarkStart w:id="1544" w:name="Tc_SdTpKlzGWUO4b0K9B4tcYw_2_4"/>
      <w:bookmarkStart w:id="1545" w:name="Tc_puMx7uEreE-zR4dLepPMtw_2_1"/>
      <w:bookmarkStart w:id="1546" w:name="Tc_tiZVsU-QB0WFp5El80CXZQ_1_7"/>
      <w:bookmarkStart w:id="1547" w:name="Tc_DtKecusIlUWfzBMcC8mMng_1_1"/>
      <w:bookmarkStart w:id="1548" w:name="_688834bc_2e5d_4b02_bc33_e41db34a27c4"/>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r>
        <w:rPr>
          <w:rFonts w:ascii="Times New Roman;Times;serif" w:hAnsi="Times New Roman;Times;serif"/>
          <w:sz w:val="20"/>
        </w:rPr>
        <w:t xml:space="preserve">common stock, valued at $21.0 million, and aggregate cash payments of approximately $29.0 million, including approximately $0.6 million representing accrued interest. The 2025 Notes received by the Company were retired.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At maturity on April 15, 2025, the Company completed the payoff of the remaining 2025 Notes in an aggregate principal amount of $15.8 million for total cash payments of approximately $22.0 million, including approximately $0.3 million representing accrued interest. </w:t>
      </w:r>
    </w:p>
    <w:p>
      <w:pPr>
        <w:pStyle w:val="TextBody"/>
        <w:shd w:fill="FFFFFF" w:val="clear"/>
        <w:bidi w:val="0"/>
        <w:spacing w:before="100" w:after="100"/>
        <w:ind w:left="0" w:right="0" w:firstLine="490"/>
        <w:jc w:val="both"/>
        <w:rPr/>
      </w:pPr>
      <w:r>
        <w:rPr/>
        <w:t>​</w:t>
      </w:r>
    </w:p>
    <w:p>
      <w:pPr>
        <w:pStyle w:val="TextBody"/>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the aggregate, the settlement of the $51.0 million aggregate principal amount of the 2025 Notes resulted in a $20.4 million loss on extinguishment of debt which is comprised of a $20.1 million premium and $0.3 million of associated costs incurred related to the settlement.  </w:t>
      </w:r>
    </w:p>
    <w:p>
      <w:pPr>
        <w:pStyle w:val="TextBody"/>
        <w:shd w:fill="FFFFFF" w:val="clear"/>
        <w:bidi w:val="0"/>
        <w:spacing w:before="100" w:after="100"/>
        <w:ind w:left="0" w:right="0" w:firstLine="490"/>
        <w:jc w:val="both"/>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Long-term debt consisted of the following (in thousands):</w:t>
      </w:r>
    </w:p>
    <w:p>
      <w:pPr>
        <w:pStyle w:val="TextBody"/>
        <w:bidi w:val="0"/>
        <w:spacing w:lineRule="auto" w:line="268"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16"/>
        <w:gridCol w:w="211"/>
        <w:gridCol w:w="781"/>
        <w:gridCol w:w="326"/>
        <w:gridCol w:w="421"/>
        <w:gridCol w:w="1357"/>
        <w:gridCol w:w="146"/>
        <w:gridCol w:w="211"/>
        <w:gridCol w:w="781"/>
        <w:gridCol w:w="326"/>
        <w:gridCol w:w="388"/>
        <w:gridCol w:w="1441"/>
      </w:tblGrid>
      <w:tr>
        <w:trPr/>
        <w:tc>
          <w:tcPr>
            <w:tcW w:w="381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95935" cy="175260"/>
                      <wp:effectExtent l="0" t="0" r="0" b="0"/>
                      <wp:wrapNone/>
                      <wp:docPr id="271" name="Frame2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67335" cy="175260"/>
                      <wp:effectExtent l="0" t="0" r="0" b="0"/>
                      <wp:wrapNone/>
                      <wp:docPr id="273" name="Frame27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861695" cy="175260"/>
                      <wp:effectExtent l="0" t="0" r="0" b="0"/>
                      <wp:wrapNone/>
                      <wp:docPr id="274" name="Frame274"/>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92710" cy="175260"/>
                      <wp:effectExtent l="0" t="0" r="0" b="0"/>
                      <wp:wrapNone/>
                      <wp:docPr id="275" name="Frame27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95935" cy="175260"/>
                      <wp:effectExtent l="0" t="0" r="0" b="0"/>
                      <wp:wrapNone/>
                      <wp:docPr id="277" name="Frame2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46380" cy="175260"/>
                      <wp:effectExtent l="0" t="0" r="0" b="0"/>
                      <wp:wrapNone/>
                      <wp:docPr id="279" name="Frame279"/>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915035" cy="175260"/>
                      <wp:effectExtent l="0" t="0" r="0" b="0"/>
                      <wp:wrapNone/>
                      <wp:docPr id="280" name="Frame280"/>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6" w:type="dxa"/>
            <w:tcBorders/>
            <w:vAlign w:val="center"/>
          </w:tcPr>
          <w:p>
            <w:pPr>
              <w:pStyle w:val="TableContents"/>
              <w:bidi w:val="0"/>
              <w:spacing w:before="0" w:after="0"/>
              <w:ind w:left="0" w:right="0" w:hanging="0"/>
              <w:jc w:val="center"/>
              <w:rPr/>
            </w:pPr>
            <w:r>
              <w:rPr/>
              <w:t>​</w:t>
            </w:r>
          </w:p>
        </w:tc>
        <w:tc>
          <w:tcPr>
            <w:tcW w:w="30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46" w:type="dxa"/>
            <w:tcBorders/>
            <w:vAlign w:val="center"/>
          </w:tcPr>
          <w:p>
            <w:pPr>
              <w:pStyle w:val="TableContents"/>
              <w:bidi w:val="0"/>
              <w:spacing w:before="0" w:after="0"/>
              <w:ind w:left="0" w:right="0" w:hanging="0"/>
              <w:jc w:val="left"/>
              <w:rPr/>
            </w:pPr>
            <w:r>
              <w:rPr/>
              <w:t>​</w:t>
            </w:r>
          </w:p>
        </w:tc>
        <w:tc>
          <w:tcPr>
            <w:tcW w:w="31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81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7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139,000</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87,000</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1" w:type="dxa"/>
            <w:tcBorders/>
            <w:shd w:fill="CCEEFF" w:val="clear"/>
            <w:vAlign w:val="center"/>
          </w:tcPr>
          <w:p>
            <w:pPr>
              <w:pStyle w:val="TableContents"/>
              <w:bidi w:val="0"/>
              <w:spacing w:before="0" w:after="0"/>
              <w:ind w:left="0" w:right="0" w:hanging="0"/>
              <w:jc w:val="right"/>
              <w:rPr/>
            </w:pPr>
            <w:r>
              <w:rPr/>
              <w:t>—</w:t>
            </w:r>
          </w:p>
        </w:tc>
      </w:tr>
      <w:tr>
        <w:trPr/>
        <w:tc>
          <w:tcPr>
            <w:tcW w:w="3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r>
      <w:tr>
        <w:trPr/>
        <w:tc>
          <w:tcPr>
            <w:tcW w:w="3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r>
      <w:tr>
        <w:trPr/>
        <w:tc>
          <w:tcPr>
            <w:tcW w:w="3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 Term Loan</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r>
      <w:tr>
        <w:trPr/>
        <w:tc>
          <w:tcPr>
            <w:tcW w:w="3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Term Loan</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r>
      <w:tr>
        <w:trPr/>
        <w:tc>
          <w:tcPr>
            <w:tcW w:w="3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Term Loan</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r>
      <w:tr>
        <w:trPr/>
        <w:tc>
          <w:tcPr>
            <w:tcW w:w="3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3.875% Convertible Senior Notes, net of Discount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50,989</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50,989</w:t>
            </w:r>
          </w:p>
        </w:tc>
      </w:tr>
      <w:tr>
        <w:trPr/>
        <w:tc>
          <w:tcPr>
            <w:tcW w:w="3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Payable</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r>
      <w:tr>
        <w:trPr/>
        <w:tc>
          <w:tcPr>
            <w:tcW w:w="3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604,163</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518,993</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50,989</w:t>
            </w:r>
          </w:p>
        </w:tc>
      </w:tr>
    </w:tbl>
    <w:p>
      <w:pPr>
        <w:pStyle w:val="TextBody"/>
        <w:bidi w:val="0"/>
        <w:spacing w:lineRule="auto" w:line="268" w:before="0" w:after="0"/>
        <w:ind w:left="0" w:right="0" w:hanging="0"/>
        <w:jc w:val="both"/>
        <w:rPr/>
      </w:pPr>
      <w:r>
        <w:rPr/>
        <w:t> </w:t>
      </w:r>
    </w:p>
    <w:p>
      <w:pPr>
        <w:pStyle w:val="TextBody"/>
        <w:bidi w:val="0"/>
        <w:spacing w:lineRule="auto" w:line="268" w:before="0" w:after="0"/>
        <w:ind w:left="0" w:right="0" w:firstLine="490"/>
        <w:jc w:val="both"/>
        <w:rPr/>
      </w:pPr>
      <w:r>
        <w:rPr/>
        <w:t>​</w:t>
      </w:r>
    </w:p>
    <w:p>
      <w:pPr>
        <w:pStyle w:val="TextBody"/>
        <w:bidi w:val="0"/>
        <w:spacing w:lineRule="auto" w:line="268" w:before="0" w:after="0"/>
        <w:ind w:left="0" w:right="0" w:firstLine="720"/>
        <w:jc w:val="left"/>
        <w:rPr>
          <w:rFonts w:ascii="Times New Roman;Times;serif" w:hAnsi="Times New Roman;Times;serif"/>
          <w:sz w:val="20"/>
        </w:rPr>
      </w:pPr>
      <w:r>
        <w:rPr>
          <w:rFonts w:ascii="Times New Roman;Times;serif" w:hAnsi="Times New Roman;Times;serif"/>
          <w:sz w:val="20"/>
        </w:rPr>
        <w:t>Payments applicable to reduction of principal amounts as of September 30, 2025 will be required as follows (in thousands):</w:t>
      </w:r>
    </w:p>
    <w:p>
      <w:pPr>
        <w:pStyle w:val="TextBody"/>
        <w:bidi w:val="0"/>
        <w:spacing w:lineRule="auto" w:line="268" w:before="0" w:after="0"/>
        <w:ind w:left="0" w:right="0" w:firstLine="490"/>
        <w:jc w:val="both"/>
        <w:rPr/>
      </w:pPr>
      <w:r>
        <w:rPr/>
        <w:t>​</w:t>
      </w:r>
    </w:p>
    <w:tbl>
      <w:tblPr>
        <w:tblW w:w="4098" w:type="dxa"/>
        <w:jc w:val="left"/>
        <w:tblInd w:w="0" w:type="dxa"/>
        <w:tblLayout w:type="fixed"/>
        <w:tblCellMar>
          <w:top w:w="0" w:type="dxa"/>
          <w:left w:w="0" w:type="dxa"/>
          <w:bottom w:w="0" w:type="dxa"/>
          <w:right w:w="0" w:type="dxa"/>
        </w:tblCellMar>
      </w:tblPr>
      <w:tblGrid>
        <w:gridCol w:w="3001"/>
        <w:gridCol w:w="211"/>
        <w:gridCol w:w="88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905635" cy="175260"/>
                      <wp:effectExtent l="0" t="0" r="0" b="0"/>
                      <wp:wrapNone/>
                      <wp:docPr id="281" name="Frame281"/>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62610" cy="175260"/>
                      <wp:effectExtent l="0" t="0" r="0" b="0"/>
                      <wp:wrapNone/>
                      <wp:docPr id="283" name="Frame28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September 30, 2025</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2025</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606,800</w:t>
            </w:r>
          </w:p>
        </w:tc>
      </w:tr>
    </w:tbl>
    <w:p>
      <w:pPr>
        <w:pStyle w:val="TextBody"/>
        <w:bidi w:val="0"/>
        <w:spacing w:lineRule="auto" w:line="268" w:before="0" w:after="0"/>
        <w:ind w:left="0" w:right="0" w:hanging="0"/>
        <w:jc w:val="left"/>
        <w:rPr/>
      </w:pPr>
      <w:r>
        <w:rPr/>
        <w:t> </w:t>
      </w:r>
    </w:p>
    <w:p>
      <w:pPr>
        <w:pStyle w:val="TextBody"/>
        <w:bidi w:val="0"/>
        <w:spacing w:lineRule="auto" w:line="268" w:before="0" w:after="0"/>
        <w:ind w:left="0" w:right="0" w:hanging="0"/>
        <w:jc w:val="left"/>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The carrying value of long-term debt as of September 30, 2025 consisted of the following (in thousands):</w:t>
      </w:r>
    </w:p>
    <w:p>
      <w:pPr>
        <w:pStyle w:val="TextBody"/>
        <w:bidi w:val="0"/>
        <w:spacing w:lineRule="auto" w:line="268" w:before="0" w:after="0"/>
        <w:ind w:left="0" w:right="0" w:firstLine="490"/>
        <w:jc w:val="both"/>
        <w:rPr/>
      </w:pPr>
      <w:r>
        <w:rPr/>
        <w:t>​</w:t>
      </w:r>
    </w:p>
    <w:tbl>
      <w:tblPr>
        <w:tblW w:w="5343" w:type="dxa"/>
        <w:jc w:val="left"/>
        <w:tblInd w:w="0" w:type="dxa"/>
        <w:tblLayout w:type="fixed"/>
        <w:tblCellMar>
          <w:top w:w="0" w:type="dxa"/>
          <w:left w:w="0" w:type="dxa"/>
          <w:bottom w:w="0" w:type="dxa"/>
          <w:right w:w="0" w:type="dxa"/>
        </w:tblCellMar>
      </w:tblPr>
      <w:tblGrid>
        <w:gridCol w:w="4246"/>
        <w:gridCol w:w="211"/>
        <w:gridCol w:w="886"/>
      </w:tblGrid>
      <w:tr>
        <w:trPr/>
        <w:tc>
          <w:tcPr>
            <w:tcW w:w="42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62610" cy="175260"/>
                      <wp:effectExtent l="0" t="0" r="0" b="0"/>
                      <wp:wrapNone/>
                      <wp:docPr id="285" name="Frame28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606,800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(2,637)</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604,163</w:t>
            </w:r>
          </w:p>
        </w:tc>
      </w:tr>
    </w:tbl>
    <w:p>
      <w:pPr>
        <w:pStyle w:val="TextBody"/>
        <w:bidi w:val="0"/>
        <w:spacing w:before="0" w:after="0"/>
        <w:ind w:left="0" w:right="0" w:hanging="0"/>
        <w:jc w:val="left"/>
        <w:rPr/>
      </w:pPr>
      <w:r>
        <w:rPr/>
        <w:t>​</w:t>
      </w:r>
    </w:p>
    <w:p>
      <w:pPr>
        <w:pStyle w:val="TextBody"/>
        <w:bidi w:val="0"/>
        <w:spacing w:lineRule="auto" w:line="268" w:before="0" w:after="0"/>
        <w:ind w:left="0" w:right="0" w:hanging="0"/>
        <w:jc w:val="both"/>
        <w:rPr/>
      </w:pPr>
      <w:r>
        <w:rPr/>
        <w:t> </w:t>
      </w:r>
    </w:p>
    <w:p>
      <w:pPr>
        <w:pStyle w:val="TextBody"/>
        <w:bidi w:val="0"/>
        <w:spacing w:lineRule="auto" w:line="268" w:before="0" w:after="0"/>
        <w:ind w:left="0" w:right="0" w:hanging="0"/>
        <w:jc w:val="left"/>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addition to the $2.6 million of financing costs, net of accumulated amortization included in the table above, as of September 30, 2025, the Company also had financing costs, net of accumulated amortization related to the Credit Facility of $0.8 million which is included in other assets on the consolidated balance sheets. These costs are amortized on a straight-line basis over the term of the Credit Facility and are included in interest expense in the Company’s accompanying consolidated statements of operations. </w:t>
      </w:r>
    </w:p>
    <w:p>
      <w:pPr>
        <w:pStyle w:val="TextBody"/>
        <w:bidi w:val="0"/>
        <w:spacing w:lineRule="auto" w:line="268" w:before="0" w:after="0"/>
        <w:ind w:left="0" w:right="0" w:firstLine="490"/>
        <w:jc w:val="both"/>
        <w:rPr/>
      </w:pPr>
      <w:r>
        <w:rPr/>
        <w:t>​</w:t>
      </w:r>
    </w:p>
    <w:p>
      <w:pPr>
        <w:pStyle w:val="TextBody"/>
        <w:bidi w:val="0"/>
        <w:spacing w:lineRule="auto" w:line="268"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three and nine months ended September 30, 2025 and 2024 (in thousands):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49" w:name="Tc_IghwH-R4TEafkELseUpmXw_8_10"/>
      <w:bookmarkStart w:id="1550" w:name="Tc_itO5QYY2G0SMnRr5AJNsYg_8_7"/>
      <w:bookmarkStart w:id="1551" w:name="Tc_tR90879nLkiAc4kxUKKxsw_8_4"/>
      <w:bookmarkStart w:id="1552" w:name="Tc_4kzXWaOyN0qB4disCPnrIw_8_1"/>
      <w:bookmarkStart w:id="1553" w:name="Tc_1pOx0xzy_Um9FW39iMVhwg_8_0"/>
      <w:bookmarkStart w:id="1554" w:name="Tc_cBo2BiwgIEi8xskC9DKL_Q_6_10"/>
      <w:bookmarkStart w:id="1555" w:name="Tc_PbBBNJg7FEWmoPTvF2cRcw_6_7"/>
      <w:bookmarkStart w:id="1556" w:name="Tc_X2phKlWyWEOQPzhldmTMKQ_6_4"/>
      <w:bookmarkStart w:id="1557" w:name="Tc_kOFlLhXiyECBKFYOSH8HEw_6_1"/>
      <w:bookmarkStart w:id="1558" w:name="Tc_ahkHraxrHUa29S9-eu4otA_6_0"/>
      <w:bookmarkStart w:id="1559" w:name="Tc_MkoRFttg40eSKYL92Zjc4w_5_2"/>
      <w:bookmarkStart w:id="1560" w:name="Tc_VwtOrSjfzEOKdZashpYaBw_5_0"/>
      <w:bookmarkStart w:id="1561" w:name="Tc_ZswH3YJXN0i2fkxxIuwmNA_4_0"/>
      <w:bookmarkStart w:id="1562" w:name="Tc_Bq8Kb8xZZkCGrsp5BBbk-g_3_10"/>
      <w:bookmarkStart w:id="1563" w:name="Tc_ja_BbHdBfEKWzRWvUTexxg_3_7"/>
      <w:bookmarkStart w:id="1564" w:name="Tc_tiYEo_H1Z0mThJcca27npA_3_4"/>
      <w:bookmarkStart w:id="1565" w:name="Tc_ntAEau780k6TrWrgoZ7r_Q_3_1"/>
      <w:bookmarkStart w:id="1566" w:name="Tc_tZi8rv1NFEKbnqxYkfeo3Q_3_0"/>
      <w:bookmarkStart w:id="1567" w:name="Tc_a1AEttAUSkKPGcZOhmJS6A_2_10"/>
      <w:bookmarkStart w:id="1568" w:name="Tc_oIz_0K-NBU-dyhN45ip2dA_2_7"/>
      <w:bookmarkStart w:id="1569" w:name="Tc_oyA_0y7j3k-RdSTWegPW9g_2_4"/>
      <w:bookmarkStart w:id="1570" w:name="Tc_6qqYT4acZEieoeVRLk3X8g_2_1"/>
      <w:bookmarkStart w:id="1571" w:name="Tc_MMrPQYhtOUKZUIf1IHxf3A_1_7"/>
      <w:bookmarkStart w:id="1572" w:name="Tc_psFgMr_Ng0SHGKSYRcQaRg_1_1"/>
      <w:bookmarkStart w:id="1573" w:name="_2b934688_492b_489a_a84a_0fe197acf345"/>
      <w:bookmarkStart w:id="1574" w:name="Tc_IghwH-R4TEafkELseUpmXw_8_10"/>
      <w:bookmarkStart w:id="1575" w:name="Tc_itO5QYY2G0SMnRr5AJNsYg_8_7"/>
      <w:bookmarkStart w:id="1576" w:name="Tc_tR90879nLkiAc4kxUKKxsw_8_4"/>
      <w:bookmarkStart w:id="1577" w:name="Tc_4kzXWaOyN0qB4disCPnrIw_8_1"/>
      <w:bookmarkStart w:id="1578" w:name="Tc_1pOx0xzy_Um9FW39iMVhwg_8_0"/>
      <w:bookmarkStart w:id="1579" w:name="Tc_cBo2BiwgIEi8xskC9DKL_Q_6_10"/>
      <w:bookmarkStart w:id="1580" w:name="Tc_PbBBNJg7FEWmoPTvF2cRcw_6_7"/>
      <w:bookmarkStart w:id="1581" w:name="Tc_X2phKlWyWEOQPzhldmTMKQ_6_4"/>
      <w:bookmarkStart w:id="1582" w:name="Tc_kOFlLhXiyECBKFYOSH8HEw_6_1"/>
      <w:bookmarkStart w:id="1583" w:name="Tc_ahkHraxrHUa29S9-eu4otA_6_0"/>
      <w:bookmarkStart w:id="1584" w:name="Tc_MkoRFttg40eSKYL92Zjc4w_5_2"/>
      <w:bookmarkStart w:id="1585" w:name="Tc_VwtOrSjfzEOKdZashpYaBw_5_0"/>
      <w:bookmarkStart w:id="1586" w:name="Tc_ZswH3YJXN0i2fkxxIuwmNA_4_0"/>
      <w:bookmarkStart w:id="1587" w:name="Tc_Bq8Kb8xZZkCGrsp5BBbk-g_3_10"/>
      <w:bookmarkStart w:id="1588" w:name="Tc_ja_BbHdBfEKWzRWvUTexxg_3_7"/>
      <w:bookmarkStart w:id="1589" w:name="Tc_tiYEo_H1Z0mThJcca27npA_3_4"/>
      <w:bookmarkStart w:id="1590" w:name="Tc_ntAEau780k6TrWrgoZ7r_Q_3_1"/>
      <w:bookmarkStart w:id="1591" w:name="Tc_tZi8rv1NFEKbnqxYkfeo3Q_3_0"/>
      <w:bookmarkStart w:id="1592" w:name="Tc_a1AEttAUSkKPGcZOhmJS6A_2_10"/>
      <w:bookmarkStart w:id="1593" w:name="Tc_oIz_0K-NBU-dyhN45ip2dA_2_7"/>
      <w:bookmarkStart w:id="1594" w:name="Tc_oyA_0y7j3k-RdSTWegPW9g_2_4"/>
      <w:bookmarkStart w:id="1595" w:name="Tc_6qqYT4acZEieoeVRLk3X8g_2_1"/>
      <w:bookmarkStart w:id="1596" w:name="Tc_MMrPQYhtOUKZUIf1IHxf3A_1_7"/>
      <w:bookmarkStart w:id="1597" w:name="Tc_psFgMr_Ng0SHGKSYRcQaRg_1_1"/>
      <w:bookmarkStart w:id="1598" w:name="_2b934688_492b_489a_a84a_0fe197acf345"/>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p>
    <w:tbl>
      <w:tblPr>
        <w:tblW w:w="10205" w:type="dxa"/>
        <w:jc w:val="left"/>
        <w:tblInd w:w="0" w:type="dxa"/>
        <w:tblLayout w:type="fixed"/>
        <w:tblCellMar>
          <w:top w:w="0" w:type="dxa"/>
          <w:left w:w="0" w:type="dxa"/>
          <w:bottom w:w="0" w:type="dxa"/>
          <w:right w:w="0" w:type="dxa"/>
        </w:tblCellMar>
      </w:tblPr>
      <w:tblGrid>
        <w:gridCol w:w="3237"/>
        <w:gridCol w:w="443"/>
        <w:gridCol w:w="1202"/>
        <w:gridCol w:w="118"/>
        <w:gridCol w:w="443"/>
        <w:gridCol w:w="1202"/>
        <w:gridCol w:w="109"/>
        <w:gridCol w:w="390"/>
        <w:gridCol w:w="1255"/>
        <w:gridCol w:w="109"/>
        <w:gridCol w:w="358"/>
        <w:gridCol w:w="1339"/>
      </w:tblGrid>
      <w:tr>
        <w:trPr/>
        <w:tc>
          <w:tcPr>
            <w:tcW w:w="3237"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81305" cy="175260"/>
                      <wp:effectExtent l="0" t="0" r="0" b="0"/>
                      <wp:wrapNone/>
                      <wp:docPr id="286" name="Frame286"/>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63270" cy="175260"/>
                      <wp:effectExtent l="0" t="0" r="0" b="0"/>
                      <wp:wrapNone/>
                      <wp:docPr id="287" name="Frame287"/>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4930" cy="175260"/>
                      <wp:effectExtent l="0" t="0" r="0" b="0"/>
                      <wp:wrapNone/>
                      <wp:docPr id="288" name="Frame288"/>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81305" cy="175260"/>
                      <wp:effectExtent l="0" t="0" r="0" b="0"/>
                      <wp:wrapNone/>
                      <wp:docPr id="289" name="Frame289"/>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63270" cy="175260"/>
                      <wp:effectExtent l="0" t="0" r="0" b="0"/>
                      <wp:wrapNone/>
                      <wp:docPr id="290" name="Frame290"/>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47650" cy="175260"/>
                      <wp:effectExtent l="0" t="0" r="0" b="0"/>
                      <wp:wrapNone/>
                      <wp:docPr id="292" name="Frame292"/>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96925" cy="175260"/>
                      <wp:effectExtent l="0" t="0" r="0" b="0"/>
                      <wp:wrapNone/>
                      <wp:docPr id="293" name="Frame293"/>
                      <a:graphic xmlns:a="http://schemas.openxmlformats.org/drawingml/2006/main">
                        <a:graphicData uri="http://schemas.microsoft.com/office/word/2010/wordprocessingShape">
                          <wps:wsp>
                            <wps:cNvSpPr txBox="1"/>
                            <wps:spPr>
                              <a:xfrm>
                                <a:off x="0" y="0"/>
                                <a:ext cx="796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27330" cy="175260"/>
                      <wp:effectExtent l="0" t="0" r="0" b="0"/>
                      <wp:wrapNone/>
                      <wp:docPr id="295" name="Frame295"/>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850265" cy="175260"/>
                      <wp:effectExtent l="0" t="0" r="0" b="0"/>
                      <wp:wrapNone/>
                      <wp:docPr id="296" name="Frame296"/>
                      <a:graphic xmlns:a="http://schemas.openxmlformats.org/drawingml/2006/main">
                        <a:graphicData uri="http://schemas.microsoft.com/office/word/2010/wordprocessingShape">
                          <wps:wsp>
                            <wps:cNvSpPr txBox="1"/>
                            <wps:spPr>
                              <a:xfrm>
                                <a:off x="0" y="0"/>
                                <a:ext cx="850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37" w:type="dxa"/>
            <w:tcBorders/>
            <w:vAlign w:val="center"/>
          </w:tcPr>
          <w:p>
            <w:pPr>
              <w:pStyle w:val="TableContents"/>
              <w:bidi w:val="0"/>
              <w:spacing w:before="0" w:after="0"/>
              <w:ind w:left="0" w:right="0" w:hanging="0"/>
              <w:jc w:val="left"/>
              <w:rPr/>
            </w:pPr>
            <w:r>
              <w:rPr/>
              <w:t>​</w:t>
            </w:r>
          </w:p>
        </w:tc>
        <w:tc>
          <w:tcPr>
            <w:tcW w:w="34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4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237" w:type="dxa"/>
            <w:tcBorders/>
            <w:vAlign w:val="center"/>
          </w:tcPr>
          <w:p>
            <w:pPr>
              <w:pStyle w:val="TableContents"/>
              <w:bidi w:val="0"/>
              <w:spacing w:before="0" w:after="0"/>
              <w:ind w:left="0" w:right="0" w:hanging="0"/>
              <w:jc w:val="left"/>
              <w:rPr/>
            </w:pPr>
            <w:r>
              <w:rPr/>
              <w:t>​</w:t>
            </w:r>
          </w:p>
        </w:tc>
        <w:tc>
          <w:tcPr>
            <w:tcW w:w="16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18" w:type="dxa"/>
            <w:tcBorders/>
            <w:vAlign w:val="center"/>
          </w:tcPr>
          <w:p>
            <w:pPr>
              <w:pStyle w:val="TableContents"/>
              <w:bidi w:val="0"/>
              <w:spacing w:before="0" w:after="0"/>
              <w:ind w:left="0" w:right="0" w:hanging="0"/>
              <w:jc w:val="left"/>
              <w:rPr/>
            </w:pPr>
            <w:r>
              <w:rPr/>
              <w:t>​</w:t>
            </w:r>
          </w:p>
        </w:tc>
        <w:tc>
          <w:tcPr>
            <w:tcW w:w="16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6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left"/>
              <w:rPr/>
            </w:pPr>
            <w:r>
              <w:rPr/>
              <w:t>​</w:t>
            </w:r>
          </w:p>
        </w:tc>
        <w:tc>
          <w:tcPr>
            <w:tcW w:w="16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r>
      <w:tr>
        <w:trPr/>
        <w:tc>
          <w:tcPr>
            <w:tcW w:w="3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6,533</w:t>
            </w:r>
          </w:p>
        </w:tc>
        <w:tc>
          <w:tcPr>
            <w:tcW w:w="118"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5,348</w:t>
            </w:r>
          </w:p>
        </w:tc>
        <w:tc>
          <w:tcPr>
            <w:tcW w:w="109"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18,843</w:t>
            </w:r>
          </w:p>
        </w:tc>
        <w:tc>
          <w:tcPr>
            <w:tcW w:w="109"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15,888</w:t>
            </w:r>
          </w:p>
        </w:tc>
      </w:tr>
      <w:tr>
        <w:trPr/>
        <w:tc>
          <w:tcPr>
            <w:tcW w:w="3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443"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18"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109"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109"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r>
      <w:tr>
        <w:trPr/>
        <w:tc>
          <w:tcPr>
            <w:tcW w:w="3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Discount on Convertible Notes</w:t>
            </w:r>
          </w:p>
        </w:tc>
        <w:tc>
          <w:tcPr>
            <w:tcW w:w="4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bidi w:val="0"/>
              <w:spacing w:before="0" w:after="0"/>
              <w:ind w:left="0" w:right="0" w:hanging="0"/>
              <w:jc w:val="left"/>
              <w:rPr/>
            </w:pPr>
            <w:r>
              <w:rPr/>
              <w:t>​</w:t>
            </w:r>
          </w:p>
        </w:tc>
        <w:tc>
          <w:tcPr>
            <w:tcW w:w="3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09"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3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4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6,833</w:t>
            </w:r>
          </w:p>
        </w:tc>
        <w:tc>
          <w:tcPr>
            <w:tcW w:w="118" w:type="dxa"/>
            <w:tcBorders/>
            <w:vAlign w:val="center"/>
          </w:tcPr>
          <w:p>
            <w:pPr>
              <w:pStyle w:val="TableContents"/>
              <w:bidi w:val="0"/>
              <w:spacing w:before="0" w:after="0"/>
              <w:ind w:left="0" w:right="0" w:hanging="0"/>
              <w:jc w:val="left"/>
              <w:rPr/>
            </w:pPr>
            <w:r>
              <w:rPr/>
              <w:t>​</w:t>
            </w:r>
          </w:p>
        </w:tc>
        <w:tc>
          <w:tcPr>
            <w:tcW w:w="4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5,632</w:t>
            </w:r>
          </w:p>
        </w:tc>
        <w:tc>
          <w:tcPr>
            <w:tcW w:w="109" w:type="dxa"/>
            <w:tcBorders/>
            <w:vAlign w:val="center"/>
          </w:tcPr>
          <w:p>
            <w:pPr>
              <w:pStyle w:val="TableContents"/>
              <w:bidi w:val="0"/>
              <w:spacing w:before="0" w:after="0"/>
              <w:ind w:left="0" w:right="0" w:hanging="0"/>
              <w:jc w:val="left"/>
              <w:rPr/>
            </w:pPr>
            <w:r>
              <w:rPr/>
              <w:t>​</w:t>
            </w:r>
          </w:p>
        </w:tc>
        <w:tc>
          <w:tcPr>
            <w:tcW w:w="3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19,828</w:t>
            </w:r>
          </w:p>
        </w:tc>
        <w:tc>
          <w:tcPr>
            <w:tcW w:w="109" w:type="dxa"/>
            <w:tcBorders/>
            <w:vAlign w:val="center"/>
          </w:tcPr>
          <w:p>
            <w:pPr>
              <w:pStyle w:val="TableContents"/>
              <w:bidi w:val="0"/>
              <w:spacing w:before="0" w:after="0"/>
              <w:ind w:left="0" w:right="0" w:hanging="0"/>
              <w:jc w:val="left"/>
              <w:rPr/>
            </w:pPr>
            <w:r>
              <w:rPr/>
              <w:t>​</w:t>
            </w:r>
          </w:p>
        </w:tc>
        <w:tc>
          <w:tcPr>
            <w:tcW w:w="3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16,765</w:t>
            </w:r>
          </w:p>
        </w:tc>
      </w:tr>
      <w:tr>
        <w:trPr/>
        <w:tc>
          <w:tcPr>
            <w:tcW w:w="3237"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lef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left"/>
              <w:rPr/>
            </w:pPr>
            <w:r>
              <w:rPr/>
              <w:t>​</w:t>
            </w:r>
          </w:p>
        </w:tc>
      </w:tr>
      <w:tr>
        <w:trPr/>
        <w:tc>
          <w:tcPr>
            <w:tcW w:w="323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Interest Paid </w:t>
            </w:r>
            <w:r>
              <w:rPr>
                <w:rFonts w:ascii="Times New Roman;Times;serif" w:hAnsi="Times New Roman;Times;serif"/>
                <w:sz w:val="15"/>
              </w:rPr>
              <w:t>(1)</w:t>
            </w:r>
          </w:p>
        </w:tc>
        <w:tc>
          <w:tcPr>
            <w:tcW w:w="4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4,160</w:t>
            </w:r>
          </w:p>
        </w:tc>
        <w:tc>
          <w:tcPr>
            <w:tcW w:w="118" w:type="dxa"/>
            <w:tcBorders/>
            <w:vAlign w:val="center"/>
          </w:tcPr>
          <w:p>
            <w:pPr>
              <w:pStyle w:val="TableContents"/>
              <w:bidi w:val="0"/>
              <w:spacing w:before="0" w:after="0"/>
              <w:ind w:left="0" w:right="0" w:hanging="0"/>
              <w:jc w:val="left"/>
              <w:rPr/>
            </w:pPr>
            <w:r>
              <w:rPr/>
              <w:t>​</w:t>
            </w:r>
          </w:p>
        </w:tc>
        <w:tc>
          <w:tcPr>
            <w:tcW w:w="4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4,986</w:t>
            </w:r>
          </w:p>
        </w:tc>
        <w:tc>
          <w:tcPr>
            <w:tcW w:w="109" w:type="dxa"/>
            <w:tcBorders/>
            <w:vAlign w:val="center"/>
          </w:tcPr>
          <w:p>
            <w:pPr>
              <w:pStyle w:val="TableContents"/>
              <w:bidi w:val="0"/>
              <w:spacing w:before="0" w:after="0"/>
              <w:ind w:left="0" w:right="0" w:hanging="0"/>
              <w:jc w:val="left"/>
              <w:rPr/>
            </w:pPr>
            <w:r>
              <w:rPr/>
              <w:t>​</w:t>
            </w:r>
          </w:p>
        </w:tc>
        <w:tc>
          <w:tcPr>
            <w:tcW w:w="3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16,950</w:t>
            </w:r>
          </w:p>
        </w:tc>
        <w:tc>
          <w:tcPr>
            <w:tcW w:w="109" w:type="dxa"/>
            <w:tcBorders/>
            <w:vAlign w:val="center"/>
          </w:tcPr>
          <w:p>
            <w:pPr>
              <w:pStyle w:val="TableContents"/>
              <w:bidi w:val="0"/>
              <w:spacing w:before="0" w:after="0"/>
              <w:ind w:left="0" w:right="0" w:hanging="0"/>
              <w:jc w:val="left"/>
              <w:rPr/>
            </w:pPr>
            <w:r>
              <w:rPr/>
              <w:t>​</w:t>
            </w:r>
          </w:p>
        </w:tc>
        <w:tc>
          <w:tcPr>
            <w:tcW w:w="3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15,640</w:t>
            </w:r>
          </w:p>
        </w:tc>
      </w:tr>
    </w:tbl>
    <w:p>
      <w:pPr>
        <w:pStyle w:val="TextBody"/>
        <w:bidi w:val="0"/>
        <w:spacing w:before="0" w:after="0"/>
        <w:ind w:left="0" w:right="0" w:hanging="0"/>
        <w:jc w:val="left"/>
        <w:rPr/>
      </w:pPr>
      <w:r>
        <w:rPr/>
        <w:t> </w:t>
      </w:r>
    </w:p>
    <w:tbl>
      <w:tblPr>
        <w:tblW w:w="6527" w:type="dxa"/>
        <w:jc w:val="left"/>
        <w:tblInd w:w="0" w:type="dxa"/>
        <w:tblLayout w:type="fixed"/>
        <w:tblCellMar>
          <w:top w:w="0" w:type="dxa"/>
          <w:left w:w="0" w:type="dxa"/>
          <w:bottom w:w="0" w:type="dxa"/>
          <w:right w:w="0" w:type="dxa"/>
        </w:tblCellMar>
      </w:tblPr>
      <w:tblGrid>
        <w:gridCol w:w="316"/>
        <w:gridCol w:w="6211"/>
      </w:tblGrid>
      <w:tr>
        <w:trPr/>
        <w:tc>
          <w:tcPr>
            <w:tcW w:w="31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 xml:space="preserve">(1) </w:t>
            </w:r>
          </w:p>
        </w:tc>
        <w:tc>
          <w:tcPr>
            <w:tcW w:w="6211" w:type="dxa"/>
            <w:tcBorders/>
            <w:vAlign w:val="center"/>
          </w:tcPr>
          <w:p>
            <w:pPr>
              <w:pStyle w:val="TableContents"/>
              <w:bidi w:val="0"/>
              <w:spacing w:lineRule="auto" w:line="240" w:before="0" w:after="0"/>
              <w:jc w:val="both"/>
              <w:rPr>
                <w:rFonts w:ascii="Times New Roman;Times;serif" w:hAnsi="Times New Roman;Times;serif"/>
                <w:sz w:val="20"/>
              </w:rPr>
            </w:pPr>
            <w:r>
              <w:rPr>
                <w:rFonts w:ascii="Times New Roman;Times;serif" w:hAnsi="Times New Roman;Times;serif"/>
                <w:sz w:val="14"/>
              </w:rPr>
              <w:t>Includes capitalized interest of $0.1</w:t>
            </w:r>
            <w:r>
              <w:rPr>
                <w:rFonts w:ascii="Times New Roman;Times;serif" w:hAnsi="Times New Roman;Times;serif"/>
                <w:sz w:val="20"/>
              </w:rPr>
              <w:t xml:space="preserve"> </w:t>
            </w:r>
            <w:r>
              <w:rPr>
                <w:rFonts w:ascii="Times New Roman;Times;serif" w:hAnsi="Times New Roman;Times;serif"/>
                <w:sz w:val="14"/>
              </w:rPr>
              <w:t>million during the nine months ended September 30, 2025 and 2024.</w:t>
            </w:r>
          </w:p>
        </w:tc>
      </w:tr>
    </w:tbl>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was in compliance with all of its debt covenants as of September 30, 2025 and December 31, 2024.</w:t>
      </w:r>
    </w:p>
    <w:p>
      <w:pPr>
        <w:pStyle w:val="TextBody"/>
        <w:bidi w:val="0"/>
        <w:spacing w:before="0" w:after="0"/>
        <w:ind w:left="0" w:right="0" w:firstLine="490"/>
        <w:jc w:val="both"/>
        <w:rPr/>
      </w:pPr>
      <w:r>
        <w:rPr/>
        <w:t>​</w:t>
      </w:r>
    </w:p>
    <w:p>
      <w:pPr>
        <w:pStyle w:val="TextBody"/>
        <w:bidi w:val="0"/>
        <w:spacing w:before="0" w:after="120"/>
        <w:ind w:left="0" w:right="0" w:hanging="0"/>
        <w:jc w:val="left"/>
        <w:rPr>
          <w:rFonts w:ascii="Times New Roman;Times;serif" w:hAnsi="Times New Roman;Times;serif"/>
          <w:b/>
          <w:sz w:val="20"/>
        </w:rPr>
      </w:pPr>
      <w:bookmarkStart w:id="1599" w:name="Tc_MrMMqtUdQ0iwAERIKCfY7w_21_11"/>
      <w:bookmarkStart w:id="1600" w:name="Tc_lZ9tkkFWTkCyw0sFUF50Dg_21_8"/>
      <w:bookmarkStart w:id="1601" w:name="Tc_WK3Iu9rEiEyz0c0D11IJlg_21_6"/>
      <w:bookmarkStart w:id="1602" w:name="Tc_sgbrfVxarECIzwpOUHdFmA_21_4"/>
      <w:bookmarkStart w:id="1603" w:name="Tc_5znaMM5G_U6fSc2v-Lh3NA_21_2"/>
      <w:bookmarkStart w:id="1604" w:name="Tc_dlYCslfQJEurpXO849TygA_21_0"/>
      <w:bookmarkStart w:id="1605" w:name="Tc_Q0i8h0vh5kSV-nwcxtOa5Q_20_11"/>
      <w:bookmarkStart w:id="1606" w:name="Tc_kZiEFEAaF0inWQ-UhoGoTg_20_8"/>
      <w:bookmarkStart w:id="1607" w:name="Tc_-IqhAKYNc0yXY47LqyuxjA_20_6"/>
      <w:bookmarkStart w:id="1608" w:name="Tc_lCDLybAZ4Eiz7lZtqXVZFg_20_4"/>
      <w:bookmarkStart w:id="1609" w:name="Tc_V-sJYw_EeUqXjYDVxOw99Q_20_2"/>
      <w:bookmarkStart w:id="1610" w:name="Tc_ypX84j5dfUWfIdejvbODtw_20_0"/>
      <w:bookmarkStart w:id="1611" w:name="Tc_Sr4r_EeB4USZNwSiE5DrsA_19_11"/>
      <w:bookmarkStart w:id="1612" w:name="Tc_xnEAIG7K5kaZAdeLiGV2mA_19_8"/>
      <w:bookmarkStart w:id="1613" w:name="Tc_NirnpszFs02Q7zfxZjUXCg_19_6"/>
      <w:bookmarkStart w:id="1614" w:name="Tc_OLOVmZ6Lz0eH0YDK1WpmTg_19_4"/>
      <w:bookmarkStart w:id="1615" w:name="Tc_yWfK3pVklku9nIHFBoAZhg_19_2"/>
      <w:bookmarkStart w:id="1616" w:name="Tc_RUrh3C-dpEWd3dCOndF7KA_19_0"/>
      <w:bookmarkStart w:id="1617" w:name="Tc_El8zpHvFfkOyWEfbvs-LSQ_18_11"/>
      <w:bookmarkStart w:id="1618" w:name="Tc_w9e5X-onbUeL-Y3q8-A3tQ_18_8"/>
      <w:bookmarkStart w:id="1619" w:name="Tc_FzU7sh3bWEWabeOzaZOvnA_18_6"/>
      <w:bookmarkStart w:id="1620" w:name="Tc_VdK6twgtwEyN7lYy0OpEJA_18_4"/>
      <w:bookmarkStart w:id="1621" w:name="Tc_2r472adPC0uxZ69i5zFZrQ_18_2"/>
      <w:bookmarkStart w:id="1622" w:name="Tc_HfrbRjsUY0a4cJ57vrz4mg_18_0"/>
      <w:bookmarkStart w:id="1623" w:name="Tc_4SGdjN6Bx061qg-bZctyoQ_17_11"/>
      <w:bookmarkStart w:id="1624" w:name="Tc_JBJJMaIl9EKdeo1swsukwQ_17_8"/>
      <w:bookmarkStart w:id="1625" w:name="Tc_3p7oC-rMikOL3f2Mc7Hl-w_17_6"/>
      <w:bookmarkStart w:id="1626" w:name="Tc_u-s7VOf1nk6xQySDkkcZWg_17_4"/>
      <w:bookmarkStart w:id="1627" w:name="Tc_DPfxSKDrpUu5UfcvwVH4RQ_17_2"/>
      <w:bookmarkStart w:id="1628" w:name="Tc_ZgMB0p09kEaCcgEfL9TqUg_17_0"/>
      <w:bookmarkStart w:id="1629" w:name="Tc_3De0mOkscEWHGmkJJr1b6A_16_11"/>
      <w:bookmarkStart w:id="1630" w:name="Tc_jJrbOFIPk0OSmmcBB3doCw_16_8"/>
      <w:bookmarkStart w:id="1631" w:name="Tc_q3tnv9otHkS2sGEge8YFQg_16_6"/>
      <w:bookmarkStart w:id="1632" w:name="Tc_9JfVWVhq90iqMAkOnoXzDg_16_4"/>
      <w:bookmarkStart w:id="1633" w:name="Tc_kzjMwz1rW06cHkK-FOzceA_16_2"/>
      <w:bookmarkStart w:id="1634" w:name="Tc_hZp_Nd6990-JkEagXWhaVg_16_0"/>
      <w:bookmarkStart w:id="1635" w:name="Tc_2CjjBPNt40mU0R6lVoSzQw_15_11"/>
      <w:bookmarkStart w:id="1636" w:name="Tc_Ul5IisfT3Eq-EnLGNmbSKw_15_8"/>
      <w:bookmarkStart w:id="1637" w:name="Tc_n2IuNhN8n0CyF94x1wZQug_15_6"/>
      <w:bookmarkStart w:id="1638" w:name="Tc_uvcWFaCeLE2xUTkdBYR2DA_15_4"/>
      <w:bookmarkStart w:id="1639" w:name="Tc_8eXtW99TQ02qgxImcL-pmQ_15_2"/>
      <w:bookmarkStart w:id="1640" w:name="Tc_byR_AzwFDEaSjzuAPCeBLQ_15_0"/>
      <w:bookmarkStart w:id="1641" w:name="Tc_J2OhjS9gXkuJG8FCBe_0pw_14_11"/>
      <w:bookmarkStart w:id="1642" w:name="Tc_cEnMWYlNskWxcjUSWnb9uA_14_8"/>
      <w:bookmarkStart w:id="1643" w:name="Tc__vM8GmQ__0SmpXnDRjAizQ_14_6"/>
      <w:bookmarkStart w:id="1644" w:name="Tc_DJ_w-R4OyUa1nOq5cWs-VA_14_4"/>
      <w:bookmarkStart w:id="1645" w:name="Tc_tO0Wes_AuEGWMaAvTrfYSw_14_2"/>
      <w:bookmarkStart w:id="1646" w:name="Tc_vv2wekCDGEyS52xyz78-3g_14_0"/>
      <w:bookmarkStart w:id="1647" w:name="Tc_vglSCDfkEEujCcglFjfJ_g_13_11"/>
      <w:bookmarkStart w:id="1648" w:name="Tc_BpIQQdGQIUKGnN5wHdiQwA_13_8"/>
      <w:bookmarkStart w:id="1649" w:name="Tc_5ewYtnZevE2v3H4Vp92GGA_13_6"/>
      <w:bookmarkStart w:id="1650" w:name="Tc_gvwVn8X50kKUyOK5bXXApw_13_4"/>
      <w:bookmarkStart w:id="1651" w:name="Tc_97FgFAmdE0-0ehkqM6RCZg_13_2"/>
      <w:bookmarkStart w:id="1652" w:name="Tc_DZct-crpIkyRWrgPxDCY2g_13_0"/>
      <w:bookmarkStart w:id="1653" w:name="Tc_jnLheK3P-k-QCYI2_QG08g_12_11"/>
      <w:bookmarkStart w:id="1654" w:name="Tc_iIaMpTi0HkGdEWTeQKoSMg_12_8"/>
      <w:bookmarkStart w:id="1655" w:name="Tc_npAPrWQe-0GrTTI1zm7k5g_12_6"/>
      <w:bookmarkStart w:id="1656" w:name="Tc_VmEzBhCANE2ZWIju-cPtCw_12_4"/>
      <w:bookmarkStart w:id="1657" w:name="Tc_U5-zJ1IcG06w4OE1lEz4XQ_12_2"/>
      <w:bookmarkStart w:id="1658" w:name="Tc_2HZhYOuJc0SawuQYIA4MuA_12_0"/>
      <w:bookmarkStart w:id="1659" w:name="Tc_c_J6xbxRvk-GyGFlgSiQSA_11_11"/>
      <w:bookmarkStart w:id="1660" w:name="Tc_o0nR1aUv7Ue1jF8UUZ_MLw_11_8"/>
      <w:bookmarkStart w:id="1661" w:name="Tc_AhHQE5T--0ejCa-a5UQc0Q_11_6"/>
      <w:bookmarkStart w:id="1662" w:name="Tc_fwCy0Vfjn0K6nFMxx5ppyA_11_4"/>
      <w:bookmarkStart w:id="1663" w:name="Tc_w_ivZsNIgEi2nd39xrP9YQ_11_2"/>
      <w:bookmarkStart w:id="1664" w:name="Tc_aFUlm37UbkqhiITlefPJ8Q_11_0"/>
      <w:bookmarkStart w:id="1665" w:name="Tc_Zf7oX306uEOMcC3Eh91GTQ_10_11"/>
      <w:bookmarkStart w:id="1666" w:name="Tc_hU--4LX-OkGP29m_y3dY4g_10_8"/>
      <w:bookmarkStart w:id="1667" w:name="Tc_mDd3p_m9cU-SDEWdBOpLAA_10_6"/>
      <w:bookmarkStart w:id="1668" w:name="Tc_hFO4KhE0y0OAs0B3GYaYvQ_10_4"/>
      <w:bookmarkStart w:id="1669" w:name="Tc_B1C8ZidIYUODcdq0ZwgY4w_10_2"/>
      <w:bookmarkStart w:id="1670" w:name="Tc_mdKhPEgCJkWs2fKPqDhujw_10_0"/>
      <w:bookmarkStart w:id="1671" w:name="Tc_S6H1ZsSlIUePYPmsiP5m5g_9_11"/>
      <w:bookmarkStart w:id="1672" w:name="Tc_AnvB0DaH8UKrJx16C5lYFw_9_8"/>
      <w:bookmarkStart w:id="1673" w:name="Tc_BjP6OJFUmE2EDOlt_DtSew_9_6"/>
      <w:bookmarkStart w:id="1674" w:name="Tc_2O0Uoj8UG0iy4Mg3O8bPqw_9_4"/>
      <w:bookmarkStart w:id="1675" w:name="Tc_lhudb1Kqx0u0NVodLbf7Ug_9_2"/>
      <w:bookmarkStart w:id="1676" w:name="Tc_BlfElZkOX0mLRFvyt9aIlA_9_0"/>
      <w:bookmarkStart w:id="1677" w:name="Tc_nZ_CoBL1-0mW4KAj4zqIIA_8_11"/>
      <w:bookmarkStart w:id="1678" w:name="Tc_oleSwx53Nk2-ecEx4WYOPg_8_8"/>
      <w:bookmarkStart w:id="1679" w:name="Tc_S9mj9-PdgUeI3-VDimboMw_8_6"/>
      <w:bookmarkStart w:id="1680" w:name="Tc_eh3azEtwCkyw4nK8OEwMIw_8_4"/>
      <w:bookmarkStart w:id="1681" w:name="Tc_LwuMHQ6W60iz6b48QQXuCg_8_2"/>
      <w:bookmarkStart w:id="1682" w:name="Tc_3q_nYHPISkCpGatAJ29P6A_8_0"/>
      <w:bookmarkStart w:id="1683" w:name="Tc_rGwVsg7ej0ubuQUbkxEklA_7_11"/>
      <w:bookmarkStart w:id="1684" w:name="Tc__feduLMJdEWo6njwLdIwSA_7_8"/>
      <w:bookmarkStart w:id="1685" w:name="Tc_yaZqFZXpWEGOaetCUeMF4A_7_6"/>
      <w:bookmarkStart w:id="1686" w:name="Tc_9BwEDv_V30KVESptReRNhw_7_4"/>
      <w:bookmarkStart w:id="1687" w:name="Tc_EnIa0ApTEEiADBOm6or0Xw_7_2"/>
      <w:bookmarkStart w:id="1688" w:name="Tc_4m7ONdP1hUSUPEJlg-Bg8A_7_0"/>
      <w:bookmarkStart w:id="1689" w:name="Tc_GpgtmzIjgUSNbwdcMs90Rw_6_11"/>
      <w:bookmarkStart w:id="1690" w:name="Tc_FqlN7gaGwUG47sK_bb8xeQ_6_8"/>
      <w:bookmarkStart w:id="1691" w:name="Tc_P0spGIxi-UCw0mlIQkUEvw_6_6"/>
      <w:bookmarkStart w:id="1692" w:name="Tc_G6gK3GPG2U-PflBRvjdvrw_6_4"/>
      <w:bookmarkStart w:id="1693" w:name="Tc_I5al_9Kk3U-3A5RKS4n0-g_6_2"/>
      <w:bookmarkStart w:id="1694" w:name="Tc_c622CCxTU069lDYd7NjErg_6_0"/>
      <w:bookmarkStart w:id="1695" w:name="Tc_GQymxlMIiEGzEMIfNiomGw_5_11"/>
      <w:bookmarkStart w:id="1696" w:name="Tc_LfVrtjHUlUWhSAqVCre6uQ_5_8"/>
      <w:bookmarkStart w:id="1697" w:name="Tc_Klq7AzIkDU-g2HC7M5wHbw_5_6"/>
      <w:bookmarkStart w:id="1698" w:name="Tc_cNfjbW0C7UO0zSHtpUWG8w_5_4"/>
      <w:bookmarkStart w:id="1699" w:name="Tc_8-Ha7GJXOUKM9tFwPXJPkQ_5_2"/>
      <w:bookmarkStart w:id="1700" w:name="Tc_F50vmgB_B0iZY3Dqa4pO-g_5_0"/>
      <w:bookmarkStart w:id="1701" w:name="Tc_i9rv2_bM1kOmDJ3xWICi2Q_4_11"/>
      <w:bookmarkStart w:id="1702" w:name="Tc_Eilp68EtH0--HT_lsugKJg_4_8"/>
      <w:bookmarkStart w:id="1703" w:name="Tc_G3v4tCTnDE6qS8OeVZu1Bw_4_6"/>
      <w:bookmarkStart w:id="1704" w:name="Tc_LWoMYq49K02Vujc6koUr_A_4_4"/>
      <w:bookmarkStart w:id="1705" w:name="Tc_ul9JkbDlo02EREyAnRxcDw_4_2"/>
      <w:bookmarkStart w:id="1706" w:name="Tc_I_m5FYFGcEmV5w8khecAqQ_4_0"/>
      <w:bookmarkStart w:id="1707" w:name="Tc_F-NafX-DYU-WdYVMl0_ZmA_3_11"/>
      <w:bookmarkStart w:id="1708" w:name="Tc__pFfuy-dXE2nd-t1XhWydw_3_8"/>
      <w:bookmarkStart w:id="1709" w:name="Tc_SZklmeM0JkuiDStHcQ835Q_3_6"/>
      <w:bookmarkStart w:id="1710" w:name="Tc_zSeZaI5Y90GifxFEpLX31Q_3_4"/>
      <w:bookmarkStart w:id="1711" w:name="Tc_i-20KU5fz0mY09zFCCGpog_3_2"/>
      <w:bookmarkStart w:id="1712" w:name="Tc_M2JTGljGRUS9H2v7v-sa0w_3_0"/>
      <w:bookmarkStart w:id="1713" w:name="Tc_R1oN26eauES6wpPw475Jpw_2_11"/>
      <w:bookmarkStart w:id="1714" w:name="Tc_tvo87KeoN0KL7fehRidkeA_2_8"/>
      <w:bookmarkStart w:id="1715" w:name="Tc_QF-WKm1yyUK3IYGRTaSRnQ_2_6"/>
      <w:bookmarkStart w:id="1716" w:name="Tc_tMfYD5QnBU-wi0__ci5v0A_2_4"/>
      <w:bookmarkStart w:id="1717" w:name="Tc_-aayeqXPz0KO7rkINwxuCQ_2_2"/>
      <w:bookmarkStart w:id="1718" w:name="Tc_54J1bykZ3E-r0LQYi53wrQ_2_0"/>
      <w:bookmarkStart w:id="1719" w:name="Tc_DXhZE3MXrEiXRrz2l2W91w_1_11"/>
      <w:bookmarkStart w:id="1720" w:name="Tc_k5heXOHuykyx7qxDS0fcXg_1_8"/>
      <w:bookmarkStart w:id="1721" w:name="Tc_qkzCyUGoakmucXpILspiJg_1_6"/>
      <w:bookmarkStart w:id="1722" w:name="Tc__oh2_X2Lz0St5PG_wO3p6w_1_4"/>
      <w:bookmarkStart w:id="1723" w:name="Tc_6aA09ySz-0eXDKauf0EP8w_1_2"/>
      <w:bookmarkStart w:id="1724" w:name="Tc_0qsxUIY3jUu7Afebj299pg_1_0"/>
      <w:bookmarkStart w:id="1725" w:name="_605493b2_0b12_4c3f_b08b_34679f131bad"/>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r>
        <w:rPr>
          <w:rFonts w:ascii="Times New Roman;Times;serif" w:hAnsi="Times New Roman;Times;serif"/>
          <w:b/>
          <w:sz w:val="20"/>
        </w:rPr>
        <w:t>NOTE 16. INTEREST RATE SWAPS</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three and nine months ended September 30, 2025 and 2024. Accordingly, the changes in fair value on the interest rate swaps have been classified in accumulated other comprehensive income (loss). The fair value of the interest rate swap agreements are included in </w:t>
      </w:r>
      <w:r>
        <w:rPr>
          <w:rFonts w:ascii="Times New Roman;Times;serif" w:hAnsi="Times New Roman;Times;serif"/>
          <w:b w:val="false"/>
          <w:i w:val="false"/>
          <w:caps w:val="false"/>
          <w:smallCaps w:val="false"/>
          <w:sz w:val="20"/>
        </w:rPr>
        <w:t>other assets</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accrued and other liabilities</w:t>
      </w:r>
      <w:r>
        <w:rPr>
          <w:rFonts w:ascii="Times New Roman;Times;serif" w:hAnsi="Times New Roman;Times;serif"/>
          <w:sz w:val="20"/>
        </w:rPr>
        <w:t>, respectively, on the consolidated balance sheets. Information related to the Company’s interest rate swap agreements as of September 30, 2025 is presented below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65"/>
        <w:gridCol w:w="109"/>
        <w:gridCol w:w="1107"/>
        <w:gridCol w:w="109"/>
        <w:gridCol w:w="1137"/>
        <w:gridCol w:w="109"/>
        <w:gridCol w:w="2315"/>
        <w:gridCol w:w="109"/>
        <w:gridCol w:w="196"/>
        <w:gridCol w:w="691"/>
        <w:gridCol w:w="109"/>
        <w:gridCol w:w="637"/>
        <w:gridCol w:w="2012"/>
      </w:tblGrid>
      <w:tr>
        <w:trPr/>
        <w:tc>
          <w:tcPr>
            <w:tcW w:w="1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993775" cy="175260"/>
                      <wp:effectExtent l="0" t="0" r="0" b="0"/>
                      <wp:wrapNone/>
                      <wp:docPr id="297" name="Frame297"/>
                      <a:graphic xmlns:a="http://schemas.openxmlformats.org/drawingml/2006/main">
                        <a:graphicData uri="http://schemas.microsoft.com/office/word/2010/wordprocessingShape">
                          <wps:wsp>
                            <wps:cNvSpPr txBox="1"/>
                            <wps:spPr>
                              <a:xfrm>
                                <a:off x="0" y="0"/>
                                <a:ext cx="993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702945" cy="175260"/>
                      <wp:effectExtent l="0" t="0" r="0" b="0"/>
                      <wp:wrapNone/>
                      <wp:docPr id="299" name="Frame299"/>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21995" cy="175260"/>
                      <wp:effectExtent l="0" t="0" r="0" b="0"/>
                      <wp:wrapNone/>
                      <wp:docPr id="301" name="Frame301"/>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470025" cy="175260"/>
                      <wp:effectExtent l="0" t="0" r="0" b="0"/>
                      <wp:wrapNone/>
                      <wp:docPr id="303" name="Frame303"/>
                      <a:graphic xmlns:a="http://schemas.openxmlformats.org/drawingml/2006/main">
                        <a:graphicData uri="http://schemas.microsoft.com/office/word/2010/wordprocessingShape">
                          <wps:wsp>
                            <wps:cNvSpPr txBox="1"/>
                            <wps:spPr>
                              <a:xfrm>
                                <a:off x="0" y="0"/>
                                <a:ext cx="147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4460" cy="175260"/>
                      <wp:effectExtent l="0" t="0" r="0" b="0"/>
                      <wp:wrapNone/>
                      <wp:docPr id="305" name="Frame3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38785" cy="175260"/>
                      <wp:effectExtent l="0" t="0" r="0" b="0"/>
                      <wp:wrapNone/>
                      <wp:docPr id="306" name="Frame3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04495" cy="175260"/>
                      <wp:effectExtent l="0" t="0" r="0" b="0"/>
                      <wp:wrapNone/>
                      <wp:docPr id="308" name="Frame308"/>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277620" cy="175260"/>
                      <wp:effectExtent l="0" t="0" r="0" b="0"/>
                      <wp:wrapNone/>
                      <wp:docPr id="309" name="Frame309"/>
                      <a:graphic xmlns:a="http://schemas.openxmlformats.org/drawingml/2006/main">
                        <a:graphicData uri="http://schemas.microsoft.com/office/word/2010/wordprocessingShape">
                          <wps:wsp>
                            <wps:cNvSpPr txBox="1"/>
                            <wps:spPr>
                              <a:xfrm>
                                <a:off x="0" y="0"/>
                                <a:ext cx="1277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5" w:type="dxa"/>
            <w:tcBorders>
              <w:bottom w:val="single" w:sz="2" w:space="0" w:color="000000"/>
            </w:tcBorders>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b/>
                <w:sz w:val="18"/>
              </w:rPr>
              <w:t xml:space="preserve">Hedged Item </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1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1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23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September 30, 2025</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left"/>
              <w:rPr/>
            </w:pPr>
            <w:r>
              <w:rPr/>
              <w:t>​</w:t>
            </w:r>
          </w:p>
        </w:tc>
        <w:tc>
          <w:tcPr>
            <w:tcW w:w="23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1.35%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bidi w:val="0"/>
              <w:spacing w:before="0" w:after="0"/>
              <w:ind w:left="0" w:right="0" w:hanging="0"/>
              <w:jc w:val="right"/>
              <w:rPr/>
            </w:pPr>
            <w:r>
              <w:rPr/>
              <w:t>​</w:t>
            </w:r>
          </w:p>
        </w:tc>
        <w:tc>
          <w:tcPr>
            <w:tcW w:w="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2,787</w:t>
            </w:r>
          </w:p>
        </w:tc>
      </w:tr>
      <w:tr>
        <w:trPr/>
        <w:tc>
          <w:tcPr>
            <w:tcW w:w="156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1/31/2027</w:t>
            </w:r>
          </w:p>
        </w:tc>
        <w:tc>
          <w:tcPr>
            <w:tcW w:w="109"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1/30/2032</w:t>
            </w:r>
          </w:p>
        </w:tc>
        <w:tc>
          <w:tcPr>
            <w:tcW w:w="109" w:type="dxa"/>
            <w:tcBorders/>
            <w:vAlign w:val="center"/>
          </w:tcPr>
          <w:p>
            <w:pPr>
              <w:pStyle w:val="TableContents"/>
              <w:bidi w:val="0"/>
              <w:spacing w:before="0" w:after="0"/>
              <w:ind w:left="0" w:right="0" w:hanging="0"/>
              <w:jc w:val="left"/>
              <w:rPr/>
            </w:pPr>
            <w:r>
              <w:rPr/>
              <w:t>​</w:t>
            </w:r>
          </w:p>
        </w:tc>
        <w:tc>
          <w:tcPr>
            <w:tcW w:w="23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3.75%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vAlign w:val="center"/>
          </w:tcPr>
          <w:p>
            <w:pPr>
              <w:pStyle w:val="TableContents"/>
              <w:bidi w:val="0"/>
              <w:spacing w:before="0" w:after="0"/>
              <w:ind w:left="0" w:right="0" w:hanging="0"/>
              <w:jc w:val="right"/>
              <w:rPr/>
            </w:pPr>
            <w:r>
              <w:rPr/>
              <w:t>​</w:t>
            </w:r>
          </w:p>
        </w:tc>
        <w:tc>
          <w:tcPr>
            <w:tcW w:w="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left"/>
              <w:rPr/>
            </w:pPr>
            <w:r>
              <w:rPr/>
              <w:t>​</w:t>
            </w:r>
          </w:p>
        </w:tc>
        <w:tc>
          <w:tcPr>
            <w:tcW w:w="23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(523)</w:t>
            </w:r>
          </w:p>
        </w:tc>
      </w:tr>
      <w:tr>
        <w:trPr/>
        <w:tc>
          <w:tcPr>
            <w:tcW w:w="15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 Term Loan</w:t>
            </w:r>
          </w:p>
        </w:tc>
        <w:tc>
          <w:tcPr>
            <w:tcW w:w="1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9/30/2022</w:t>
            </w:r>
          </w:p>
        </w:tc>
        <w:tc>
          <w:tcPr>
            <w:tcW w:w="109"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vAlign w:val="center"/>
          </w:tcPr>
          <w:p>
            <w:pPr>
              <w:pStyle w:val="TableContents"/>
              <w:bidi w:val="0"/>
              <w:spacing w:before="0" w:after="0"/>
              <w:ind w:left="0" w:right="0" w:hanging="0"/>
              <w:jc w:val="left"/>
              <w:rPr/>
            </w:pPr>
            <w:r>
              <w:rPr/>
              <w:t>​</w:t>
            </w:r>
          </w:p>
        </w:tc>
        <w:tc>
          <w:tcPr>
            <w:tcW w:w="23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w:t>
            </w:r>
          </w:p>
        </w:tc>
      </w:tr>
      <w:tr>
        <w:trPr/>
        <w:tc>
          <w:tcPr>
            <w:tcW w:w="156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2028 Term Loan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1/31/2033</w:t>
            </w:r>
          </w:p>
        </w:tc>
        <w:tc>
          <w:tcPr>
            <w:tcW w:w="109" w:type="dxa"/>
            <w:tcBorders/>
            <w:shd w:fill="CCEEFF" w:val="clear"/>
            <w:vAlign w:val="center"/>
          </w:tcPr>
          <w:p>
            <w:pPr>
              <w:pStyle w:val="TableContents"/>
              <w:bidi w:val="0"/>
              <w:spacing w:before="0" w:after="0"/>
              <w:ind w:left="0" w:right="0" w:hanging="0"/>
              <w:jc w:val="left"/>
              <w:rPr/>
            </w:pPr>
            <w:r>
              <w:rPr/>
              <w:t>​</w:t>
            </w:r>
          </w:p>
        </w:tc>
        <w:tc>
          <w:tcPr>
            <w:tcW w:w="23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3.81%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60,000</w:t>
            </w:r>
          </w:p>
        </w:tc>
        <w:tc>
          <w:tcPr>
            <w:tcW w:w="109" w:type="dxa"/>
            <w:tcBorders/>
            <w:shd w:fill="CCEEFF" w:val="clear"/>
            <w:vAlign w:val="center"/>
          </w:tcPr>
          <w:p>
            <w:pPr>
              <w:pStyle w:val="TableContents"/>
              <w:bidi w:val="0"/>
              <w:spacing w:before="0" w:after="0"/>
              <w:ind w:left="0" w:right="0" w:hanging="0"/>
              <w:jc w:val="right"/>
              <w:rPr/>
            </w:pPr>
            <w:r>
              <w:rPr/>
              <w:t>​</w:t>
            </w:r>
          </w:p>
        </w:tc>
        <w:tc>
          <w:tcPr>
            <w:tcW w:w="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w:t>
            </w:r>
          </w:p>
        </w:tc>
      </w:tr>
      <w:tr>
        <w:trPr/>
        <w:tc>
          <w:tcPr>
            <w:tcW w:w="156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2029 Term Loan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left"/>
              <w:rPr/>
            </w:pPr>
            <w:r>
              <w:rPr/>
              <w:t>​</w:t>
            </w:r>
          </w:p>
        </w:tc>
        <w:tc>
          <w:tcPr>
            <w:tcW w:w="23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1.44%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vAlign w:val="center"/>
          </w:tcPr>
          <w:p>
            <w:pPr>
              <w:pStyle w:val="TableContents"/>
              <w:bidi w:val="0"/>
              <w:spacing w:before="0" w:after="0"/>
              <w:ind w:left="0" w:right="0" w:hanging="0"/>
              <w:jc w:val="right"/>
              <w:rPr/>
            </w:pPr>
            <w:r>
              <w:rPr/>
              <w:t>​</w:t>
            </w:r>
          </w:p>
        </w:tc>
        <w:tc>
          <w:tcPr>
            <w:tcW w:w="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bidi w:val="0"/>
              <w:spacing w:before="0" w:after="0"/>
              <w:ind w:left="0" w:right="0" w:hanging="0"/>
              <w:jc w:val="left"/>
              <w:rPr/>
            </w:pPr>
            <w:r>
              <w:rPr/>
              <w:t>​</w:t>
            </w:r>
          </w:p>
        </w:tc>
        <w:tc>
          <w:tcPr>
            <w:tcW w:w="23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3.27%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r>
      <w:tr>
        <w:trPr/>
        <w:tc>
          <w:tcPr>
            <w:tcW w:w="15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vAlign w:val="center"/>
          </w:tcPr>
          <w:p>
            <w:pPr>
              <w:pStyle w:val="TableContents"/>
              <w:bidi w:val="0"/>
              <w:spacing w:before="0" w:after="0"/>
              <w:ind w:left="0" w:right="0" w:hanging="0"/>
              <w:jc w:val="left"/>
              <w:rPr/>
            </w:pPr>
            <w:r>
              <w:rPr/>
              <w:t>​</w:t>
            </w:r>
          </w:p>
        </w:tc>
        <w:tc>
          <w:tcPr>
            <w:tcW w:w="23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3.26%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33,000</w:t>
            </w:r>
          </w:p>
        </w:tc>
        <w:tc>
          <w:tcPr>
            <w:tcW w:w="109" w:type="dxa"/>
            <w:tcBorders/>
            <w:vAlign w:val="center"/>
          </w:tcPr>
          <w:p>
            <w:pPr>
              <w:pStyle w:val="TableContents"/>
              <w:bidi w:val="0"/>
              <w:spacing w:before="0" w:after="0"/>
              <w:ind w:left="0" w:right="0" w:hanging="0"/>
              <w:jc w:val="right"/>
              <w:rPr/>
            </w:pPr>
            <w:r>
              <w:rPr/>
              <w:t>​</w:t>
            </w:r>
          </w:p>
        </w:tc>
        <w:tc>
          <w:tcPr>
            <w:tcW w:w="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1/31/2023</w:t>
            </w:r>
          </w:p>
        </w:tc>
        <w:tc>
          <w:tcPr>
            <w:tcW w:w="109"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1/31/2030</w:t>
            </w:r>
          </w:p>
        </w:tc>
        <w:tc>
          <w:tcPr>
            <w:tcW w:w="109" w:type="dxa"/>
            <w:tcBorders/>
            <w:shd w:fill="CCEEFF" w:val="clear"/>
            <w:vAlign w:val="center"/>
          </w:tcPr>
          <w:p>
            <w:pPr>
              <w:pStyle w:val="TableContents"/>
              <w:bidi w:val="0"/>
              <w:spacing w:before="0" w:after="0"/>
              <w:ind w:left="0" w:right="0" w:hanging="0"/>
              <w:jc w:val="left"/>
              <w:rPr/>
            </w:pPr>
            <w:r>
              <w:rPr/>
              <w:t>​</w:t>
            </w:r>
          </w:p>
        </w:tc>
        <w:tc>
          <w:tcPr>
            <w:tcW w:w="23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3.36%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17,000</w:t>
            </w:r>
          </w:p>
        </w:tc>
        <w:tc>
          <w:tcPr>
            <w:tcW w:w="109" w:type="dxa"/>
            <w:tcBorders/>
            <w:shd w:fill="CCEEFF" w:val="clear"/>
            <w:vAlign w:val="center"/>
          </w:tcPr>
          <w:p>
            <w:pPr>
              <w:pStyle w:val="TableContents"/>
              <w:bidi w:val="0"/>
              <w:spacing w:before="0" w:after="0"/>
              <w:ind w:left="0" w:right="0" w:hanging="0"/>
              <w:jc w:val="right"/>
              <w:rPr/>
            </w:pPr>
            <w:r>
              <w:rPr/>
              <w:t>​</w:t>
            </w:r>
          </w:p>
        </w:tc>
        <w:tc>
          <w:tcPr>
            <w:tcW w:w="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156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2029 Term Loan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left"/>
              <w:rPr/>
            </w:pPr>
            <w:r>
              <w:rPr/>
              <w:t>​</w:t>
            </w:r>
          </w:p>
        </w:tc>
        <w:tc>
          <w:tcPr>
            <w:tcW w:w="23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1.48%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r>
      <w:tr>
        <w:trPr/>
        <w:tc>
          <w:tcPr>
            <w:tcW w:w="156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2029 Term Loan </w:t>
            </w:r>
            <w:r>
              <w:rPr>
                <w:rFonts w:ascii="Times New Roman;Times;serif" w:hAnsi="Times New Roman;Times;serif"/>
                <w:sz w:val="14"/>
              </w:rPr>
              <w:t>(2)</w:t>
            </w:r>
            <w:r>
              <w:rPr>
                <w:rFonts w:ascii="Times New Roman;Times;serif" w:hAnsi="Times New Roman;Times;serif"/>
                <w:sz w:val="18"/>
              </w:rPr>
              <w:t xml:space="preserve">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3/10/2031</w:t>
            </w:r>
          </w:p>
        </w:tc>
        <w:tc>
          <w:tcPr>
            <w:tcW w:w="109" w:type="dxa"/>
            <w:tcBorders/>
            <w:shd w:fill="CCEEFF" w:val="clear"/>
            <w:vAlign w:val="center"/>
          </w:tcPr>
          <w:p>
            <w:pPr>
              <w:pStyle w:val="TableContents"/>
              <w:bidi w:val="0"/>
              <w:spacing w:before="0" w:after="0"/>
              <w:ind w:left="0" w:right="0" w:hanging="0"/>
              <w:jc w:val="left"/>
              <w:rPr/>
            </w:pPr>
            <w:r>
              <w:rPr/>
              <w:t>​</w:t>
            </w:r>
          </w:p>
        </w:tc>
        <w:tc>
          <w:tcPr>
            <w:tcW w:w="23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3.83%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(464)</w:t>
            </w:r>
          </w:p>
        </w:tc>
      </w:tr>
      <w:tr>
        <w:trPr/>
        <w:tc>
          <w:tcPr>
            <w:tcW w:w="156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2029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1/30/2030</w:t>
            </w:r>
          </w:p>
        </w:tc>
        <w:tc>
          <w:tcPr>
            <w:tcW w:w="109" w:type="dxa"/>
            <w:tcBorders/>
            <w:vAlign w:val="center"/>
          </w:tcPr>
          <w:p>
            <w:pPr>
              <w:pStyle w:val="TableContents"/>
              <w:bidi w:val="0"/>
              <w:spacing w:before="0" w:after="0"/>
              <w:ind w:left="0" w:right="0" w:hanging="0"/>
              <w:jc w:val="left"/>
              <w:rPr/>
            </w:pPr>
            <w:r>
              <w:rPr/>
              <w:t>​</w:t>
            </w:r>
          </w:p>
        </w:tc>
        <w:tc>
          <w:tcPr>
            <w:tcW w:w="23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3.26%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156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left"/>
              <w:rPr/>
            </w:pPr>
            <w:r>
              <w:rPr/>
              <w:t>​</w:t>
            </w:r>
          </w:p>
        </w:tc>
        <w:tc>
          <w:tcPr>
            <w:tcW w:w="23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1.43%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w:t>
            </w:r>
          </w:p>
        </w:tc>
      </w:tr>
      <w:tr>
        <w:trPr/>
        <w:tc>
          <w:tcPr>
            <w:tcW w:w="156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4/30/2025</w:t>
            </w:r>
          </w:p>
        </w:tc>
        <w:tc>
          <w:tcPr>
            <w:tcW w:w="109"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4/30/2030</w:t>
            </w:r>
          </w:p>
        </w:tc>
        <w:tc>
          <w:tcPr>
            <w:tcW w:w="109" w:type="dxa"/>
            <w:tcBorders/>
            <w:vAlign w:val="center"/>
          </w:tcPr>
          <w:p>
            <w:pPr>
              <w:pStyle w:val="TableContents"/>
              <w:bidi w:val="0"/>
              <w:spacing w:before="0" w:after="0"/>
              <w:ind w:left="0" w:right="0" w:hanging="0"/>
              <w:jc w:val="left"/>
              <w:rPr/>
            </w:pPr>
            <w:r>
              <w:rPr/>
              <w:t>​</w:t>
            </w:r>
          </w:p>
        </w:tc>
        <w:tc>
          <w:tcPr>
            <w:tcW w:w="23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3.41%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r>
      <w:tr>
        <w:trPr/>
        <w:tc>
          <w:tcPr>
            <w:tcW w:w="156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4/30/2025</w:t>
            </w:r>
          </w:p>
        </w:tc>
        <w:tc>
          <w:tcPr>
            <w:tcW w:w="109"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4/30/2030</w:t>
            </w:r>
          </w:p>
        </w:tc>
        <w:tc>
          <w:tcPr>
            <w:tcW w:w="109" w:type="dxa"/>
            <w:tcBorders/>
            <w:shd w:fill="CCEEFF" w:val="clear"/>
            <w:vAlign w:val="center"/>
          </w:tcPr>
          <w:p>
            <w:pPr>
              <w:pStyle w:val="TableContents"/>
              <w:bidi w:val="0"/>
              <w:spacing w:before="0" w:after="0"/>
              <w:ind w:left="0" w:right="0" w:hanging="0"/>
              <w:jc w:val="left"/>
              <w:rPr/>
            </w:pPr>
            <w:r>
              <w:rPr/>
              <w:t>​</w:t>
            </w:r>
          </w:p>
        </w:tc>
        <w:tc>
          <w:tcPr>
            <w:tcW w:w="23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3.23%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r>
      <w:tr>
        <w:trPr/>
        <w:tc>
          <w:tcPr>
            <w:tcW w:w="156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3/29/2024</w:t>
            </w:r>
          </w:p>
        </w:tc>
        <w:tc>
          <w:tcPr>
            <w:tcW w:w="109"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left"/>
              <w:rPr/>
            </w:pPr>
            <w:r>
              <w:rPr/>
              <w:t>​</w:t>
            </w:r>
          </w:p>
        </w:tc>
        <w:tc>
          <w:tcPr>
            <w:tcW w:w="23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1.48%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r>
      <w:tr>
        <w:trPr/>
        <w:tc>
          <w:tcPr>
            <w:tcW w:w="156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(2)</w:t>
            </w:r>
            <w:r>
              <w:rPr>
                <w:rFonts w:ascii="Times New Roman;Times;serif" w:hAnsi="Times New Roman;Times;serif"/>
                <w:sz w:val="18"/>
              </w:rPr>
              <w:t xml:space="preserve">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3/10/2031</w:t>
            </w:r>
          </w:p>
        </w:tc>
        <w:tc>
          <w:tcPr>
            <w:tcW w:w="109" w:type="dxa"/>
            <w:tcBorders/>
            <w:shd w:fill="CCEEFF" w:val="clear"/>
            <w:vAlign w:val="center"/>
          </w:tcPr>
          <w:p>
            <w:pPr>
              <w:pStyle w:val="TableContents"/>
              <w:bidi w:val="0"/>
              <w:spacing w:before="0" w:after="0"/>
              <w:ind w:left="0" w:right="0" w:hanging="0"/>
              <w:jc w:val="left"/>
              <w:rPr/>
            </w:pPr>
            <w:r>
              <w:rPr/>
              <w:t>​</w:t>
            </w:r>
          </w:p>
        </w:tc>
        <w:tc>
          <w:tcPr>
            <w:tcW w:w="23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3.78%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w:t>
            </w:r>
          </w:p>
        </w:tc>
      </w:tr>
      <w:tr>
        <w:trPr/>
        <w:tc>
          <w:tcPr>
            <w:tcW w:w="156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2030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4/30/2030</w:t>
            </w:r>
          </w:p>
        </w:tc>
        <w:tc>
          <w:tcPr>
            <w:tcW w:w="109" w:type="dxa"/>
            <w:tcBorders/>
            <w:vAlign w:val="center"/>
          </w:tcPr>
          <w:p>
            <w:pPr>
              <w:pStyle w:val="TableContents"/>
              <w:bidi w:val="0"/>
              <w:spacing w:before="0" w:after="0"/>
              <w:ind w:left="0" w:right="0" w:hanging="0"/>
              <w:jc w:val="left"/>
              <w:rPr/>
            </w:pPr>
            <w:r>
              <w:rPr/>
              <w:t>​</w:t>
            </w:r>
          </w:p>
        </w:tc>
        <w:tc>
          <w:tcPr>
            <w:tcW w:w="23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3.27%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w:t>
            </w:r>
          </w:p>
        </w:tc>
        <w:tc>
          <w:tcPr>
            <w:tcW w:w="109" w:type="dxa"/>
            <w:tcBorders/>
            <w:vAlign w:val="center"/>
          </w:tcPr>
          <w:p>
            <w:pPr>
              <w:pStyle w:val="TableContents"/>
              <w:bidi w:val="0"/>
              <w:spacing w:before="0" w:after="0"/>
              <w:ind w:left="0" w:right="0" w:hanging="0"/>
              <w:jc w:val="right"/>
              <w:rPr/>
            </w:pPr>
            <w:r>
              <w:rPr/>
              <w:t>​</w:t>
            </w:r>
          </w:p>
        </w:tc>
        <w:tc>
          <w:tcPr>
            <w:tcW w:w="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2/1/2024</w:t>
            </w:r>
          </w:p>
        </w:tc>
        <w:tc>
          <w:tcPr>
            <w:tcW w:w="109" w:type="dxa"/>
            <w:tcBorders/>
            <w:shd w:fill="CCEEFF" w:val="clear"/>
            <w:vAlign w:val="center"/>
          </w:tcPr>
          <w:p>
            <w:pPr>
              <w:pStyle w:val="TableContents"/>
              <w:bidi w:val="0"/>
              <w:spacing w:before="0" w:after="0"/>
              <w:ind w:left="0" w:right="0" w:hanging="0"/>
              <w:jc w:val="center"/>
              <w:rPr/>
            </w:pPr>
            <w:r>
              <w:rPr/>
              <w:t>​</w:t>
            </w:r>
          </w:p>
        </w:tc>
        <w:tc>
          <w:tcPr>
            <w:tcW w:w="1137"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1/31/2028</w:t>
            </w:r>
          </w:p>
        </w:tc>
        <w:tc>
          <w:tcPr>
            <w:tcW w:w="109" w:type="dxa"/>
            <w:tcBorders/>
            <w:shd w:fill="CCEEFF" w:val="clear"/>
            <w:vAlign w:val="center"/>
          </w:tcPr>
          <w:p>
            <w:pPr>
              <w:pStyle w:val="TableContents"/>
              <w:bidi w:val="0"/>
              <w:spacing w:before="0" w:after="0"/>
              <w:ind w:left="0" w:right="0" w:hanging="0"/>
              <w:jc w:val="left"/>
              <w:rPr/>
            </w:pPr>
            <w:r>
              <w:rPr/>
              <w:t>​</w:t>
            </w:r>
          </w:p>
        </w:tc>
        <w:tc>
          <w:tcPr>
            <w:tcW w:w="2315"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3.85% + 0.10% + 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6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w:t>
            </w:r>
          </w:p>
        </w:tc>
      </w:tr>
      <w:tr>
        <w:trPr/>
        <w:tc>
          <w:tcPr>
            <w:tcW w:w="156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Credit Facility </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8/31/2021</w:t>
            </w:r>
          </w:p>
        </w:tc>
        <w:tc>
          <w:tcPr>
            <w:tcW w:w="109" w:type="dxa"/>
            <w:tcBorders/>
            <w:vAlign w:val="center"/>
          </w:tcPr>
          <w:p>
            <w:pPr>
              <w:pStyle w:val="TableContents"/>
              <w:bidi w:val="0"/>
              <w:spacing w:before="0" w:after="0"/>
              <w:ind w:left="0" w:right="0" w:hanging="0"/>
              <w:jc w:val="center"/>
              <w:rPr/>
            </w:pPr>
            <w:r>
              <w:rPr/>
              <w:t>​</w:t>
            </w:r>
          </w:p>
        </w:tc>
        <w:tc>
          <w:tcPr>
            <w:tcW w:w="1137"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3/10/2026</w:t>
            </w:r>
          </w:p>
        </w:tc>
        <w:tc>
          <w:tcPr>
            <w:tcW w:w="109" w:type="dxa"/>
            <w:tcBorders/>
            <w:vAlign w:val="center"/>
          </w:tcPr>
          <w:p>
            <w:pPr>
              <w:pStyle w:val="TableContents"/>
              <w:bidi w:val="0"/>
              <w:spacing w:before="0" w:after="0"/>
              <w:ind w:left="0" w:right="0" w:hanging="0"/>
              <w:jc w:val="left"/>
              <w:rPr/>
            </w:pPr>
            <w:r>
              <w:rPr/>
              <w:t>​</w:t>
            </w:r>
          </w:p>
        </w:tc>
        <w:tc>
          <w:tcPr>
            <w:tcW w:w="231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0.70% + 0.10% + 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15,000</w:t>
            </w:r>
          </w:p>
        </w:tc>
        <w:tc>
          <w:tcPr>
            <w:tcW w:w="109" w:type="dxa"/>
            <w:tcBorders/>
            <w:vAlign w:val="center"/>
          </w:tcPr>
          <w:p>
            <w:pPr>
              <w:pStyle w:val="TableContents"/>
              <w:bidi w:val="0"/>
              <w:spacing w:before="0" w:after="0"/>
              <w:ind w:left="0" w:right="0" w:hanging="0"/>
              <w:jc w:val="right"/>
              <w:rPr/>
            </w:pPr>
            <w:r>
              <w:rPr/>
              <w:t>​</w:t>
            </w:r>
          </w:p>
        </w:tc>
        <w:tc>
          <w:tcPr>
            <w:tcW w:w="6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12"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208</w:t>
            </w:r>
          </w:p>
        </w:tc>
      </w:tr>
    </w:tbl>
    <w:tbl>
      <w:tblPr>
        <w:tblW w:w="8642" w:type="dxa"/>
        <w:jc w:val="left"/>
        <w:tblInd w:w="0" w:type="dxa"/>
        <w:tblLayout w:type="fixed"/>
        <w:tblCellMar>
          <w:top w:w="0" w:type="dxa"/>
          <w:left w:w="0" w:type="dxa"/>
          <w:bottom w:w="0" w:type="dxa"/>
          <w:right w:w="0" w:type="dxa"/>
        </w:tblCellMar>
      </w:tblPr>
      <w:tblGrid>
        <w:gridCol w:w="286"/>
        <w:gridCol w:w="8356"/>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(1)</w:t>
            </w:r>
          </w:p>
        </w:tc>
        <w:tc>
          <w:tcPr>
            <w:tcW w:w="8356"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Effective September 30, 2022, the Company converted its existing interest rate swaps from 1-month LIBOR to SOFR.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lineRule="auto" w:line="240" w:before="0" w:after="0"/>
              <w:jc w:val="both"/>
              <w:rPr>
                <w:rFonts w:ascii="Times New Roman;Times;serif" w:hAnsi="Times New Roman;Times;serif"/>
                <w:sz w:val="14"/>
              </w:rPr>
            </w:pPr>
            <w:r>
              <w:rPr>
                <w:rFonts w:ascii="Times New Roman;Times;serif" w:hAnsi="Times New Roman;Times;serif"/>
                <w:sz w:val="14"/>
              </w:rPr>
              <w:t>(2)</w:t>
            </w:r>
          </w:p>
        </w:tc>
        <w:tc>
          <w:tcPr>
            <w:tcW w:w="9924"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The Company entered into forward swaps to further fix interest rates through periods that the Company reasonably expects to extend its current term loans.</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lineRule="auto" w:line="240" w:before="0" w:after="0"/>
              <w:jc w:val="both"/>
              <w:rPr>
                <w:rFonts w:ascii="Times New Roman;Times;serif" w:hAnsi="Times New Roman;Times;serif"/>
                <w:sz w:val="15"/>
              </w:rPr>
            </w:pPr>
            <w:r>
              <w:rPr>
                <w:rFonts w:ascii="Times New Roman;Times;serif" w:hAnsi="Times New Roman;Times;serif"/>
                <w:sz w:val="15"/>
              </w:rPr>
              <w:t>(3)</w:t>
            </w:r>
          </w:p>
        </w:tc>
        <w:tc>
          <w:tcPr>
            <w:tcW w:w="9921"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Effective September 30, 2025, the Company redesignated certain interest rate swaps from its 2026 Term Loan to its 2029 and 2030 Term Loans. </w:t>
            </w:r>
          </w:p>
        </w:tc>
      </w:tr>
    </w:tbl>
    <w:tbl>
      <w:tblPr>
        <w:tblW w:w="9557" w:type="dxa"/>
        <w:jc w:val="left"/>
        <w:tblInd w:w="0" w:type="dxa"/>
        <w:tblLayout w:type="fixed"/>
        <w:tblCellMar>
          <w:top w:w="0" w:type="dxa"/>
          <w:left w:w="0" w:type="dxa"/>
          <w:bottom w:w="0" w:type="dxa"/>
          <w:right w:w="0" w:type="dxa"/>
        </w:tblCellMar>
      </w:tblPr>
      <w:tblGrid>
        <w:gridCol w:w="286"/>
        <w:gridCol w:w="9271"/>
      </w:tblGrid>
      <w:tr>
        <w:trPr/>
        <w:tc>
          <w:tcPr>
            <w:tcW w:w="286" w:type="dxa"/>
            <w:tcBorders/>
            <w:vAlign w:val="center"/>
          </w:tcPr>
          <w:p>
            <w:pPr>
              <w:pStyle w:val="TableContents"/>
              <w:bidi w:val="0"/>
              <w:spacing w:lineRule="auto" w:line="240" w:before="0" w:after="0"/>
              <w:jc w:val="both"/>
              <w:rPr>
                <w:rFonts w:ascii="Times New Roman;Times;serif" w:hAnsi="Times New Roman;Times;serif"/>
                <w:sz w:val="15"/>
              </w:rPr>
            </w:pPr>
            <w:r>
              <w:rPr>
                <w:rFonts w:ascii="Times New Roman;Times;serif" w:hAnsi="Times New Roman;Times;serif"/>
                <w:sz w:val="15"/>
              </w:rPr>
              <w:t>(4)</w:t>
            </w:r>
          </w:p>
        </w:tc>
        <w:tc>
          <w:tcPr>
            <w:tcW w:w="9271"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Effective September 30, 2025, the Company redesignated certain interest rate swaps from its Credit Facility to its 2030 Term Loan.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September 30, 2025, there were no events of default related to the Company’s interest rate swap agreements.</w:t>
      </w:r>
    </w:p>
    <w:p>
      <w:pPr>
        <w:pStyle w:val="TextBody"/>
        <w:pBdr/>
        <w:bidi w:val="0"/>
        <w:spacing w:before="0" w:after="0"/>
        <w:ind w:left="0" w:right="0" w:hanging="360"/>
        <w:jc w:val="both"/>
        <w:rPr/>
      </w:pPr>
      <w:r>
        <w:rPr/>
        <w:t> </w:t>
      </w:r>
    </w:p>
    <w:p>
      <w:pPr>
        <w:pStyle w:val="TextBody"/>
        <w:bidi w:val="0"/>
        <w:spacing w:before="0" w:after="0"/>
        <w:ind w:left="0" w:right="0" w:hanging="0"/>
        <w:jc w:val="left"/>
        <w:rPr>
          <w:rFonts w:ascii="Times New Roman;Times;serif" w:hAnsi="Times New Roman;Times;serif"/>
          <w:b/>
          <w:sz w:val="20"/>
        </w:rPr>
      </w:pPr>
      <w:bookmarkStart w:id="1726" w:name="Tc_DGty7PEin0iMERXcSO8NcA_13_5"/>
      <w:bookmarkStart w:id="1727" w:name="Tc_Xnr850UpWEmoufzF79JCew_13_2"/>
      <w:bookmarkStart w:id="1728" w:name="Tc_aE98RXoLzkmAXEkJHkBclQ_13_0"/>
      <w:bookmarkStart w:id="1729" w:name="Tc_LWFF9941FUSDyDx9_7AZFw_12_0"/>
      <w:bookmarkStart w:id="1730" w:name="Tc_4uOONsONPkGRONUfeiqtzQ_11_0"/>
      <w:bookmarkStart w:id="1731" w:name="Tc_MZSTe6ft5EyAhUoLBN8WkQ_9_6"/>
      <w:bookmarkStart w:id="1732" w:name="Tc_0GRWskKGtkC9LZXFzSDDSA_9_0"/>
      <w:bookmarkStart w:id="1733" w:name="Tc_hwRIdC6DekGHXIw-NYnCSg_8_0"/>
      <w:bookmarkStart w:id="1734" w:name="Tc_ZaPZXuaZRkufgrpLtZl2UQ_7_0"/>
      <w:bookmarkStart w:id="1735" w:name="Tc_xyZ1Nlh4e0Wt_Iwn7zvuiQ_6_0"/>
      <w:bookmarkStart w:id="1736" w:name="Tc_0o0TAmOWzkiEr9-vi_T74w_5_0"/>
      <w:bookmarkStart w:id="1737" w:name="Tc_ZSXMfK0F5E-4tXvDz3Zzgw_4_0"/>
      <w:bookmarkStart w:id="1738" w:name="Tc_KPkvZ1AK50uLPnwInDHmGg_3_5"/>
      <w:bookmarkStart w:id="1739" w:name="Tc_pM9o7r8AOkCHYfvB2k5M9g_3_2"/>
      <w:bookmarkStart w:id="1740" w:name="Tc_R7SNAjYMDUORM8HTczKNcA_3_0"/>
      <w:bookmarkStart w:id="1741" w:name="Tc_e63Fu1ZAc0iwkwGqCVmurA_2_5"/>
      <w:bookmarkStart w:id="1742" w:name="Tc_lyQw3xaohECIwA0b5jhPgg_2_2"/>
      <w:bookmarkStart w:id="1743" w:name="Tc_T_4vGQND60SRBh9T4GwXlg_1_2"/>
      <w:bookmarkStart w:id="1744" w:name="_5997395d_ca53_4c6d_998f_d465e5fe294c"/>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r>
        <w:rPr>
          <w:rFonts w:ascii="Times New Roman;Times;serif" w:hAnsi="Times New Roman;Times;serif"/>
          <w:b/>
          <w:sz w:val="20"/>
        </w:rPr>
        <w:t>NOTE 17. ACCRUED AND OTHER LIABILITIES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Accrued and other liabilities consisted of the following (in thousands):</w:t>
      </w:r>
    </w:p>
    <w:tbl>
      <w:tblPr>
        <w:tblW w:w="9415" w:type="dxa"/>
        <w:jc w:val="left"/>
        <w:tblInd w:w="0" w:type="dxa"/>
        <w:tblLayout w:type="fixed"/>
        <w:tblCellMar>
          <w:top w:w="0" w:type="dxa"/>
          <w:left w:w="0" w:type="dxa"/>
          <w:bottom w:w="0" w:type="dxa"/>
          <w:right w:w="0" w:type="dxa"/>
        </w:tblCellMar>
      </w:tblPr>
      <w:tblGrid>
        <w:gridCol w:w="6151"/>
        <w:gridCol w:w="326"/>
        <w:gridCol w:w="310"/>
        <w:gridCol w:w="996"/>
        <w:gridCol w:w="326"/>
        <w:gridCol w:w="277"/>
        <w:gridCol w:w="1029"/>
      </w:tblGrid>
      <w:tr>
        <w:trPr/>
        <w:tc>
          <w:tcPr>
            <w:tcW w:w="6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96850" cy="175260"/>
                      <wp:effectExtent l="0" t="0" r="0" b="0"/>
                      <wp:wrapNone/>
                      <wp:docPr id="311" name="Frame31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32460" cy="175260"/>
                      <wp:effectExtent l="0" t="0" r="0" b="0"/>
                      <wp:wrapNone/>
                      <wp:docPr id="312" name="Frame312"/>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75895" cy="175260"/>
                      <wp:effectExtent l="0" t="0" r="0" b="0"/>
                      <wp:wrapNone/>
                      <wp:docPr id="314" name="Frame31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53415" cy="175260"/>
                      <wp:effectExtent l="0" t="0" r="0" b="0"/>
                      <wp:wrapNone/>
                      <wp:docPr id="315" name="Frame315"/>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1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2025</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2024</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Property Taxes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8,459</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Tenant Improvements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Costs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3,118</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3,988</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3,187</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Environmental Reserve </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 - Interest Rate Swaps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 Liability</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and Other Reserves from 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6,652</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30,919</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21,268</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Reserve for Tenant Improvements. </w:t>
      </w:r>
      <w:r>
        <w:rPr>
          <w:rFonts w:ascii="Times New Roman;Times;serif" w:hAnsi="Times New Roman;Times;serif"/>
          <w:sz w:val="20"/>
        </w:rPr>
        <w:t xml:space="preserve">In connection with recent acquisitions, the Company received an aggregate of $1.6 million from the sellers of certain properties for tenant improvement allowances, leasing commissions and other capital improvements. These amounts are included in accrued and other liabilities on the consolidated balance sheets. Through September 30, 2025, payments totaling $0.2 million were made leaving a remaining reserve for tenant improvements of $1.4 million. </w:t>
      </w:r>
    </w:p>
    <w:p>
      <w:pPr>
        <w:pStyle w:val="TextBody"/>
        <w:bidi w:val="0"/>
        <w:spacing w:before="220" w:after="240"/>
        <w:ind w:left="0" w:right="0" w:firstLine="490"/>
        <w:jc w:val="both"/>
        <w:rPr>
          <w:rFonts w:ascii="Times New Roman;Times;serif" w:hAnsi="Times New Roman;Times;serif"/>
          <w:sz w:val="20"/>
        </w:rPr>
      </w:pPr>
      <w:r>
        <w:rPr>
          <w:rFonts w:ascii="Times New Roman;Times;serif" w:hAnsi="Times New Roman;Times;serif"/>
          <w:i/>
          <w:sz w:val="20"/>
        </w:rPr>
        <w:t>Construction and Other Reserves from Commercial Loans and Investments</w:t>
      </w:r>
      <w:r>
        <w:rPr>
          <w:rFonts w:ascii="Times New Roman;Times;serif" w:hAnsi="Times New Roman;Times;serif"/>
          <w:sz w:val="20"/>
        </w:rPr>
        <w:t xml:space="preserve">. In connection with certain of the Company’s commercial loan investments, the borrower has deposited real estate tax and/or construction reserves in accounts held by the Company. Those accounts balances are included in restricted cash on the Company’s consolidated balance sheets with the corresponding liability recorded in accrued and other liabilities as seen above. </w:t>
      </w:r>
    </w:p>
    <w:p>
      <w:pPr>
        <w:pStyle w:val="TextBody"/>
        <w:bidi w:val="0"/>
        <w:spacing w:before="0" w:after="0"/>
        <w:ind w:left="0" w:right="0" w:hanging="0"/>
        <w:jc w:val="left"/>
        <w:rPr>
          <w:rFonts w:ascii="Times New Roman;Times;serif" w:hAnsi="Times New Roman;Times;serif"/>
          <w:b/>
          <w:sz w:val="20"/>
        </w:rPr>
      </w:pPr>
      <w:bookmarkStart w:id="1745" w:name="Tc_chAXFOyT7EaqiDO-jH11Cw_6_5"/>
      <w:bookmarkStart w:id="1746" w:name="Tc_RCyJFJcNskC8W40z-NT_mA_6_2"/>
      <w:bookmarkStart w:id="1747" w:name="Tc_Pfgex_7pHUKyC4_G2Q6_8A_6_0"/>
      <w:bookmarkStart w:id="1748" w:name="Tc_Ge7V2GKePkmqeXEv6P3rhA_5_0"/>
      <w:bookmarkStart w:id="1749" w:name="Tc_xA77k9gm6kmKrv5mk12jOw_4_0"/>
      <w:bookmarkStart w:id="1750" w:name="Tc_TYwz3W7Tpk-IpdRCC-pbrw_3_5"/>
      <w:bookmarkStart w:id="1751" w:name="Tc_rXJSPSI2Nk-Qflp0U6jVWA_3_2"/>
      <w:bookmarkStart w:id="1752" w:name="Tc_JjiE-NAI8EWjq4cil1_FOw_3_0"/>
      <w:bookmarkStart w:id="1753" w:name="Tc_gXVrljj0eUCA_Wophu3Pig_2_5"/>
      <w:bookmarkStart w:id="1754" w:name="Tc_kJ33_JJZJUSoNQX-Had8xQ_2_2"/>
      <w:bookmarkStart w:id="1755" w:name="Tc_dn4pZP_Xj02-mWdlQP3akA_1_2"/>
      <w:bookmarkStart w:id="1756" w:name="_b366cf25_b44e_44e7_991f_714e2013e8dc"/>
      <w:bookmarkEnd w:id="1745"/>
      <w:bookmarkEnd w:id="1746"/>
      <w:bookmarkEnd w:id="1747"/>
      <w:bookmarkEnd w:id="1748"/>
      <w:bookmarkEnd w:id="1749"/>
      <w:bookmarkEnd w:id="1750"/>
      <w:bookmarkEnd w:id="1751"/>
      <w:bookmarkEnd w:id="1752"/>
      <w:bookmarkEnd w:id="1753"/>
      <w:bookmarkEnd w:id="1754"/>
      <w:bookmarkEnd w:id="1755"/>
      <w:bookmarkEnd w:id="1756"/>
      <w:r>
        <w:rPr>
          <w:rFonts w:ascii="Times New Roman;Times;serif" w:hAnsi="Times New Roman;Times;serif"/>
          <w:b/>
          <w:sz w:val="20"/>
        </w:rPr>
        <w:t>NOTE 18. DEFERRED REVENUE</w:t>
      </w:r>
    </w:p>
    <w:p>
      <w:pPr>
        <w:pStyle w:val="TextBody"/>
        <w:bidi w:val="0"/>
        <w:spacing w:before="0" w:after="0"/>
        <w:ind w:left="0" w:right="0" w:hanging="0"/>
        <w:jc w:val="left"/>
        <w:rPr/>
      </w:pPr>
      <w:r>
        <w:rPr/>
        <w:t>​</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Deferred revenue consisted of the following (in thousands):  </w:t>
      </w:r>
    </w:p>
    <w:tbl>
      <w:tblPr>
        <w:tblW w:w="8035" w:type="dxa"/>
        <w:jc w:val="left"/>
        <w:tblInd w:w="0" w:type="dxa"/>
        <w:tblLayout w:type="fixed"/>
        <w:tblCellMar>
          <w:top w:w="0" w:type="dxa"/>
          <w:left w:w="0" w:type="dxa"/>
          <w:bottom w:w="0" w:type="dxa"/>
          <w:right w:w="0" w:type="dxa"/>
        </w:tblCellMar>
      </w:tblPr>
      <w:tblGrid>
        <w:gridCol w:w="4771"/>
        <w:gridCol w:w="326"/>
        <w:gridCol w:w="310"/>
        <w:gridCol w:w="996"/>
        <w:gridCol w:w="326"/>
        <w:gridCol w:w="277"/>
        <w:gridCol w:w="1029"/>
      </w:tblGrid>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96850" cy="175260"/>
                      <wp:effectExtent l="0" t="0" r="0" b="0"/>
                      <wp:wrapNone/>
                      <wp:docPr id="317" name="Frame31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32460" cy="175260"/>
                      <wp:effectExtent l="0" t="0" r="0" b="0"/>
                      <wp:wrapNone/>
                      <wp:docPr id="318" name="Frame318"/>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75895" cy="175260"/>
                      <wp:effectExtent l="0" t="0" r="0" b="0"/>
                      <wp:wrapNone/>
                      <wp:docPr id="320" name="Frame320"/>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53415" cy="175260"/>
                      <wp:effectExtent l="0" t="0" r="0" b="0"/>
                      <wp:wrapNone/>
                      <wp:docPr id="321" name="Frame321"/>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47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br/>
              <w:t>2025</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br/>
              <w:t>2024</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Reserve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6,689</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6,067</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Contributions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13,361</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10,183</w:t>
            </w:r>
          </w:p>
        </w:tc>
      </w:tr>
    </w:tbl>
    <w:p>
      <w:pPr>
        <w:pStyle w:val="TextBody"/>
        <w:bidi w:val="0"/>
        <w:spacing w:before="0" w:after="0"/>
        <w:ind w:left="0" w:right="0" w:firstLine="547"/>
        <w:jc w:val="both"/>
        <w:rPr/>
      </w:pPr>
      <w:r>
        <w:rPr/>
        <w:t> </w:t>
      </w:r>
    </w:p>
    <w:p>
      <w:pPr>
        <w:pStyle w:val="TextBody"/>
        <w:bidi w:val="0"/>
        <w:spacing w:before="0" w:after="0"/>
        <w:ind w:left="0" w:right="0" w:firstLine="547"/>
        <w:jc w:val="both"/>
        <w:rPr/>
      </w:pPr>
      <w:r>
        <w:rPr/>
        <w: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i/>
          <w:sz w:val="20"/>
        </w:rPr>
        <w:t>Interest Reserve from</w:t>
      </w:r>
      <w:r>
        <w:rPr>
          <w:rFonts w:ascii="Times New Roman;Times;serif" w:hAnsi="Times New Roman;Times;serif"/>
          <w:sz w:val="20"/>
        </w:rPr>
        <w:t xml:space="preserve"> </w:t>
      </w:r>
      <w:r>
        <w:rPr>
          <w:rFonts w:ascii="Times New Roman;Times;serif" w:hAnsi="Times New Roman;Times;serif"/>
          <w:i/>
          <w:sz w:val="20"/>
        </w:rPr>
        <w:t>Commercial Loans and Investments</w:t>
      </w:r>
      <w:r>
        <w:rPr>
          <w:rFonts w:ascii="Times New Roman;Times;serif" w:hAnsi="Times New Roman;Times;serif"/>
          <w:sz w:val="20"/>
        </w:rPr>
        <w:t>. In connection with certain of the Company’s commercial loan investments, the borrower has deposited interest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pStyle w:val="TextBody"/>
        <w:bidi w:val="0"/>
        <w:spacing w:before="0" w:after="0"/>
        <w:ind w:left="0" w:right="0" w:firstLine="540"/>
        <w:jc w:val="both"/>
        <w:rPr/>
      </w:pPr>
      <w:r>
        <w:rPr/>
        <w:t>​</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757" w:name="Tc_Lg5hV4ct_kSpZqj8n9I_1Q_3_11"/>
      <w:bookmarkStart w:id="1758" w:name="Tc_0urJLOrCik6TtQmwkTxwYg_3_8"/>
      <w:bookmarkStart w:id="1759" w:name="Tc_6ViRC07aKkSsxr-bH9ikFw_3_5"/>
      <w:bookmarkStart w:id="1760" w:name="Tc_WdAr9VUzgE2EQ2vr_WXevw_3_2"/>
      <w:bookmarkStart w:id="1761" w:name="Tc_oltH5B5bHUCNgRhZ6Xq6GQ_3_0"/>
      <w:bookmarkStart w:id="1762" w:name="Tc_OWAef-jK10WQVzaSRTrhag_2_12"/>
      <w:bookmarkStart w:id="1763" w:name="Tc_w7BecXlsKE-5GpOrJkjywg_2_9"/>
      <w:bookmarkStart w:id="1764" w:name="Tc_lyh93I20GEG12DFREo8X8w_2_6"/>
      <w:bookmarkStart w:id="1765" w:name="Tc_Hat5TOfTW0KQJOOjdgwLRg_2_3"/>
      <w:bookmarkStart w:id="1766" w:name="Tc_YQozDSK6qEWsxXB4H1ZrBA_1_9"/>
      <w:bookmarkStart w:id="1767" w:name="Tc_yJZBk30dI0KWa4yU4j3Hww_1_3"/>
      <w:bookmarkStart w:id="1768" w:name="_65e44a32_295e_45ae_88f7_8cb68539addf"/>
      <w:bookmarkStart w:id="1769" w:name="Tc_CFjG9AdKvkWy91I8RWBG3A_4_12"/>
      <w:bookmarkStart w:id="1770" w:name="Tc_T8nlJvKUWky3chcNHAJqEA_4_0"/>
      <w:bookmarkStart w:id="1771" w:name="Tc_tOvX0pUrCUGeF_XB64Mckw_3_12"/>
      <w:bookmarkStart w:id="1772" w:name="Tc_QtiKuj8cYUupdULEtm3SIQ_3_0"/>
      <w:bookmarkStart w:id="1773" w:name="Tc_v6kOiypbaUWm7vJMCIodag_2_15"/>
      <w:bookmarkStart w:id="1774" w:name="Tc_srm-rWHIsEmHZzf98HuqMQ_2_12"/>
      <w:bookmarkStart w:id="1775" w:name="Tc_paEEB5Bxn0umzXgLpUtJCw_2_0"/>
      <w:bookmarkStart w:id="1776" w:name="Tc_I0NWHxLaAEqG6yDbRxjRgQ_1_17"/>
      <w:bookmarkStart w:id="1777" w:name="Tc_TISLXs2_pUChGC9VOZOJgA_1_14"/>
      <w:bookmarkStart w:id="1778" w:name="Tc_9D58RSijWkWPB_BMkGSU_A_1_11"/>
      <w:bookmarkStart w:id="1779" w:name="Tc_tMv6G4ctVE6GbxHpYLzXpQ_1_8"/>
      <w:bookmarkStart w:id="1780" w:name="Tc_BH7aHMgSWUWF9MunAZjrxQ_1_5"/>
      <w:bookmarkStart w:id="1781" w:name="Tc_64XlaErvV0a1B8apUWNv2w_1_2"/>
      <w:bookmarkStart w:id="1782" w:name="Tc_Qbx27QczckO1z8dKPe9Gtg_1_0"/>
      <w:bookmarkStart w:id="1783" w:name="_fef2356e_4866_4bcd_94d2_4b4e4a9c54db"/>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r>
        <w:rPr>
          <w:rFonts w:ascii="Times New Roman;Times;serif" w:hAnsi="Times New Roman;Times;serif"/>
          <w:b/>
          <w:sz w:val="20"/>
        </w:rPr>
        <w:t>NOTE 19. STOCK-BASED COMPENSATION</w:t>
      </w:r>
      <w:r>
        <w:rPr>
          <w:rFonts w:ascii="Times New Roman;Times;serif" w:hAnsi="Times New Roman;Times;serif"/>
          <w:color w:val="FF0000"/>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SUMMARY OF STOCK-BASED COMPENSATION </w:t>
      </w:r>
    </w:p>
    <w:p>
      <w:pPr>
        <w:pStyle w:val="TextBody"/>
        <w:bidi w:val="0"/>
        <w:spacing w:before="0" w:after="0"/>
        <w:ind w:left="0" w:right="0" w:hanging="0"/>
        <w:jc w:val="left"/>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 summary of share activity for all equity classified stock compensation during the nine months ended September 30, 2025 is presented below. </w:t>
      </w:r>
    </w:p>
    <w:p>
      <w:pPr>
        <w:pStyle w:val="TextBody"/>
        <w:bidi w:val="0"/>
        <w:spacing w:before="0" w:after="0"/>
        <w:ind w:left="0" w:right="0" w:firstLine="540"/>
        <w:jc w:val="both"/>
        <w:rPr/>
      </w:pPr>
      <w:r>
        <w:rPr/>
        <w:t>​</w:t>
      </w:r>
    </w:p>
    <w:tbl>
      <w:tblPr>
        <w:tblW w:w="10205" w:type="dxa"/>
        <w:jc w:val="left"/>
        <w:tblInd w:w="0" w:type="dxa"/>
        <w:tblLayout w:type="fixed"/>
        <w:tblCellMar>
          <w:top w:w="0" w:type="dxa"/>
          <w:left w:w="0" w:type="dxa"/>
          <w:bottom w:w="0" w:type="dxa"/>
          <w:right w:w="0" w:type="dxa"/>
        </w:tblCellMar>
      </w:tblPr>
      <w:tblGrid>
        <w:gridCol w:w="2226"/>
        <w:gridCol w:w="326"/>
        <w:gridCol w:w="188"/>
        <w:gridCol w:w="1196"/>
        <w:gridCol w:w="326"/>
        <w:gridCol w:w="123"/>
        <w:gridCol w:w="786"/>
        <w:gridCol w:w="109"/>
        <w:gridCol w:w="147"/>
        <w:gridCol w:w="1024"/>
        <w:gridCol w:w="109"/>
        <w:gridCol w:w="200"/>
        <w:gridCol w:w="640"/>
        <w:gridCol w:w="109"/>
        <w:gridCol w:w="182"/>
        <w:gridCol w:w="733"/>
        <w:gridCol w:w="326"/>
        <w:gridCol w:w="173"/>
        <w:gridCol w:w="1282"/>
      </w:tblGrid>
      <w:tr>
        <w:trPr/>
        <w:tc>
          <w:tcPr>
            <w:tcW w:w="2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19380" cy="175260"/>
                      <wp:effectExtent l="0" t="0" r="0" b="0"/>
                      <wp:wrapNone/>
                      <wp:docPr id="323" name="Frame323"/>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759460" cy="175260"/>
                      <wp:effectExtent l="0" t="0" r="0" b="0"/>
                      <wp:wrapNone/>
                      <wp:docPr id="324" name="Frame324"/>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78105" cy="175260"/>
                      <wp:effectExtent l="0" t="0" r="0" b="0"/>
                      <wp:wrapNone/>
                      <wp:docPr id="326" name="Frame326"/>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99110" cy="175260"/>
                      <wp:effectExtent l="0" t="0" r="0" b="0"/>
                      <wp:wrapNone/>
                      <wp:docPr id="327" name="Frame327"/>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93345" cy="175260"/>
                      <wp:effectExtent l="0" t="0" r="0" b="0"/>
                      <wp:wrapNone/>
                      <wp:docPr id="329" name="Frame329"/>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50240" cy="175260"/>
                      <wp:effectExtent l="0" t="0" r="0" b="0"/>
                      <wp:wrapNone/>
                      <wp:docPr id="330" name="Frame330"/>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27000" cy="175260"/>
                      <wp:effectExtent l="0" t="0" r="0" b="0"/>
                      <wp:wrapNone/>
                      <wp:docPr id="332" name="Frame332"/>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06400" cy="175260"/>
                      <wp:effectExtent l="0" t="0" r="0" b="0"/>
                      <wp:wrapNone/>
                      <wp:docPr id="333" name="Frame333"/>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15570" cy="175260"/>
                      <wp:effectExtent l="0" t="0" r="0" b="0"/>
                      <wp:wrapNone/>
                      <wp:docPr id="335" name="Frame335"/>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65455" cy="175260"/>
                      <wp:effectExtent l="0" t="0" r="0" b="0"/>
                      <wp:wrapNone/>
                      <wp:docPr id="336" name="Frame336"/>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09855" cy="175260"/>
                      <wp:effectExtent l="0" t="0" r="0" b="0"/>
                      <wp:wrapNone/>
                      <wp:docPr id="338" name="Frame338"/>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814070" cy="175260"/>
                      <wp:effectExtent l="0" t="0" r="0" b="0"/>
                      <wp:wrapNone/>
                      <wp:docPr id="339" name="Frame339"/>
                      <a:graphic xmlns:a="http://schemas.openxmlformats.org/drawingml/2006/main">
                        <a:graphicData uri="http://schemas.microsoft.com/office/word/2010/wordprocessingShape">
                          <wps:wsp>
                            <wps:cNvSpPr txBox="1"/>
                            <wps:spPr>
                              <a:xfrm>
                                <a:off x="0" y="0"/>
                                <a:ext cx="81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Type of Award</w:t>
            </w:r>
          </w:p>
        </w:tc>
        <w:tc>
          <w:tcPr>
            <w:tcW w:w="326" w:type="dxa"/>
            <w:tcBorders/>
            <w:vAlign w:val="center"/>
          </w:tcPr>
          <w:p>
            <w:pPr>
              <w:pStyle w:val="TableContents"/>
              <w:bidi w:val="0"/>
              <w:spacing w:before="0" w:after="0"/>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1/1/2025</w:t>
            </w:r>
          </w:p>
        </w:tc>
        <w:tc>
          <w:tcPr>
            <w:tcW w:w="326" w:type="dxa"/>
            <w:tcBorders/>
            <w:vAlign w:val="center"/>
          </w:tcPr>
          <w:p>
            <w:pPr>
              <w:pStyle w:val="TableContents"/>
              <w:bidi w:val="0"/>
              <w:spacing w:before="0" w:after="0"/>
              <w:ind w:left="0" w:right="0" w:hanging="0"/>
              <w:jc w:val="center"/>
              <w:rPr/>
            </w:pPr>
            <w:r>
              <w:rPr/>
              <w:t>    </w:t>
            </w:r>
          </w:p>
        </w:tc>
        <w:tc>
          <w:tcPr>
            <w:tcW w:w="9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Granted Shares</w:t>
            </w:r>
          </w:p>
        </w:tc>
        <w:tc>
          <w:tcPr>
            <w:tcW w:w="109" w:type="dxa"/>
            <w:tcBorders/>
            <w:vAlign w:val="center"/>
          </w:tcPr>
          <w:p>
            <w:pPr>
              <w:pStyle w:val="TableContents"/>
              <w:bidi w:val="0"/>
              <w:spacing w:before="0" w:after="0"/>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Vested / Exercised Shares</w:t>
            </w:r>
          </w:p>
        </w:tc>
        <w:tc>
          <w:tcPr>
            <w:tcW w:w="109" w:type="dxa"/>
            <w:tcBorders/>
            <w:vAlign w:val="center"/>
          </w:tcPr>
          <w:p>
            <w:pPr>
              <w:pStyle w:val="TableContents"/>
              <w:bidi w:val="0"/>
              <w:spacing w:before="0" w:after="0"/>
              <w:ind w:left="0" w:right="0" w:hanging="0"/>
              <w:jc w:val="left"/>
              <w:rPr/>
            </w:pPr>
            <w:r>
              <w:rPr/>
              <w:t>​</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Expired Shares</w:t>
            </w:r>
          </w:p>
        </w:tc>
        <w:tc>
          <w:tcPr>
            <w:tcW w:w="109" w:type="dxa"/>
            <w:tcBorders/>
            <w:vAlign w:val="center"/>
          </w:tcPr>
          <w:p>
            <w:pPr>
              <w:pStyle w:val="TableContents"/>
              <w:bidi w:val="0"/>
              <w:spacing w:before="0" w:after="0"/>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Forfeited Shares</w:t>
            </w:r>
          </w:p>
        </w:tc>
        <w:tc>
          <w:tcPr>
            <w:tcW w:w="326" w:type="dxa"/>
            <w:tcBorders/>
            <w:vAlign w:val="center"/>
          </w:tcPr>
          <w:p>
            <w:pPr>
              <w:pStyle w:val="TableContents"/>
              <w:bidi w:val="0"/>
              <w:spacing w:before="0" w:after="0"/>
              <w:ind w:left="0" w:right="0" w:hanging="0"/>
              <w:jc w:val="center"/>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9/30/2025</w:t>
            </w:r>
          </w:p>
        </w:tc>
      </w:tr>
      <w:tr>
        <w:trPr/>
        <w:tc>
          <w:tcPr>
            <w:tcW w:w="2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Performance Share Awards - Peer Group Market Condition Vesting</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208,003</w:t>
            </w:r>
          </w:p>
        </w:tc>
        <w:tc>
          <w:tcPr>
            <w:tcW w:w="326"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110,270</w:t>
            </w:r>
          </w:p>
        </w:tc>
        <w:tc>
          <w:tcPr>
            <w:tcW w:w="109"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(55,386)</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73" w:type="dxa"/>
            <w:tcBorders/>
            <w:shd w:fill="CCEEFF" w:val="clear"/>
            <w:vAlign w:val="center"/>
          </w:tcPr>
          <w:p>
            <w:pPr>
              <w:pStyle w:val="TableContents"/>
              <w:bidi w:val="0"/>
              <w:spacing w:before="0" w:after="0"/>
              <w:ind w:left="0" w:right="0" w:hanging="0"/>
              <w:jc w:val="left"/>
              <w:rPr/>
            </w:pPr>
            <w:r>
              <w:rPr/>
              <w:t>​</w:t>
            </w:r>
          </w:p>
        </w:tc>
        <w:tc>
          <w:tcPr>
            <w:tcW w:w="12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262,887</w:t>
            </w:r>
          </w:p>
        </w:tc>
      </w:tr>
      <w:tr>
        <w:trPr/>
        <w:tc>
          <w:tcPr>
            <w:tcW w:w="2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Classified - Three Year Vest Restricted Shares</w:t>
            </w:r>
          </w:p>
        </w:tc>
        <w:tc>
          <w:tcPr>
            <w:tcW w:w="32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197,794</w:t>
            </w:r>
          </w:p>
        </w:tc>
        <w:tc>
          <w:tcPr>
            <w:tcW w:w="326" w:type="dxa"/>
            <w:tcBorders/>
            <w:vAlign w:val="center"/>
          </w:tcPr>
          <w:p>
            <w:pPr>
              <w:pStyle w:val="TableContents"/>
              <w:bidi w:val="0"/>
              <w:spacing w:before="0" w:after="0"/>
              <w:ind w:left="0" w:right="0" w:hanging="0"/>
              <w:jc w:val="left"/>
              <w:rPr/>
            </w:pPr>
            <w:r>
              <w:rPr/>
              <w:t>​</w:t>
            </w:r>
          </w:p>
        </w:tc>
        <w:tc>
          <w:tcPr>
            <w:tcW w:w="1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117,739</w:t>
            </w:r>
          </w:p>
        </w:tc>
        <w:tc>
          <w:tcPr>
            <w:tcW w:w="109" w:type="dxa"/>
            <w:tcBorders/>
            <w:vAlign w:val="center"/>
          </w:tcPr>
          <w:p>
            <w:pPr>
              <w:pStyle w:val="TableContents"/>
              <w:bidi w:val="0"/>
              <w:spacing w:before="0" w:after="0"/>
              <w:ind w:left="0" w:right="0" w:hanging="0"/>
              <w:jc w:val="left"/>
              <w:rPr/>
            </w:pPr>
            <w:r>
              <w:rPr/>
              <w:t>​</w:t>
            </w:r>
          </w:p>
        </w:tc>
        <w:tc>
          <w:tcPr>
            <w:tcW w:w="1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(112,009)</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326" w:type="dxa"/>
            <w:tcBorders/>
            <w:vAlign w:val="center"/>
          </w:tcPr>
          <w:p>
            <w:pPr>
              <w:pStyle w:val="TableContents"/>
              <w:bidi w:val="0"/>
              <w:spacing w:before="0" w:after="0"/>
              <w:ind w:left="0" w:right="0" w:hanging="0"/>
              <w:jc w:val="left"/>
              <w:rPr/>
            </w:pPr>
            <w:r>
              <w:rPr/>
              <w:t>​</w:t>
            </w:r>
          </w:p>
        </w:tc>
        <w:tc>
          <w:tcPr>
            <w:tcW w:w="1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203,252</w:t>
            </w:r>
          </w:p>
        </w:tc>
      </w:tr>
      <w:tr>
        <w:trPr/>
        <w:tc>
          <w:tcPr>
            <w:tcW w:w="2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Shares</w:t>
            </w:r>
          </w:p>
        </w:tc>
        <w:tc>
          <w:tcPr>
            <w:tcW w:w="326" w:type="dxa"/>
            <w:tcBorders/>
            <w:shd w:fill="CCEE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405,797</w:t>
            </w:r>
          </w:p>
        </w:tc>
        <w:tc>
          <w:tcPr>
            <w:tcW w:w="326" w:type="dxa"/>
            <w:tcBorders/>
            <w:shd w:fill="CCEEFF" w:val="clear"/>
            <w:vAlign w:val="center"/>
          </w:tcPr>
          <w:p>
            <w:pPr>
              <w:pStyle w:val="TableContents"/>
              <w:bidi w:val="0"/>
              <w:spacing w:before="0" w:after="0"/>
              <w:ind w:left="0" w:right="0" w:hanging="0"/>
              <w:jc w:val="left"/>
              <w:rPr/>
            </w:pPr>
            <w:r>
              <w:rPr/>
              <w:t>​</w:t>
            </w:r>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228,009</w:t>
            </w:r>
          </w:p>
        </w:tc>
        <w:tc>
          <w:tcPr>
            <w:tcW w:w="109" w:type="dxa"/>
            <w:tcBorders/>
            <w:shd w:fill="CCEEFF" w:val="clear"/>
            <w:vAlign w:val="center"/>
          </w:tcPr>
          <w:p>
            <w:pPr>
              <w:pStyle w:val="TableContents"/>
              <w:bidi w:val="0"/>
              <w:spacing w:before="0" w:after="0"/>
              <w:ind w:left="0" w:right="0" w:hanging="0"/>
              <w:jc w:val="left"/>
              <w:rPr/>
            </w:pPr>
            <w:r>
              <w:rPr/>
              <w:t>​</w:t>
            </w:r>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(167,395)</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1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466,139</w:t>
            </w:r>
          </w:p>
        </w:tc>
      </w:tr>
    </w:tbl>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Amounts recognized in the financial statements for stock-based compensation are as follows (in thousands):</w:t>
      </w:r>
    </w:p>
    <w:p>
      <w:pPr>
        <w:pStyle w:val="TextBody"/>
        <w:bidi w:val="0"/>
        <w:spacing w:before="0" w:after="0"/>
        <w:ind w:left="0" w:right="0" w:firstLine="547"/>
        <w:jc w:val="both"/>
        <w:rPr/>
      </w:pPr>
      <w:r>
        <w:rPr/>
        <w:t>​</w:t>
      </w:r>
    </w:p>
    <w:tbl>
      <w:tblPr>
        <w:tblW w:w="10205" w:type="dxa"/>
        <w:jc w:val="left"/>
        <w:tblInd w:w="0" w:type="dxa"/>
        <w:tblLayout w:type="fixed"/>
        <w:tblCellMar>
          <w:top w:w="0" w:type="dxa"/>
          <w:left w:w="0" w:type="dxa"/>
          <w:bottom w:w="0" w:type="dxa"/>
          <w:right w:w="0" w:type="dxa"/>
        </w:tblCellMar>
      </w:tblPr>
      <w:tblGrid>
        <w:gridCol w:w="2226"/>
        <w:gridCol w:w="326"/>
        <w:gridCol w:w="211"/>
        <w:gridCol w:w="1446"/>
        <w:gridCol w:w="326"/>
        <w:gridCol w:w="211"/>
        <w:gridCol w:w="1446"/>
        <w:gridCol w:w="326"/>
        <w:gridCol w:w="211"/>
        <w:gridCol w:w="1446"/>
        <w:gridCol w:w="326"/>
        <w:gridCol w:w="211"/>
        <w:gridCol w:w="1493"/>
      </w:tblGrid>
      <w:tr>
        <w:trPr/>
        <w:tc>
          <w:tcPr>
            <w:tcW w:w="2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413510" cy="175260"/>
                      <wp:effectExtent l="0" t="0" r="0" b="0"/>
                      <wp:wrapNone/>
                      <wp:docPr id="340" name="Frame340"/>
                      <a:graphic xmlns:a="http://schemas.openxmlformats.org/drawingml/2006/main">
                        <a:graphicData uri="http://schemas.microsoft.com/office/word/2010/wordprocessingShape">
                          <wps:wsp>
                            <wps:cNvSpPr txBox="1"/>
                            <wps:spPr>
                              <a:xfrm>
                                <a:off x="0" y="0"/>
                                <a:ext cx="141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918210" cy="175260"/>
                      <wp:effectExtent l="0" t="0" r="0" b="0"/>
                      <wp:wrapNone/>
                      <wp:docPr id="343" name="Frame343"/>
                      <a:graphic xmlns:a="http://schemas.openxmlformats.org/drawingml/2006/main">
                        <a:graphicData uri="http://schemas.microsoft.com/office/word/2010/wordprocessingShape">
                          <wps:wsp>
                            <wps:cNvSpPr txBox="1"/>
                            <wps:spPr>
                              <a:xfrm>
                                <a:off x="0" y="0"/>
                                <a:ext cx="91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918210" cy="175260"/>
                      <wp:effectExtent l="0" t="0" r="0" b="0"/>
                      <wp:wrapNone/>
                      <wp:docPr id="346" name="Frame346"/>
                      <a:graphic xmlns:a="http://schemas.openxmlformats.org/drawingml/2006/main">
                        <a:graphicData uri="http://schemas.microsoft.com/office/word/2010/wordprocessingShape">
                          <wps:wsp>
                            <wps:cNvSpPr txBox="1"/>
                            <wps:spPr>
                              <a:xfrm>
                                <a:off x="0" y="0"/>
                                <a:ext cx="91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918210" cy="175260"/>
                      <wp:effectExtent l="0" t="0" r="0" b="0"/>
                      <wp:wrapNone/>
                      <wp:docPr id="349" name="Frame349"/>
                      <a:graphic xmlns:a="http://schemas.openxmlformats.org/drawingml/2006/main">
                        <a:graphicData uri="http://schemas.microsoft.com/office/word/2010/wordprocessingShape">
                          <wps:wsp>
                            <wps:cNvSpPr txBox="1"/>
                            <wps:spPr>
                              <a:xfrm>
                                <a:off x="0" y="0"/>
                                <a:ext cx="91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948055" cy="175260"/>
                      <wp:effectExtent l="0" t="0" r="0" b="0"/>
                      <wp:wrapNone/>
                      <wp:docPr id="352" name="Frame352"/>
                      <a:graphic xmlns:a="http://schemas.openxmlformats.org/drawingml/2006/main">
                        <a:graphicData uri="http://schemas.microsoft.com/office/word/2010/wordprocessingShape">
                          <wps:wsp>
                            <wps:cNvSpPr txBox="1"/>
                            <wps:spPr>
                              <a:xfrm>
                                <a:off x="0" y="0"/>
                                <a:ext cx="948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7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22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r>
      <w:tr>
        <w:trPr/>
        <w:tc>
          <w:tcPr>
            <w:tcW w:w="2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Share-Based Plans Charged Against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2,887</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EQUITY-CLASSIFIED STOCK COMPENSATION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Performance Share Awards – Peer Group Market Condition Vesting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Performance shares have been granted to certain employees under the Fifth Amended and Restated CTO Realty Growth, Inc. 2010 Equity Incentive Plan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110,270 performance shares during the nine months ended September 30, 2025.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pStyle w:val="TextBody"/>
        <w:bidi w:val="0"/>
        <w:spacing w:before="240" w:after="240"/>
        <w:ind w:left="0" w:right="0" w:firstLine="490"/>
        <w:jc w:val="both"/>
        <w:rPr>
          <w:rFonts w:ascii="Times New Roman;Times;serif" w:hAnsi="Times New Roman;Times;serif"/>
          <w:sz w:val="20"/>
        </w:rPr>
      </w:pPr>
      <w:r>
        <w:rPr>
          <w:rFonts w:ascii="Times New Roman;Times;serif" w:hAnsi="Times New Roman;Times;serif"/>
          <w:sz w:val="20"/>
        </w:rPr>
        <w:t>As of September 30, 2025, there was $2.7 million of unrecognized compensation cost, adjusted for estimated forfeitures, related to the non-vested performance share awards, which will be recognized over a remaining weighted average period of 1.8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bookmarkStart w:id="1784" w:name="Tc_nhuxy1uqlEyfSs1xN-nVFg_7_5"/>
      <w:bookmarkStart w:id="1785" w:name="Tc_Xx9XXKV6d0-Ue-EOwSEw2Q_7_0"/>
      <w:bookmarkStart w:id="1786" w:name="Tc_SaHKTWCnd0m6Hdsg_EEZfQ_6_5"/>
      <w:bookmarkStart w:id="1787" w:name="Tc_wM4fpwksP0-jbBbJ2eql-Q_6_0"/>
      <w:bookmarkStart w:id="1788" w:name="Tc_61qY9kWpkEytzPtDmOD73w_5_6"/>
      <w:bookmarkStart w:id="1789" w:name="Tc_wZjrWRtvH0mr_2g_ChWu8g_5_3"/>
      <w:bookmarkStart w:id="1790" w:name="Tc_aGIoTWowlUyXKpz_qWLcJA_5_0"/>
      <w:bookmarkStart w:id="1791" w:name="Tc_UPxCZeEY2kmAf1uCqm34sQ_4_5"/>
      <w:bookmarkStart w:id="1792" w:name="Tc_B4KcuWf4VU24itHtxtFe_g_4_0"/>
      <w:bookmarkStart w:id="1793" w:name="Tc_k_qPK4MjuEiLuIgkISwMZQ_3_5"/>
      <w:bookmarkStart w:id="1794" w:name="Tc_q3GXbqMCXEy7-stM-Kt6SA_3_0"/>
      <w:bookmarkStart w:id="1795" w:name="Tc_Q7RLFn_yfU60WxXFTfDHyg_2_5"/>
      <w:bookmarkStart w:id="1796" w:name="Tc_z346-CVBMkSGqJ-Rfzah3w_2_0"/>
      <w:bookmarkStart w:id="1797" w:name="Tc_GKjwETbWzEWm7irMYhga2g_1_5"/>
      <w:bookmarkStart w:id="1798" w:name="Tc_OIZ2MouD3k2bvUPxBAh9LA_1_2"/>
      <w:bookmarkStart w:id="1799" w:name="Tc_UZ3A61t4XkWdZNS33KlMrA_1_0"/>
      <w:bookmarkStart w:id="1800" w:name="_a40a95b1_0307_4cbb_9b7a_0f53387de2f2"/>
      <w:bookmarkStart w:id="1801" w:name="Tc_-J4io5M_LEiW5n-CxrAxQQ_7_5"/>
      <w:bookmarkStart w:id="1802" w:name="Tc_2J0FD1E4p0SN8PtBectPeQ_7_0"/>
      <w:bookmarkStart w:id="1803" w:name="Tc_TSk8a3qR4Eqhyrs5DS3IuQ_6_6"/>
      <w:bookmarkStart w:id="1804" w:name="Tc_OP8VJ7220kuEcoYwDlZNaw_6_3"/>
      <w:bookmarkStart w:id="1805" w:name="Tc_d5Y00u59FEuDUJ0os4Ud_g_6_0"/>
      <w:bookmarkStart w:id="1806" w:name="Tc_3RdsKO1_r0KABKpQlpS30w_5_6"/>
      <w:bookmarkStart w:id="1807" w:name="Tc_i90OoTaDZE-IMjVNlxDlTw_5_3"/>
      <w:bookmarkStart w:id="1808" w:name="Tc_IqLydkA5jU6rcjPt-3nYDw_5_0"/>
      <w:bookmarkStart w:id="1809" w:name="Tc_zHSopcfwK0SWmsjXm0-QLg_4_5"/>
      <w:bookmarkStart w:id="1810" w:name="Tc_lQdYz_pC9EaKXLRqe-gMLw_4_0"/>
      <w:bookmarkStart w:id="1811" w:name="Tc_nFXH8qVP8kiFYh-6GiBQlw_3_5"/>
      <w:bookmarkStart w:id="1812" w:name="Tc_pcVjMwc_t06IKdP5SopwUQ_3_0"/>
      <w:bookmarkStart w:id="1813" w:name="Tc_YvkgeNYeikagkiT7cOoxOg_2_5"/>
      <w:bookmarkStart w:id="1814" w:name="Tc_9BQwPbRtQ0mR4FmFNIqz7Q_2_0"/>
      <w:bookmarkStart w:id="1815" w:name="Tc_Cydicw-HRkGgkLu3xeHGVg_1_5"/>
      <w:bookmarkStart w:id="1816" w:name="Tc_4qhkfcOeg0SvdIMWaGLBEw_1_2"/>
      <w:bookmarkStart w:id="1817" w:name="Tc_BzVH4R4RD06dfRgfotwjzg_1_0"/>
      <w:bookmarkStart w:id="1818" w:name="_8c412fab_1391_44a7_8a5b_5a93d2fcfb8a"/>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r>
        <w:rPr>
          <w:rFonts w:ascii="Times New Roman;Times;serif" w:hAnsi="Times New Roman;Times;serif"/>
          <w:sz w:val="20"/>
        </w:rPr>
        <w:t>A summary of the activity for these awards during the nine months ended September 30, 2025 is presented below:</w:t>
      </w:r>
    </w:p>
    <w:p>
      <w:pPr>
        <w:pStyle w:val="TextBody"/>
        <w:bidi w:val="0"/>
        <w:spacing w:before="0" w:after="0"/>
        <w:ind w:left="0" w:right="0" w:firstLine="490"/>
        <w:jc w:val="both"/>
        <w:rPr/>
      </w:pPr>
      <w:r>
        <w:rPr/>
        <w:t>​</w:t>
      </w:r>
    </w:p>
    <w:tbl>
      <w:tblPr>
        <w:tblW w:w="8121" w:type="dxa"/>
        <w:jc w:val="left"/>
        <w:tblInd w:w="0" w:type="dxa"/>
        <w:tblLayout w:type="fixed"/>
        <w:tblCellMar>
          <w:top w:w="0" w:type="dxa"/>
          <w:left w:w="0" w:type="dxa"/>
          <w:bottom w:w="0" w:type="dxa"/>
          <w:right w:w="0" w:type="dxa"/>
        </w:tblCellMar>
      </w:tblPr>
      <w:tblGrid>
        <w:gridCol w:w="3946"/>
        <w:gridCol w:w="326"/>
        <w:gridCol w:w="109"/>
        <w:gridCol w:w="796"/>
        <w:gridCol w:w="109"/>
        <w:gridCol w:w="674"/>
        <w:gridCol w:w="2161"/>
      </w:tblGrid>
      <w:tr>
        <w:trPr/>
        <w:tc>
          <w:tcPr>
            <w:tcW w:w="3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9215" cy="175260"/>
                      <wp:effectExtent l="0" t="0" r="0" b="0"/>
                      <wp:wrapNone/>
                      <wp:docPr id="354" name="Frame3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05460" cy="175260"/>
                      <wp:effectExtent l="0" t="0" r="0" b="0"/>
                      <wp:wrapNone/>
                      <wp:docPr id="355" name="Frame3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27990" cy="175260"/>
                      <wp:effectExtent l="0" t="0" r="0" b="0"/>
                      <wp:wrapNone/>
                      <wp:docPr id="357" name="Frame357"/>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72235" cy="175260"/>
                      <wp:effectExtent l="0" t="0" r="0" b="0"/>
                      <wp:wrapNone/>
                      <wp:docPr id="358" name="Frame358"/>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 Shares With Market Conditions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09" w:type="dxa"/>
            <w:tcBorders/>
            <w:vAlign w:val="center"/>
          </w:tcPr>
          <w:p>
            <w:pPr>
              <w:pStyle w:val="TableContents"/>
              <w:bidi w:val="0"/>
              <w:spacing w:before="0" w:after="0"/>
              <w:ind w:left="0" w:right="0" w:hanging="0"/>
              <w:jc w:val="left"/>
              <w:rPr/>
            </w:pPr>
            <w:r>
              <w:rPr/>
              <w:t>​</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208,003</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110,270</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(55,386)</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September 30, 2025</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262,887</w:t>
            </w:r>
          </w:p>
        </w:tc>
        <w:tc>
          <w:tcPr>
            <w:tcW w:w="109"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18.29</w:t>
            </w:r>
          </w:p>
        </w:tc>
      </w:tr>
    </w:tbl>
    <w:p>
      <w:pPr>
        <w:pStyle w:val="TextBody"/>
        <w:bidi w:val="0"/>
        <w:spacing w:before="0" w:after="0"/>
        <w:ind w:left="0" w:right="0" w:hanging="0"/>
        <w:jc w:val="left"/>
        <w:rPr/>
      </w:pPr>
      <w:r>
        <w:rPr/>
        <w:t>​</w:t>
      </w:r>
    </w:p>
    <w:p>
      <w:pPr>
        <w:pStyle w:val="TextBody"/>
        <w:bidi w:val="0"/>
        <w:spacing w:lineRule="auto" w:line="256" w:before="0" w:after="120"/>
        <w:ind w:left="0" w:right="0" w:hanging="0"/>
        <w:jc w:val="both"/>
        <w:rPr/>
      </w:pPr>
      <w:r>
        <w:rPr/>
        <w:t>​</w:t>
      </w:r>
      <w:r>
        <w:rPr>
          <w:rFonts w:ascii="Times New Roman;Times;serif" w:hAnsi="Times New Roman;Times;serif"/>
          <w:b/>
          <w:i/>
          <w:sz w:val="20"/>
        </w:rPr>
        <w:br/>
        <w:t>Restricted Shares</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Restricted shares have been granted to certain employees under the 2010 Plan. Certain of the restricted shares vest  on each of the first, second, and third anniversaries of January 28 of the applicable year provided the grantee is an employee of the Company on those dates. In addition, any unvested portion of the restricted shares will vest upon a change in control. Certain other restricted share awards, granted on July 1, 2022, vested entirely on the third anniversary of the grant date, or July 1, 2025. The Company granted a total of 117,739 shares of restricted Company common stock during the nine months ended September 30, 2025. </w:t>
      </w:r>
    </w:p>
    <w:p>
      <w:pPr>
        <w:pStyle w:val="TextBody"/>
        <w:bidi w:val="0"/>
        <w:spacing w:before="0" w:after="120"/>
        <w:ind w:left="0" w:right="0" w:firstLine="547"/>
        <w:jc w:val="both"/>
        <w:rPr>
          <w:rFonts w:ascii="Times New Roman;Times;serif" w:hAnsi="Times New Roman;Times;serif"/>
          <w:sz w:val="20"/>
        </w:rPr>
      </w:pPr>
      <w:r>
        <w:rPr>
          <w:rFonts w:ascii="Times New Roman;Times;serif" w:hAnsi="Times New Roman;Times;serif"/>
          <w:sz w:val="20"/>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pStyle w:val="TextBody"/>
        <w:bidi w:val="0"/>
        <w:spacing w:before="0" w:after="120"/>
        <w:ind w:left="0" w:right="0" w:firstLine="490"/>
        <w:jc w:val="both"/>
        <w:rPr>
          <w:rFonts w:ascii="Times New Roman;Times;serif" w:hAnsi="Times New Roman;Times;serif"/>
          <w:sz w:val="20"/>
        </w:rPr>
      </w:pPr>
      <w:r>
        <w:rPr>
          <w:rFonts w:ascii="Times New Roman;Times;serif" w:hAnsi="Times New Roman;Times;serif"/>
          <w:sz w:val="20"/>
        </w:rPr>
        <w:t>As of September 30, 2025, there was $2.7 million of unrecognized compensation cost, adjusted for estimated forfeitures, related to the non-vested restricted share awards, which will be recognized over a remaining weighted average period of 2.0 years.</w:t>
      </w:r>
    </w:p>
    <w:p>
      <w:pPr>
        <w:pStyle w:val="TextBody"/>
        <w:bidi w:val="0"/>
        <w:spacing w:lineRule="auto" w:line="256" w:before="0" w:after="240"/>
        <w:ind w:left="0" w:right="0" w:firstLine="490"/>
        <w:jc w:val="both"/>
        <w:rPr>
          <w:rFonts w:ascii="Times New Roman;Times;serif" w:hAnsi="Times New Roman;Times;serif"/>
          <w:sz w:val="20"/>
        </w:rPr>
      </w:pPr>
      <w:r>
        <w:rPr>
          <w:rFonts w:ascii="Times New Roman;Times;serif" w:hAnsi="Times New Roman;Times;serif"/>
          <w:sz w:val="20"/>
        </w:rPr>
        <w:t>A summary of the activity for these awards during the nine months ended September 30, 2025 is presented below:</w:t>
      </w:r>
    </w:p>
    <w:tbl>
      <w:tblPr>
        <w:tblW w:w="7438" w:type="dxa"/>
        <w:jc w:val="left"/>
        <w:tblInd w:w="0" w:type="dxa"/>
        <w:tblLayout w:type="fixed"/>
        <w:tblCellMar>
          <w:top w:w="0" w:type="dxa"/>
          <w:left w:w="0" w:type="dxa"/>
          <w:bottom w:w="0" w:type="dxa"/>
          <w:right w:w="0" w:type="dxa"/>
        </w:tblCellMar>
      </w:tblPr>
      <w:tblGrid>
        <w:gridCol w:w="2941"/>
        <w:gridCol w:w="326"/>
        <w:gridCol w:w="109"/>
        <w:gridCol w:w="901"/>
        <w:gridCol w:w="326"/>
        <w:gridCol w:w="674"/>
        <w:gridCol w:w="2161"/>
      </w:tblGrid>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9215" cy="175260"/>
                      <wp:effectExtent l="0" t="0" r="0" b="0"/>
                      <wp:wrapNone/>
                      <wp:docPr id="360" name="Frame3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72135" cy="175260"/>
                      <wp:effectExtent l="0" t="0" r="0" b="0"/>
                      <wp:wrapNone/>
                      <wp:docPr id="361" name="Frame36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27990" cy="175260"/>
                      <wp:effectExtent l="0" t="0" r="0" b="0"/>
                      <wp:wrapNone/>
                      <wp:docPr id="363" name="Frame363"/>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72235" cy="175260"/>
                      <wp:effectExtent l="0" t="0" r="0" b="0"/>
                      <wp:wrapNone/>
                      <wp:docPr id="364" name="Frame36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Non-Vested Restricted Shares</w:t>
            </w:r>
          </w:p>
        </w:tc>
        <w:tc>
          <w:tcPr>
            <w:tcW w:w="326" w:type="dxa"/>
            <w:tcBorders/>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0"/>
              <w:ind w:left="0" w:right="0" w:hanging="0"/>
              <w:jc w:val="left"/>
              <w:rPr/>
            </w:pPr>
            <w:r>
              <w:rPr/>
              <w:t>    </w:t>
            </w:r>
          </w:p>
        </w:tc>
        <w:tc>
          <w:tcPr>
            <w:tcW w:w="2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Fair Value Per Share</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197,794</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117,739</w:t>
            </w:r>
          </w:p>
        </w:tc>
        <w:tc>
          <w:tcPr>
            <w:tcW w:w="32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20.39</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(112,009)</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righ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September 30, 2025</w:t>
            </w:r>
          </w:p>
        </w:tc>
        <w:tc>
          <w:tcPr>
            <w:tcW w:w="32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203,252</w:t>
            </w:r>
          </w:p>
        </w:tc>
        <w:tc>
          <w:tcPr>
            <w:tcW w:w="326"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19.02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NON-EMPLOYEE DIRECTOR STOCK COMPENSATION</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Each member of the Company’s Board of Directors has the option to receive his or her annual cash retainer and applicable committee retainers in shares of Company common stock rather than cash. The number of shares awarded to the directors making such election is calculated quarterly by dividing (i) the sum of (A) the amount of the quarterly retainer payment due to such director, by (ii) the trailing 20-day average price of the Company’s common stock as of the last day of the quarter, rounded down to the nearest whole number of shares.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Each non-employee director serving as of the beginning of each calendar year shall receive an annual award of the Company’s common stock. The value of such award totaled $62,500 for each of the nine months ended September 30, 2025 and 2024 (the “Annual Award”). The number of shares awarded is calculated based on the trailing 20-day average price of the Company’s common stock as of the date two business days prior to the date of the award, rounded down to the nearest whole number of shares.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nine months ended September 30, 2025 and 2024, the expense recognized for the value of the Company’s common stock received by non-employee directors totaled $0.6 million, or 29,653 shares, and $0.6 million, or 33,629 shares, respectively. The expense recognized includes the Annual Award received during the first quarter of each respective year, which totaled $0.3 million during each of the nine month periods ended September 30, 2025 and 2024,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spacing w:val="1"/>
        </w:rPr>
      </w:pPr>
      <w:r>
        <w:rPr>
          <w:spacing w:val="1"/>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20. INCOME TAXES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are subject to applicable U.S. federal, state and local corporate income tax on their taxable income. As of January 1, 2024, the Company owns one TRS, which is subject to federal and applicable state income taxation. The TRS is required to file a separate corporate income tax return. </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 </w:t>
      </w:r>
    </w:p>
    <w:p>
      <w:pPr>
        <w:pStyle w:val="TextBody"/>
        <w:bidi w:val="0"/>
        <w:spacing w:before="280" w:after="120"/>
        <w:ind w:left="0" w:right="0" w:hanging="0"/>
        <w:jc w:val="both"/>
        <w:rPr>
          <w:rFonts w:ascii="Times New Roman;Times;serif" w:hAnsi="Times New Roman;Times;serif"/>
          <w:b/>
          <w:sz w:val="20"/>
        </w:rPr>
      </w:pPr>
      <w:bookmarkStart w:id="1819" w:name="Tc_is7gxu6PrE6LcthI0_6VCQ_4_2"/>
      <w:bookmarkStart w:id="1820" w:name="Tc_tBsGJUzUJUy_UAS8kZmJ5w_4_0"/>
      <w:bookmarkStart w:id="1821" w:name="Tc_VefIAsX5xU-dwmzvOQygbg_3_0"/>
      <w:bookmarkStart w:id="1822" w:name="Tc_0BbcO9g_dUWmZ2WPhvRcwQ_2_2"/>
      <w:bookmarkStart w:id="1823" w:name="Tc_hbGzYG77IEuEJMw5JjW2FQ_2_0"/>
      <w:bookmarkStart w:id="1824" w:name="Tc_kVpDYwxmfUSIXVtp6N7Rng_1_2"/>
      <w:bookmarkStart w:id="1825" w:name="_b8bd35ba_7484_4167_970c_fe69309f0060"/>
      <w:bookmarkStart w:id="1826" w:name="COMMITMENTS"/>
      <w:bookmarkEnd w:id="1819"/>
      <w:bookmarkEnd w:id="1820"/>
      <w:bookmarkEnd w:id="1821"/>
      <w:bookmarkEnd w:id="1822"/>
      <w:bookmarkEnd w:id="1823"/>
      <w:bookmarkEnd w:id="1824"/>
      <w:bookmarkEnd w:id="1825"/>
      <w:bookmarkEnd w:id="1826"/>
      <w:r>
        <w:rPr>
          <w:rFonts w:ascii="Times New Roman;Times;serif" w:hAnsi="Times New Roman;Times;serif"/>
          <w:b/>
          <w:sz w:val="20"/>
        </w:rPr>
        <w:t>NOTE 21. COMMITMENTS AND CONTINGENCIES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legal proceedings cannot be predicted with certainty, the Company is not currently a party to any pending or threatened legal proceedings that we believe could have a material adverse effect on the Company’s business or financial condition.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Contractual Commitments – Expenditures</w:t>
      </w:r>
    </w:p>
    <w:p>
      <w:pPr>
        <w:pStyle w:val="TextBody"/>
        <w:bidi w:val="0"/>
        <w:spacing w:before="0" w:after="0"/>
        <w:ind w:left="0" w:right="0" w:hanging="0"/>
        <w:jc w:val="both"/>
        <w:rPr/>
      </w:pPr>
      <w:r>
        <w:rPr/>
        <w:t>​</w:t>
      </w:r>
    </w:p>
    <w:p>
      <w:pPr>
        <w:pStyle w:val="TextBody"/>
        <w:bidi w:val="0"/>
        <w:spacing w:lineRule="auto" w:line="268"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has committed to fund the following capital improvements. The improvements, which are related to several properties, are estimated to be generally completed within twelve months. These commitments, as of September 30, 2025, are as follows (in thousands): </w:t>
      </w:r>
    </w:p>
    <w:p>
      <w:pPr>
        <w:pStyle w:val="TextBody"/>
        <w:bidi w:val="0"/>
        <w:spacing w:lineRule="auto" w:line="273" w:before="0" w:after="0"/>
        <w:ind w:left="0" w:right="0" w:firstLine="547"/>
        <w:jc w:val="both"/>
        <w:rPr/>
      </w:pPr>
      <w:r>
        <w:rPr/>
        <w:t>​</w:t>
      </w:r>
    </w:p>
    <w:tbl>
      <w:tblPr>
        <w:tblW w:w="4520" w:type="dxa"/>
        <w:jc w:val="left"/>
        <w:tblInd w:w="0" w:type="dxa"/>
        <w:tblLayout w:type="fixed"/>
        <w:tblCellMar>
          <w:top w:w="0" w:type="dxa"/>
          <w:left w:w="0" w:type="dxa"/>
          <w:bottom w:w="0" w:type="dxa"/>
          <w:right w:w="0" w:type="dxa"/>
        </w:tblCellMar>
      </w:tblPr>
      <w:tblGrid>
        <w:gridCol w:w="2131"/>
        <w:gridCol w:w="109"/>
        <w:gridCol w:w="484"/>
        <w:gridCol w:w="179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53185" cy="175260"/>
                      <wp:effectExtent l="0" t="0" r="0" b="0"/>
                      <wp:wrapNone/>
                      <wp:docPr id="365" name="Frame365"/>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9215" cy="175260"/>
                      <wp:effectExtent l="0" t="0" r="0" b="0"/>
                      <wp:wrapNone/>
                      <wp:docPr id="366" name="Frame3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07340" cy="175260"/>
                      <wp:effectExtent l="0" t="0" r="0" b="0"/>
                      <wp:wrapNone/>
                      <wp:docPr id="367" name="Frame367"/>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140460" cy="175260"/>
                      <wp:effectExtent l="0" t="0" r="0" b="0"/>
                      <wp:wrapNone/>
                      <wp:docPr id="368" name="Frame368"/>
                      <a:graphic xmlns:a="http://schemas.openxmlformats.org/drawingml/2006/main">
                        <a:graphicData uri="http://schemas.microsoft.com/office/word/2010/wordprocessingShape">
                          <wps:wsp>
                            <wps:cNvSpPr txBox="1"/>
                            <wps:spPr>
                              <a:xfrm>
                                <a:off x="0" y="0"/>
                                <a:ext cx="114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September 30, 2025</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24,122</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(5,282)</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18,840</w:t>
            </w:r>
          </w:p>
        </w:tc>
      </w:tr>
    </w:tbl>
    <w:tbl>
      <w:tblPr>
        <w:tblW w:w="9516" w:type="dxa"/>
        <w:jc w:val="left"/>
        <w:tblInd w:w="0" w:type="dxa"/>
        <w:tblLayout w:type="fixed"/>
        <w:tblCellMar>
          <w:top w:w="28" w:type="dxa"/>
          <w:left w:w="28" w:type="dxa"/>
          <w:bottom w:w="28" w:type="dxa"/>
          <w:right w:w="28" w:type="dxa"/>
        </w:tblCellMar>
      </w:tblPr>
      <w:tblGrid>
        <w:gridCol w:w="124"/>
        <w:gridCol w:w="271"/>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Commitment includes tenant improvements, leasing commissions, rebranding, facility expansion and other capital improvements.</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unfunded loan commitments under one construction loan, for the Whole Foods Market anchored development in Forsyth County, Georgia, as described in Note 4, “Commercial Loans and Investments.” The unfunded portion of the construction loan totaled $28.2 million as of September 30,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827" w:name="Tc_kjYTf1pZCEKIc4cmI5aahQ_26_11"/>
      <w:bookmarkStart w:id="1828" w:name="Tc_9cZBeWguRUar5KAf9kRqXA_26_0"/>
      <w:bookmarkStart w:id="1829" w:name="Tc_LY7ZSVcs6UqxZYzf_2NANg_25_0"/>
      <w:bookmarkStart w:id="1830" w:name="Tc_krBj_bxPA0OLN9YLPZFGNQ_24_11"/>
      <w:bookmarkStart w:id="1831" w:name="Tc_pTTJAn5HV06_m4QPCGcYKw_24_0"/>
      <w:bookmarkStart w:id="1832" w:name="Tc_J9BNeVBMuEGDZ56CQcnFbg_23_0"/>
      <w:bookmarkStart w:id="1833" w:name="Tc_wpDm2M_NmUaLWafien2wZg_22_0"/>
      <w:bookmarkStart w:id="1834" w:name="Tc_A1MV_2zbZkCkRMsHY2E9HQ_21_0"/>
      <w:bookmarkStart w:id="1835" w:name="Tc_FxGJFgaC_E2e6f73Y41OqA_20_0"/>
      <w:bookmarkStart w:id="1836" w:name="Tc_zfAOm7DgQE6cCSPqDXEtmQ_19_0"/>
      <w:bookmarkStart w:id="1837" w:name="Tc_p6bdPat6UkqKYXQ6-wVDDQ_18_0"/>
      <w:bookmarkStart w:id="1838" w:name="Tc_5Kmbp9zOq0K3OhCeRnwFxw_16_11"/>
      <w:bookmarkStart w:id="1839" w:name="Tc_ESP5cVs9iEOpBfP8739SWw_16_8"/>
      <w:bookmarkStart w:id="1840" w:name="Tc_4RSTH4P21kCL72aZAplLPQ_16_5"/>
      <w:bookmarkStart w:id="1841" w:name="Tc_eRzCoJJLv0SRvtPMAURbmw_16_2"/>
      <w:bookmarkStart w:id="1842" w:name="Tc_Qa5CrlzmikeNY1ZnfhYsBw_16_0"/>
      <w:bookmarkStart w:id="1843" w:name="Tc_Qd-H3sRfa0GN1BnU1t-psw_15_9"/>
      <w:bookmarkStart w:id="1844" w:name="Tc_vI6P-jxXv0qdF3WSVqdLrg_15_6"/>
      <w:bookmarkStart w:id="1845" w:name="Tc_gZ7Ry119j0iX6GtuziMpKA_15_0"/>
      <w:bookmarkStart w:id="1846" w:name="Tc_nzhet5yN9k-FEDeEXCnoUg_14_11"/>
      <w:bookmarkStart w:id="1847" w:name="Tc_ZxDGwrqUQEmYnD-wG_w8hQ_14_8"/>
      <w:bookmarkStart w:id="1848" w:name="Tc_zOprDoLM8UeYijFPfjETbA_14_5"/>
      <w:bookmarkStart w:id="1849" w:name="Tc_uZdVekl_FUWo4ktI-hVjNA_14_2"/>
      <w:bookmarkStart w:id="1850" w:name="Tc_IrT38TBvW06lgltDl3I2iw_14_0"/>
      <w:bookmarkStart w:id="1851" w:name="Tc_-NrwtkR8pkq9Mx-_A0TcRQ_13_9"/>
      <w:bookmarkStart w:id="1852" w:name="Tc_5Iwyjs-6w0W0FbZLe4XGlg_13_6"/>
      <w:bookmarkStart w:id="1853" w:name="Tc_0kRj1i_Y2k2RuR-JjADjsg_13_0"/>
      <w:bookmarkStart w:id="1854" w:name="Tc_jTVz1eUr2keDxuwTxKR7TA_12_6"/>
      <w:bookmarkStart w:id="1855" w:name="Tc_7XTeG2nRnEiBMM7HIqyidg_12_3"/>
      <w:bookmarkStart w:id="1856" w:name="Tc_nrCIyZpujkOddTemRE9-HQ_12_0"/>
      <w:bookmarkStart w:id="1857" w:name="Tc_TuEenO6-8E6UtNXnuNZG2g_11_11"/>
      <w:bookmarkStart w:id="1858" w:name="Tc_oMeXj9clvUWDfFD0OQXyMg_11_8"/>
      <w:bookmarkStart w:id="1859" w:name="Tc_GcW7S2LObkqAT_S3n3pHog_11_5"/>
      <w:bookmarkStart w:id="1860" w:name="Tc_mKbs4Rim-kSo_tWN2n0EPA_11_2"/>
      <w:bookmarkStart w:id="1861" w:name="Tc_WlezpTX2xESYL4c8huOkZQ_11_0"/>
      <w:bookmarkStart w:id="1862" w:name="Tc_WpSni8JB6UuWPyvxq5UGhw_10_11"/>
      <w:bookmarkStart w:id="1863" w:name="Tc_7KMhJUJQ4kC4zm15KF0nEw_10_9"/>
      <w:bookmarkStart w:id="1864" w:name="Tc_yDe0nW40oE-5jhmrPT_Dmw_10_8"/>
      <w:bookmarkStart w:id="1865" w:name="Tc_EWGIMV-iTEK18k07L8PFOQ_10_6"/>
      <w:bookmarkStart w:id="1866" w:name="Tc_bs3DTstTeUmtlj_gAVOpVg_10_5"/>
      <w:bookmarkStart w:id="1867" w:name="Tc_722ixBfxHUiM-UqP1B96Kg_10_2"/>
      <w:bookmarkStart w:id="1868" w:name="Tc_qmtuMFbpL0WSVT_R_-6vKw_10_0"/>
      <w:bookmarkStart w:id="1869" w:name="Tc_h_KYUr73n0iOqHNG891onQ_9_0"/>
      <w:bookmarkStart w:id="1870" w:name="Tc_evSuzeNPjUOnR4mOPTSV5Q_7_11"/>
      <w:bookmarkStart w:id="1871" w:name="Tc_Nn-eIVJfZUC7q8b25Wuoyg_7_8"/>
      <w:bookmarkStart w:id="1872" w:name="Tc_nwLm4UKYE0GoBCL1lfC9CQ_7_5"/>
      <w:bookmarkStart w:id="1873" w:name="Tc_70EB2in15UCik23a43dfqA_7_2"/>
      <w:bookmarkStart w:id="1874" w:name="Tc_zOIXhZ-n5UC599LidvQ85Q_7_0"/>
      <w:bookmarkStart w:id="1875" w:name="Tc_zNtj4U6UPka8cPkeckOLCQ_6_6"/>
      <w:bookmarkStart w:id="1876" w:name="Tc_tcYnD0okykqzr7NKq-ewdg_6_3"/>
      <w:bookmarkStart w:id="1877" w:name="Tc_NR6NpuGsX0i0XACbmGihww_6_0"/>
      <w:bookmarkStart w:id="1878" w:name="Tc_bDbX6GFgS0iWGMmj8vw_tg_5_9"/>
      <w:bookmarkStart w:id="1879" w:name="Tc_2dgWBIlV5UaYmXgGGYmmGw_5_3"/>
      <w:bookmarkStart w:id="1880" w:name="Tc_oeWM-zNXNUK4ezUrcFDhfg_5_0"/>
      <w:bookmarkStart w:id="1881" w:name="Tc_DYCXSR9kmEu5WhtPDt14zg_4_11"/>
      <w:bookmarkStart w:id="1882" w:name="Tc_9MgcjuVGp0SQJTq0PLiXbQ_4_9"/>
      <w:bookmarkStart w:id="1883" w:name="Tc_QQEOZUT-40CFSzSLdV5TZg_4_8"/>
      <w:bookmarkStart w:id="1884" w:name="Tc_WJopo7VRnky73F7tyvNwDw_4_6"/>
      <w:bookmarkStart w:id="1885" w:name="Tc_H9gOg857UUKu3TkmEc_WHQ_4_5"/>
      <w:bookmarkStart w:id="1886" w:name="Tc_RhxN5qM-80SSFVeRxUD9cg_4_2"/>
      <w:bookmarkStart w:id="1887" w:name="Tc_2UJbtZrEtU-GNuvSaY-uug_4_0"/>
      <w:bookmarkStart w:id="1888" w:name="Tc_I4Ge_NCti06P6lFxl-UMvQ_3_0"/>
      <w:bookmarkStart w:id="1889" w:name="Tc_uMRLvLGG50uahDi6EXyPcA_2_11"/>
      <w:bookmarkStart w:id="1890" w:name="Tc_vDz2rMJd00-lQJrKAPNQzg_2_8"/>
      <w:bookmarkStart w:id="1891" w:name="Tc_pZc3GPQRcE2IPwodfwxu-g_2_5"/>
      <w:bookmarkStart w:id="1892" w:name="Tc_VfHknJnzAkOizELpZtv8TQ_2_2"/>
      <w:bookmarkStart w:id="1893" w:name="_8fa4ff72_3882_4a41_8292_cb7847479b93"/>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r>
        <w:rPr>
          <w:rFonts w:ascii="Times New Roman;Times;serif" w:hAnsi="Times New Roman;Times;serif"/>
          <w:b/>
          <w:sz w:val="20"/>
        </w:rPr>
        <w:t>NOTE 22. BUSINESS SEGMENT DATA</w:t>
      </w:r>
    </w:p>
    <w:p>
      <w:pPr>
        <w:pStyle w:val="TextBody"/>
        <w:pBdr/>
        <w:shd w:fill="FFFFFF" w:val="clea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Company operates in four primary business segments: income properties, management services, commercial loans and investments, and real estate operations. The management services segment consists of the revenue generated from managing PINE, the Portfolio Management Agreement and the Subsurface Management Agreement, as described further in Note 5, “Management Services Business.”</w:t>
      </w:r>
    </w:p>
    <w:p>
      <w:pPr>
        <w:pStyle w:val="TextBody"/>
        <w:shd w:fill="FFFFFF" w:val="clear"/>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income property operations consist of income-producing properties, and our business plan is focused on investing in additional income-producing properties. Our income property operations accounted for 88% of our identifiable assets as of September 30, 2025 and December 31, 2024. Our income property operations accounted for 88.6% and 89.0% of our consolidated revenues for the nine months ended September 30, 2025 and 2024, respectively. Our management fee income consists of the management fees earned for the management of PINE, the Portfolio Management Agreement and the Subsurface Management Agreement during the nine months ended September 30, 2025 and 2024. As of September 30, 2025, our commercial loan and investment portfolio consisted of four commercial loan investments and two preferred equity investments which are classified as commercial loan investments. Our real estate operations consists of revenues generated from the sale of and royalty income related to our interests in subsurface oil, gas, and mineral rights, and the sale of mitigation credits. The Company’s assets underlying its real estate operations were sold during the year ended December 31, 2024, therefore, no further revenues are expected from this segment.</w:t>
      </w:r>
    </w:p>
    <w:p>
      <w:pPr>
        <w:pStyle w:val="TextBody"/>
        <w:bidi w:val="0"/>
        <w:spacing w:lineRule="auto" w:line="273" w:before="0" w:after="120"/>
        <w:ind w:left="0" w:right="0" w:firstLine="547"/>
        <w:jc w:val="both"/>
        <w:rPr>
          <w:rFonts w:ascii="Times New Roman;Times;serif" w:hAnsi="Times New Roman;Times;serif"/>
          <w:sz w:val="20"/>
        </w:rPr>
      </w:pPr>
      <w:r>
        <w:rPr>
          <w:rFonts w:ascii="Times New Roman;Times;serif" w:hAnsi="Times New Roman;Times;serif"/>
          <w:sz w:val="20"/>
        </w:rPr>
        <w:t xml:space="preserve">Information about the Company’s operations in different segments for the three months ended September 30, 2025 is as follows (in thousands): </w:t>
      </w:r>
    </w:p>
    <w:tbl>
      <w:tblPr>
        <w:tblW w:w="10205" w:type="dxa"/>
        <w:jc w:val="left"/>
        <w:tblInd w:w="0" w:type="dxa"/>
        <w:tblLayout w:type="fixed"/>
        <w:tblCellMar>
          <w:top w:w="0" w:type="dxa"/>
          <w:left w:w="0" w:type="dxa"/>
          <w:bottom w:w="0" w:type="dxa"/>
          <w:right w:w="0" w:type="dxa"/>
        </w:tblCellMar>
      </w:tblPr>
      <w:tblGrid>
        <w:gridCol w:w="3223"/>
        <w:gridCol w:w="326"/>
        <w:gridCol w:w="271"/>
        <w:gridCol w:w="1016"/>
        <w:gridCol w:w="326"/>
        <w:gridCol w:w="416"/>
        <w:gridCol w:w="1128"/>
        <w:gridCol w:w="326"/>
        <w:gridCol w:w="549"/>
        <w:gridCol w:w="1493"/>
        <w:gridCol w:w="109"/>
        <w:gridCol w:w="211"/>
        <w:gridCol w:w="811"/>
      </w:tblGrid>
      <w:tr>
        <w:trPr/>
        <w:tc>
          <w:tcPr>
            <w:tcW w:w="3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46605" cy="175260"/>
                      <wp:effectExtent l="0" t="0" r="0" b="0"/>
                      <wp:wrapNone/>
                      <wp:docPr id="369" name="Frame369"/>
                      <a:graphic xmlns:a="http://schemas.openxmlformats.org/drawingml/2006/main">
                        <a:graphicData uri="http://schemas.microsoft.com/office/word/2010/wordprocessingShape">
                          <wps:wsp>
                            <wps:cNvSpPr txBox="1"/>
                            <wps:spPr>
                              <a:xfrm>
                                <a:off x="0" y="0"/>
                                <a:ext cx="2046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72085" cy="175260"/>
                      <wp:effectExtent l="0" t="0" r="0" b="0"/>
                      <wp:wrapNone/>
                      <wp:docPr id="371" name="Frame37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5160" cy="175260"/>
                      <wp:effectExtent l="0" t="0" r="0" b="0"/>
                      <wp:wrapNone/>
                      <wp:docPr id="372" name="Frame372"/>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64160" cy="175260"/>
                      <wp:effectExtent l="0" t="0" r="0" b="0"/>
                      <wp:wrapNone/>
                      <wp:docPr id="374" name="Frame374"/>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716280" cy="175260"/>
                      <wp:effectExtent l="0" t="0" r="0" b="0"/>
                      <wp:wrapNone/>
                      <wp:docPr id="375" name="Frame375"/>
                      <a:graphic xmlns:a="http://schemas.openxmlformats.org/drawingml/2006/main">
                        <a:graphicData uri="http://schemas.microsoft.com/office/word/2010/wordprocessingShape">
                          <wps:wsp>
                            <wps:cNvSpPr txBox="1"/>
                            <wps:spPr>
                              <a:xfrm>
                                <a:off x="0" y="0"/>
                                <a:ext cx="716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48615" cy="175260"/>
                      <wp:effectExtent l="0" t="0" r="0" b="0"/>
                      <wp:wrapNone/>
                      <wp:docPr id="377" name="Frame377"/>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948055" cy="175260"/>
                      <wp:effectExtent l="0" t="0" r="0" b="0"/>
                      <wp:wrapNone/>
                      <wp:docPr id="378" name="Frame378"/>
                      <a:graphic xmlns:a="http://schemas.openxmlformats.org/drawingml/2006/main">
                        <a:graphicData uri="http://schemas.microsoft.com/office/word/2010/wordprocessingShape">
                          <wps:wsp>
                            <wps:cNvSpPr txBox="1"/>
                            <wps:spPr>
                              <a:xfrm>
                                <a:off x="0" y="0"/>
                                <a:ext cx="948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9215" cy="175260"/>
                      <wp:effectExtent l="0" t="0" r="0" b="0"/>
                      <wp:wrapNone/>
                      <wp:docPr id="379" name="Frame3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14985" cy="175260"/>
                      <wp:effectExtent l="0" t="0" r="0" b="0"/>
                      <wp:wrapNone/>
                      <wp:docPr id="381" name="Frame38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322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26" w:type="dxa"/>
            <w:tcBorders/>
            <w:vAlign w:val="center"/>
          </w:tcPr>
          <w:p>
            <w:pPr>
              <w:pStyle w:val="TableContents"/>
              <w:bidi w:val="0"/>
              <w:spacing w:before="0" w:after="0"/>
              <w:ind w:left="0" w:right="0" w:hanging="0"/>
              <w:jc w:val="center"/>
              <w:rPr/>
            </w:pPr>
            <w:r>
              <w:rPr/>
              <w:t>    </w:t>
            </w:r>
          </w:p>
        </w:tc>
        <w:tc>
          <w:tcPr>
            <w:tcW w:w="15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26" w:type="dxa"/>
            <w:tcBorders/>
            <w:vAlign w:val="center"/>
          </w:tcPr>
          <w:p>
            <w:pPr>
              <w:pStyle w:val="TableContents"/>
              <w:bidi w:val="0"/>
              <w:spacing w:before="0" w:after="0"/>
              <w:ind w:left="0" w:right="0" w:hanging="0"/>
              <w:jc w:val="left"/>
              <w:rPr/>
            </w:pPr>
            <w:r>
              <w:rPr/>
              <w:t>    </w:t>
            </w:r>
          </w:p>
        </w:tc>
        <w:tc>
          <w:tcPr>
            <w:tcW w:w="2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33,439</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33,439</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33,439</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37,757</w:t>
            </w:r>
          </w:p>
        </w:tc>
      </w:tr>
      <w:tr>
        <w:trPr/>
        <w:tc>
          <w:tcPr>
            <w:tcW w:w="32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(9,274)</w:t>
            </w:r>
          </w:p>
        </w:tc>
        <w:tc>
          <w:tcPr>
            <w:tcW w:w="326" w:type="dxa"/>
            <w:tcBorders/>
            <w:vAlign w:val="center"/>
          </w:tcPr>
          <w:p>
            <w:pPr>
              <w:pStyle w:val="TableContents"/>
              <w:bidi w:val="0"/>
              <w:spacing w:before="0" w:after="0"/>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(9,274)</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24,165</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28,483</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(14,913)</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(14,913)</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9,252</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13,502</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10,625</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14,875</w:t>
            </w:r>
          </w:p>
        </w:tc>
      </w:tr>
      <w:tr>
        <w:trPr/>
        <w:tc>
          <w:tcPr>
            <w:tcW w:w="32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(4,780)</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Loss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(6,833)</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Income Tax Expense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2,972</w:t>
            </w:r>
          </w:p>
        </w:tc>
      </w:tr>
      <w:tr>
        <w:trPr/>
        <w:tc>
          <w:tcPr>
            <w:tcW w:w="3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pPr>
            <w:r>
              <w:rPr/>
              <w:t>​</w:t>
            </w:r>
          </w:p>
        </w:tc>
        <w:tc>
          <w:tcPr>
            <w:tcW w:w="11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549" w:type="dxa"/>
            <w:tcBorders/>
            <w:shd w:fill="CCEEFF" w:val="clear"/>
            <w:vAlign w:val="center"/>
          </w:tcPr>
          <w:p>
            <w:pPr>
              <w:pStyle w:val="TableContents"/>
              <w:bidi w:val="0"/>
              <w:spacing w:before="0" w:after="0"/>
              <w:ind w:left="0" w:right="0" w:hanging="0"/>
              <w:jc w:val="left"/>
              <w:rPr/>
            </w:pPr>
            <w:r>
              <w:rPr/>
              <w:t>​</w:t>
            </w:r>
          </w:p>
        </w:tc>
        <w:tc>
          <w:tcPr>
            <w:tcW w:w="14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3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1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49" w:type="dxa"/>
            <w:tcBorders/>
            <w:vAlign w:val="center"/>
          </w:tcPr>
          <w:p>
            <w:pPr>
              <w:pStyle w:val="TableContents"/>
              <w:bidi w:val="0"/>
              <w:spacing w:before="0" w:after="0"/>
              <w:ind w:left="0" w:right="0" w:hanging="0"/>
              <w:jc w:val="left"/>
              <w:rPr/>
            </w:pPr>
            <w:r>
              <w:rPr/>
              <w:t>​</w:t>
            </w:r>
          </w:p>
        </w:tc>
        <w:tc>
          <w:tcPr>
            <w:tcW w:w="14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2,914</w:t>
            </w:r>
          </w:p>
        </w:tc>
      </w:tr>
    </w:tbl>
    <w:p>
      <w:pPr>
        <w:pStyle w:val="TextBody"/>
        <w:bidi w:val="0"/>
        <w:spacing w:lineRule="auto" w:line="273" w:before="0" w:after="120"/>
        <w:ind w:left="0" w:right="0" w:firstLine="547"/>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1894" w:name="Tc_wvKVA7KUVk6sG2unXk9Rkg_27_14"/>
      <w:bookmarkStart w:id="1895" w:name="Tc_cS_IFNRBn0KjIgRFD-M7Cg_27_0"/>
      <w:bookmarkStart w:id="1896" w:name="Tc_umKIOvcWHEOB4faXK7rlMw_26_0"/>
      <w:bookmarkStart w:id="1897" w:name="Tc_6aq85Ph0iUW718Gl9Pzb6Q_25_14"/>
      <w:bookmarkStart w:id="1898" w:name="Tc_7ah_1xf5Skqz5hsJ7BdNOw_25_0"/>
      <w:bookmarkStart w:id="1899" w:name="Tc_UtjIO-u330WhuOyRsDnhlQ_24_0"/>
      <w:bookmarkStart w:id="1900" w:name="Tc_5N7h-hS67EORNbZFqx8JVg_23_0"/>
      <w:bookmarkStart w:id="1901" w:name="Tc_Qy08ViJVUkiVQRQOt-xo2A_22_0"/>
      <w:bookmarkStart w:id="1902" w:name="Tc_CTaBswpOZUCw4Nane4oMCA_21_0"/>
      <w:bookmarkStart w:id="1903" w:name="Tc_pmVtKBaRsUilZDcdzppCTg_20_0"/>
      <w:bookmarkStart w:id="1904" w:name="Tc_2n4_uwHh8EOwSIBLAkhWqg_18_14"/>
      <w:bookmarkStart w:id="1905" w:name="Tc_E_ATmeQxQ0OUJREW9Y3QQg_18_11"/>
      <w:bookmarkStart w:id="1906" w:name="Tc_pdKRu2SJdEqrUlIEzNwMVA_18_8"/>
      <w:bookmarkStart w:id="1907" w:name="Tc_IRYcHucB7kGfJW2FIpxaYw_18_5"/>
      <w:bookmarkStart w:id="1908" w:name="Tc_Qwekq6pLb0OZeAOj05lRcA_18_2"/>
      <w:bookmarkStart w:id="1909" w:name="Tc_JUlF51zmAkaxm9Ut_GEuRA_18_0"/>
      <w:bookmarkStart w:id="1910" w:name="Tc_PJZNY_0AlUuRcfNIfn_lmA_17_12"/>
      <w:bookmarkStart w:id="1911" w:name="Tc_Y8GzajXMHEeqkI7L_KfmJg_17_9"/>
      <w:bookmarkStart w:id="1912" w:name="Tc_FJbR9TL6MkSPtBt0Y62zYA_17_6"/>
      <w:bookmarkStart w:id="1913" w:name="Tc_1XLIMAiLeUKXIE_5PobcWA_17_0"/>
      <w:bookmarkStart w:id="1914" w:name="Tc_AQK5FuQV00-DYwohGJ37rw_16_14"/>
      <w:bookmarkStart w:id="1915" w:name="Tc_K_spgEHy4EC3dnfiSfopFA_16_11"/>
      <w:bookmarkStart w:id="1916" w:name="Tc_3HM24BsU10CEMNiEUvOL4w_16_8"/>
      <w:bookmarkStart w:id="1917" w:name="Tc_DF8jbZjJwES6V4FrI0bOhg_16_5"/>
      <w:bookmarkStart w:id="1918" w:name="Tc_wGXUIymVikidzSLa7zcCLg_16_2"/>
      <w:bookmarkStart w:id="1919" w:name="Tc_AY3AS0q9J0CX4iZegAyd8g_16_0"/>
      <w:bookmarkStart w:id="1920" w:name="Tc_KTlrzMOPmEKukFSKUpJSOQ_15_12"/>
      <w:bookmarkStart w:id="1921" w:name="Tc_iuudzpHfEU-xC5RgJWlftQ_15_9"/>
      <w:bookmarkStart w:id="1922" w:name="Tc_4k8t1y7_fkqD0iUlcZr7Jw_15_6"/>
      <w:bookmarkStart w:id="1923" w:name="Tc_wTPB4oW6y0-kMxNwP0jI1Q_15_0"/>
      <w:bookmarkStart w:id="1924" w:name="Tc_C2-noI0vFEGc45zL4u7EsQ_14_12"/>
      <w:bookmarkStart w:id="1925" w:name="Tc_O48QkbwtWUmYToZv_YG7bg_14_6"/>
      <w:bookmarkStart w:id="1926" w:name="Tc_djxko7nqbUuIk4kXZufdmA_14_3"/>
      <w:bookmarkStart w:id="1927" w:name="Tc_r-btuKy7I0mv4Y3mDDwGcA_14_0"/>
      <w:bookmarkStart w:id="1928" w:name="Tc_p8_NqK_mmE2frnoeJWB1MA_13_14"/>
      <w:bookmarkStart w:id="1929" w:name="Tc_0HOlp-3EmUGCerDE5jno6w_13_11"/>
      <w:bookmarkStart w:id="1930" w:name="Tc_hZArzgmrq06Jtz91ThjFjw_13_8"/>
      <w:bookmarkStart w:id="1931" w:name="Tc_TXF4WqsBok66zKa00SujaQ_13_5"/>
      <w:bookmarkStart w:id="1932" w:name="Tc_-OLqRFThs0qbCCrx4V5JeQ_13_2"/>
      <w:bookmarkStart w:id="1933" w:name="Tc_DZGs-wjv2UWJj4gY0dbU0w_13_0"/>
      <w:bookmarkStart w:id="1934" w:name="Tc_MFq2nHuRi06W_D2Z2n5Wow_12_9"/>
      <w:bookmarkStart w:id="1935" w:name="Tc_PXR1M5MFRUiui5MCAOzZeA_12_6"/>
      <w:bookmarkStart w:id="1936" w:name="Tc_noslrkwj50q1PFLEFBIziQ_12_3"/>
      <w:bookmarkStart w:id="1937" w:name="Tc_QKwUbyFWjk2SBTLt96YkQA_12_0"/>
      <w:bookmarkStart w:id="1938" w:name="Tc_52Ww87iozEGl6OXGK19o9Q_11_14"/>
      <w:bookmarkStart w:id="1939" w:name="Tc_QyfV7FSIkU67UgurydxZxQ_11_12"/>
      <w:bookmarkStart w:id="1940" w:name="Tc_W118_PzpnEymzA_8sshyGg_11_11"/>
      <w:bookmarkStart w:id="1941" w:name="Tc_9njb3EiSdke2LbWVGYkvpQ_11_9"/>
      <w:bookmarkStart w:id="1942" w:name="Tc_jxlQD9avIEO2j7XQpHvuIA_11_8"/>
      <w:bookmarkStart w:id="1943" w:name="Tc_utsDck40eUakAb_ryVQ6dA_11_6"/>
      <w:bookmarkStart w:id="1944" w:name="Tc_0xCh8efpRUOoE4OeFnFHVw_11_5"/>
      <w:bookmarkStart w:id="1945" w:name="Tc_v6LUqseDeki68qYzixiLLg_11_2"/>
      <w:bookmarkStart w:id="1946" w:name="Tc_aJuXcBW9S0iglo7RiOIPnQ_11_0"/>
      <w:bookmarkStart w:id="1947" w:name="Tc_Ti7Xac819U-wO6C4SXxESw_10_0"/>
      <w:bookmarkStart w:id="1948" w:name="Tc_5qo3BQOjck2bPICezWkRgQ_8_14"/>
      <w:bookmarkStart w:id="1949" w:name="Tc_LmPGiMK4E0yr8tW-vCZ5aQ_8_11"/>
      <w:bookmarkStart w:id="1950" w:name="Tc_mwFvS_Bmlk-AHuGwexD8pw_8_8"/>
      <w:bookmarkStart w:id="1951" w:name="Tc_E1MWN09k-U24gC3H3muaeQ_8_5"/>
      <w:bookmarkStart w:id="1952" w:name="Tc_beq7CCzeokipQJiAgvqf5w_8_2"/>
      <w:bookmarkStart w:id="1953" w:name="Tc_AzYEdD5kYE6fiJIW5PKgyQ_8_0"/>
      <w:bookmarkStart w:id="1954" w:name="Tc_5IIKK21HCkih_pPlfJReaA_7_9"/>
      <w:bookmarkStart w:id="1955" w:name="Tc_WR4zba-Y-kaa_t4v7Sinjw_7_6"/>
      <w:bookmarkStart w:id="1956" w:name="Tc__dWPfP1j9EmhkgUAknUvjA_7_3"/>
      <w:bookmarkStart w:id="1957" w:name="Tc_jsx5jh9o30CsCGBjRz8QNA_7_0"/>
      <w:bookmarkStart w:id="1958" w:name="Tc_7s22e-DtyEurPuON-An8hA_6_12"/>
      <w:bookmarkStart w:id="1959" w:name="Tc_MHYN54MqSU2w59UqMcIFvw_6_6"/>
      <w:bookmarkStart w:id="1960" w:name="Tc_AdAFzCgonU6cUAkT5ob7ew_6_3"/>
      <w:bookmarkStart w:id="1961" w:name="Tc_5wmcQjiUs0aa1hQ5Qj3IMw_6_0"/>
      <w:bookmarkStart w:id="1962" w:name="Tc_0-CYCcJTsUW3Ks9OzdA_Cg_5_12"/>
      <w:bookmarkStart w:id="1963" w:name="Tc_ZDiua7-mTESJ72APPNFKJg_5_9"/>
      <w:bookmarkStart w:id="1964" w:name="Tc_rBJGWKt550inufi85TWLlg_5_3"/>
      <w:bookmarkStart w:id="1965" w:name="Tc_z8HsmqIvEk2wa19IoYmq9g_5_0"/>
      <w:bookmarkStart w:id="1966" w:name="Tc_2HY_-UBPvkae3EhDO5nLlw_4_14"/>
      <w:bookmarkStart w:id="1967" w:name="Tc_S3TJ_Of8VUWG5GGBuc84Sw_4_12"/>
      <w:bookmarkStart w:id="1968" w:name="Tc_vWOAmsO9VkijwFiIznNc2A_4_11"/>
      <w:bookmarkStart w:id="1969" w:name="Tc_3yoU7Wv_DkGtAQDDUi8G6A_4_9"/>
      <w:bookmarkStart w:id="1970" w:name="Tc_BNkA6R66rUuGsvws3OQfEg_4_8"/>
      <w:bookmarkStart w:id="1971" w:name="Tc_4mHb5VnfykOag9iq5XBXRw_4_6"/>
      <w:bookmarkStart w:id="1972" w:name="Tc_cwSzjjpnuEC3ly4UjXWPSw_4_5"/>
      <w:bookmarkStart w:id="1973" w:name="Tc_oFRs83_6_UCZWJES2-ZBLw_4_2"/>
      <w:bookmarkStart w:id="1974" w:name="Tc_OIp6XSBe5kWIOGQuJ9tmVQ_4_0"/>
      <w:bookmarkStart w:id="1975" w:name="Tc_pikmJsUidkS0hje_kp_e3Q_3_0"/>
      <w:bookmarkStart w:id="1976" w:name="Tc_TB2qvatTXUaba4gNMZmVoA_2_14"/>
      <w:bookmarkStart w:id="1977" w:name="Tc_y31gvlIL8EauIAigDLW17Q_2_11"/>
      <w:bookmarkStart w:id="1978" w:name="Tc_xjEzujXtL0ufzZJZftoYoQ_2_8"/>
      <w:bookmarkStart w:id="1979" w:name="Tc_OxDdBHtaR0WX3pUym4tVsA_2_5"/>
      <w:bookmarkStart w:id="1980" w:name="Tc_3a82sYHm2EWuawBFxfgeFg_2_2"/>
      <w:bookmarkStart w:id="1981" w:name="_98dbf280_c348_43f7_beb7_8bc8f8612099"/>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r>
        <w:rPr>
          <w:rFonts w:ascii="Times New Roman;Times;serif" w:hAnsi="Times New Roman;Times;serif"/>
          <w:sz w:val="20"/>
        </w:rPr>
        <w:t>Information about the Company’s operations in different segments for the three months ended September 30, 2024 is as follows (in thousands):</w:t>
      </w:r>
    </w:p>
    <w:tbl>
      <w:tblPr>
        <w:tblW w:w="10205" w:type="dxa"/>
        <w:jc w:val="left"/>
        <w:tblInd w:w="0" w:type="dxa"/>
        <w:tblLayout w:type="fixed"/>
        <w:tblCellMar>
          <w:top w:w="0" w:type="dxa"/>
          <w:left w:w="0" w:type="dxa"/>
          <w:bottom w:w="0" w:type="dxa"/>
          <w:right w:w="0" w:type="dxa"/>
        </w:tblCellMar>
      </w:tblPr>
      <w:tblGrid>
        <w:gridCol w:w="2423"/>
        <w:gridCol w:w="326"/>
        <w:gridCol w:w="246"/>
        <w:gridCol w:w="919"/>
        <w:gridCol w:w="326"/>
        <w:gridCol w:w="380"/>
        <w:gridCol w:w="1030"/>
        <w:gridCol w:w="326"/>
        <w:gridCol w:w="453"/>
        <w:gridCol w:w="1233"/>
        <w:gridCol w:w="109"/>
        <w:gridCol w:w="399"/>
        <w:gridCol w:w="913"/>
        <w:gridCol w:w="109"/>
        <w:gridCol w:w="211"/>
        <w:gridCol w:w="802"/>
      </w:tblGrid>
      <w:tr>
        <w:trPr/>
        <w:tc>
          <w:tcPr>
            <w:tcW w:w="2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538605" cy="175260"/>
                      <wp:effectExtent l="0" t="0" r="0" b="0"/>
                      <wp:wrapNone/>
                      <wp:docPr id="382" name="Frame382"/>
                      <a:graphic xmlns:a="http://schemas.openxmlformats.org/drawingml/2006/main">
                        <a:graphicData uri="http://schemas.microsoft.com/office/word/2010/wordprocessingShape">
                          <wps:wsp>
                            <wps:cNvSpPr txBox="1"/>
                            <wps:spPr>
                              <a:xfrm>
                                <a:off x="0" y="0"/>
                                <a:ext cx="153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56210" cy="175260"/>
                      <wp:effectExtent l="0" t="0" r="0" b="0"/>
                      <wp:wrapNone/>
                      <wp:docPr id="384" name="Frame38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83565" cy="175260"/>
                      <wp:effectExtent l="0" t="0" r="0" b="0"/>
                      <wp:wrapNone/>
                      <wp:docPr id="385" name="Frame385"/>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41300" cy="175260"/>
                      <wp:effectExtent l="0" t="0" r="0" b="0"/>
                      <wp:wrapNone/>
                      <wp:docPr id="387" name="Frame387"/>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54050" cy="175260"/>
                      <wp:effectExtent l="0" t="0" r="0" b="0"/>
                      <wp:wrapNone/>
                      <wp:docPr id="388" name="Frame388"/>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87655" cy="175260"/>
                      <wp:effectExtent l="0" t="0" r="0" b="0"/>
                      <wp:wrapNone/>
                      <wp:docPr id="390" name="Frame390"/>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782955" cy="175260"/>
                      <wp:effectExtent l="0" t="0" r="0" b="0"/>
                      <wp:wrapNone/>
                      <wp:docPr id="391" name="Frame391"/>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53365" cy="175260"/>
                      <wp:effectExtent l="0" t="0" r="0" b="0"/>
                      <wp:wrapNone/>
                      <wp:docPr id="393" name="Frame393"/>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579755" cy="175260"/>
                      <wp:effectExtent l="0" t="0" r="0" b="0"/>
                      <wp:wrapNone/>
                      <wp:docPr id="394" name="Frame394"/>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9215" cy="175260"/>
                      <wp:effectExtent l="0" t="0" r="0" b="0"/>
                      <wp:wrapNone/>
                      <wp:docPr id="395" name="Frame3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09270" cy="175260"/>
                      <wp:effectExtent l="0" t="0" r="0" b="0"/>
                      <wp:wrapNone/>
                      <wp:docPr id="397" name="Frame397"/>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r>
      <w:tr>
        <w:trPr/>
        <w:tc>
          <w:tcPr>
            <w:tcW w:w="24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26" w:type="dxa"/>
            <w:tcBorders/>
            <w:vAlign w:val="center"/>
          </w:tcPr>
          <w:p>
            <w:pPr>
              <w:pStyle w:val="TableContents"/>
              <w:bidi w:val="0"/>
              <w:spacing w:before="0" w:after="1"/>
              <w:ind w:left="0" w:right="0" w:hanging="0"/>
              <w:jc w:val="center"/>
              <w:rPr/>
            </w:pPr>
            <w:r>
              <w:rPr/>
              <w:t>    </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26" w:type="dxa"/>
            <w:tcBorders/>
            <w:vAlign w:val="center"/>
          </w:tcPr>
          <w:p>
            <w:pPr>
              <w:pStyle w:val="TableContents"/>
              <w:bidi w:val="0"/>
              <w:spacing w:before="0" w:after="1"/>
              <w:ind w:left="0" w:right="0" w:hanging="0"/>
              <w:jc w:val="left"/>
              <w:rPr/>
            </w:pPr>
            <w:r>
              <w:rPr/>
              <w:t>    </w:t>
            </w:r>
          </w:p>
        </w:tc>
        <w:tc>
          <w:tcPr>
            <w:tcW w:w="16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13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Real Estate Operations</w:t>
            </w:r>
          </w:p>
        </w:tc>
        <w:tc>
          <w:tcPr>
            <w:tcW w:w="109" w:type="dxa"/>
            <w:tcBorders/>
            <w:vAlign w:val="center"/>
          </w:tcPr>
          <w:p>
            <w:pPr>
              <w:pStyle w:val="TableContents"/>
              <w:bidi w:val="0"/>
              <w:spacing w:before="0" w:after="1"/>
              <w:ind w:left="0" w:right="0" w:hanging="0"/>
              <w:jc w:val="center"/>
              <w:rPr/>
            </w:pPr>
            <w:r>
              <w:rPr/>
              <w:t>​</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28,528</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28,528</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1,615</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1,615</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28,528</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1,615</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31,805</w:t>
            </w:r>
          </w:p>
        </w:tc>
      </w:tr>
      <w:tr>
        <w:trPr/>
        <w:tc>
          <w:tcPr>
            <w:tcW w:w="24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(7,797)</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(7,797)</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20,731</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1,615</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23,649</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(13,204)</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(13,204)</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7,527</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9,907</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Disposition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6,672</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9,052</w:t>
            </w:r>
          </w:p>
        </w:tc>
      </w:tr>
      <w:tr>
        <w:trPr/>
        <w:tc>
          <w:tcPr>
            <w:tcW w:w="24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(4,075)</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7,031</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(5,632)</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Before 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6,359</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99"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99"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6,227</w:t>
            </w:r>
          </w:p>
        </w:tc>
      </w:tr>
    </w:tbl>
    <w:p>
      <w:pPr>
        <w:pStyle w:val="TextBody"/>
        <w:bidi w:val="0"/>
        <w:spacing w:before="0" w:after="12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1982" w:name="Tc_syjuBVMDR0-TBooVx4GJ9w_25_11"/>
      <w:bookmarkStart w:id="1983" w:name="Tc_vk2hsVz2UES1lgisznrrPw_25_0"/>
      <w:bookmarkStart w:id="1984" w:name="Tc_jIyf1qXALU2Qm0Eh8DhPQA_24_0"/>
      <w:bookmarkStart w:id="1985" w:name="Tc_gQWQws5wS0-WZvsyfO695A_23_11"/>
      <w:bookmarkStart w:id="1986" w:name="Tc_FcGv4G3OS0u80qrxEhfM3Q_23_0"/>
      <w:bookmarkStart w:id="1987" w:name="Tc_GiRDaqqKMUmH9jK0FLzVAg_22_0"/>
      <w:bookmarkStart w:id="1988" w:name="Tc_cqVQ4eimsUOnrhtjNgq1Mg_21_0"/>
      <w:bookmarkStart w:id="1989" w:name="Tc_K2u6cecQ9kOwC_ba1ws9Yw_20_0"/>
      <w:bookmarkStart w:id="1990" w:name="Tc_N39uDmd-tkaRnwuGgMH8GA_19_0"/>
      <w:bookmarkStart w:id="1991" w:name="Tc_QMvLEzmNoEeURVAeTqZT9Q_18_0"/>
      <w:bookmarkStart w:id="1992" w:name="Tc_TVuap8yX2kmxP-co04JoXQ_17_0"/>
      <w:bookmarkStart w:id="1993" w:name="Tc_1OJ6FWmnMkm6W7aBmN1WxQ_15_11"/>
      <w:bookmarkStart w:id="1994" w:name="Tc_neEg5j-9bUW1igbN6DJjjA_15_8"/>
      <w:bookmarkStart w:id="1995" w:name="Tc_4qEi1Xjge0WlbwOFu4PHtA_15_5"/>
      <w:bookmarkStart w:id="1996" w:name="Tc_AgC0UeCPNEiKfZnEMWDiqw_15_2"/>
      <w:bookmarkStart w:id="1997" w:name="Tc_YyaU-UueV0CZUE-IGI1RAw_15_0"/>
      <w:bookmarkStart w:id="1998" w:name="Tc_CpdaAC7BqUKKw5u1lGRkpQ_14_9"/>
      <w:bookmarkStart w:id="1999" w:name="Tc_XWIan-eb2E2BGQjnaO1Msg_14_6"/>
      <w:bookmarkStart w:id="2000" w:name="Tc_Nif48AKzqE-CDJcLbMBYpw_14_0"/>
      <w:bookmarkStart w:id="2001" w:name="Tc_bmXb7o7rQ0GawSk4rNn7SA_13_11"/>
      <w:bookmarkStart w:id="2002" w:name="Tc_xnT7cKYXskS7wertrFSOgg_13_8"/>
      <w:bookmarkStart w:id="2003" w:name="Tc_0zuCfVXKi0mri4yd_J2zJQ_13_5"/>
      <w:bookmarkStart w:id="2004" w:name="Tc_3IHybDFgdkqvx26t724umA_13_2"/>
      <w:bookmarkStart w:id="2005" w:name="Tc_C7JheRzpHEm7_AEWKCGTKw_13_0"/>
      <w:bookmarkStart w:id="2006" w:name="Tc_8JBinFNcJkO_xNZWr6ebaA_12_9"/>
      <w:bookmarkStart w:id="2007" w:name="Tc_6YgeuzOfSU-qymHLoMIDXw_12_6"/>
      <w:bookmarkStart w:id="2008" w:name="Tc_MwfqGEv00kOkV1sX9yRNrA_12_0"/>
      <w:bookmarkStart w:id="2009" w:name="Tc_e2ulnJC68UCdN73pL3zBqQ_11_6"/>
      <w:bookmarkStart w:id="2010" w:name="Tc_k1WK4RyvwEiamhPgDxUK3g_11_3"/>
      <w:bookmarkStart w:id="2011" w:name="Tc_X0GJM41OLkevpWxtFD4aqA_11_0"/>
      <w:bookmarkStart w:id="2012" w:name="Tc_H8CW4Ncia0CD7nq3yF3z7g_10_11"/>
      <w:bookmarkStart w:id="2013" w:name="Tc_Vnzsv2t5eUmhd4b-0fvYvA_10_8"/>
      <w:bookmarkStart w:id="2014" w:name="Tc_JOugIlFFq0S6rkqx8M_BUQ_10_5"/>
      <w:bookmarkStart w:id="2015" w:name="Tc_rk1x8pQ7zU6dXWwWpdCJpA_10_2"/>
      <w:bookmarkStart w:id="2016" w:name="Tc_o-9_mERoGUOCiEyqmvvNrw_10_0"/>
      <w:bookmarkStart w:id="2017" w:name="Tc_NC0QT4hCP0OxA7QS43bFSA_9_11"/>
      <w:bookmarkStart w:id="2018" w:name="Tc_SAcmX4qCMki6tNXk-qJ9PA_9_9"/>
      <w:bookmarkStart w:id="2019" w:name="Tc_dg64CDEVBUKJSjQFuKMrJA_9_8"/>
      <w:bookmarkStart w:id="2020" w:name="Tc_QvPfu561nE-QltXBRrL-6g_9_6"/>
      <w:bookmarkStart w:id="2021" w:name="Tc_m4u1T89_VECStxEpqFtsGw_9_5"/>
      <w:bookmarkStart w:id="2022" w:name="Tc_ADaZE-SlCkCRvKBNNu1X-g_9_2"/>
      <w:bookmarkStart w:id="2023" w:name="Tc_4biOOtO-Fkur5Rr692d16g_9_0"/>
      <w:bookmarkStart w:id="2024" w:name="Tc_x9W79icRb0GUHlX1XLKcmQ_8_0"/>
      <w:bookmarkStart w:id="2025" w:name="Tc_wV375pPDhk2LNeIUSlYkEA_6_11"/>
      <w:bookmarkStart w:id="2026" w:name="Tc_byMr1wLei025yoYL1nKDoA_6_8"/>
      <w:bookmarkStart w:id="2027" w:name="Tc_kcoqmPL9PkipndZrMdvB8g_6_5"/>
      <w:bookmarkStart w:id="2028" w:name="Tc_DWo7vJeFxEC3l1BY2A8ZZg_6_2"/>
      <w:bookmarkStart w:id="2029" w:name="Tc_zHQaHzBmCESxgJEoR1kBTw_6_0"/>
      <w:bookmarkStart w:id="2030" w:name="Tc_IWWFJauCjUqhO9KzoEzKSw_5_6"/>
      <w:bookmarkStart w:id="2031" w:name="Tc_IDqigCdgsEyH9Ed905fCbQ_5_3"/>
      <w:bookmarkStart w:id="2032" w:name="Tc_rVSIPD4udkSZJOC-P_S1ag_5_0"/>
      <w:bookmarkStart w:id="2033" w:name="Tc_H_Rb5QgcTU6UStbQEGJqMg_4_9"/>
      <w:bookmarkStart w:id="2034" w:name="Tc_syEcUiqpu0CT8VrouB95jQ_4_3"/>
      <w:bookmarkStart w:id="2035" w:name="Tc_IbvVcJn_AE-L7dvtFyfhHQ_4_0"/>
      <w:bookmarkStart w:id="2036" w:name="Tc_mZcULtV7T02YJoRts-ahYA_3_11"/>
      <w:bookmarkStart w:id="2037" w:name="Tc_lSH12ljlm0u0U5wOYSi7Xg_3_9"/>
      <w:bookmarkStart w:id="2038" w:name="Tc_CURUVY1320eHuhxwP5UQKg_3_8"/>
      <w:bookmarkStart w:id="2039" w:name="Tc_cK8p7KQ_Y0uBPwzyR6CEQQ_3_6"/>
      <w:bookmarkStart w:id="2040" w:name="Tc_jP3kFakqBkiF0uKSxSmLHw_3_5"/>
      <w:bookmarkStart w:id="2041" w:name="Tc_EdcPF_J6HUONWmV6iAUfaQ_3_2"/>
      <w:bookmarkStart w:id="2042" w:name="Tc_xvWzbUUCl0KmRpc1iV9_Yg_3_0"/>
      <w:bookmarkStart w:id="2043" w:name="Tc_vzQGap2UKUWc_UjWXRLrdQ_2_0"/>
      <w:bookmarkStart w:id="2044" w:name="Tc_FF4DsGj-XEGPqzpx21v6dg_1_11"/>
      <w:bookmarkStart w:id="2045" w:name="Tc_gNFl9_TpaUWM_QIAz2D11Q_1_8"/>
      <w:bookmarkStart w:id="2046" w:name="Tc_-jG1MA0Jy0-F30BFJ5xWLA_1_5"/>
      <w:bookmarkStart w:id="2047" w:name="Tc_6pgoa3PZ-k-WLjHLbGKwag_1_2"/>
      <w:bookmarkStart w:id="2048" w:name="_8a1af24e_ff53_4eb4_b14e_21d538482f50"/>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r>
        <w:rPr>
          <w:rFonts w:ascii="Times New Roman;Times;serif" w:hAnsi="Times New Roman;Times;serif"/>
          <w:sz w:val="20"/>
        </w:rPr>
        <w:t>Information about the Company’s operations in different segments for the nine months ended September 30, 2025 is as follows (in thousands):</w:t>
      </w:r>
    </w:p>
    <w:tbl>
      <w:tblPr>
        <w:tblW w:w="10205" w:type="dxa"/>
        <w:jc w:val="left"/>
        <w:tblInd w:w="0" w:type="dxa"/>
        <w:tblLayout w:type="fixed"/>
        <w:tblCellMar>
          <w:top w:w="0" w:type="dxa"/>
          <w:left w:w="0" w:type="dxa"/>
          <w:bottom w:w="0" w:type="dxa"/>
          <w:right w:w="0" w:type="dxa"/>
        </w:tblCellMar>
      </w:tblPr>
      <w:tblGrid>
        <w:gridCol w:w="3209"/>
        <w:gridCol w:w="326"/>
        <w:gridCol w:w="271"/>
        <w:gridCol w:w="1014"/>
        <w:gridCol w:w="326"/>
        <w:gridCol w:w="416"/>
        <w:gridCol w:w="1127"/>
        <w:gridCol w:w="326"/>
        <w:gridCol w:w="547"/>
        <w:gridCol w:w="1488"/>
        <w:gridCol w:w="109"/>
        <w:gridCol w:w="211"/>
        <w:gridCol w:w="835"/>
      </w:tblGrid>
      <w:tr>
        <w:trPr/>
        <w:tc>
          <w:tcPr>
            <w:tcW w:w="32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72085" cy="175260"/>
                      <wp:effectExtent l="0" t="0" r="0" b="0"/>
                      <wp:wrapNone/>
                      <wp:docPr id="399" name="Frame39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3890" cy="175260"/>
                      <wp:effectExtent l="0" t="0" r="0" b="0"/>
                      <wp:wrapNone/>
                      <wp:docPr id="400" name="Frame400"/>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64160" cy="175260"/>
                      <wp:effectExtent l="0" t="0" r="0" b="0"/>
                      <wp:wrapNone/>
                      <wp:docPr id="402" name="Frame402"/>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715645" cy="175260"/>
                      <wp:effectExtent l="0" t="0" r="0" b="0"/>
                      <wp:wrapNone/>
                      <wp:docPr id="403" name="Frame403"/>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347345" cy="175260"/>
                      <wp:effectExtent l="0" t="0" r="0" b="0"/>
                      <wp:wrapNone/>
                      <wp:docPr id="405" name="Frame405"/>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944880" cy="175260"/>
                      <wp:effectExtent l="0" t="0" r="0" b="0"/>
                      <wp:wrapNone/>
                      <wp:docPr id="406" name="Frame406"/>
                      <a:graphic xmlns:a="http://schemas.openxmlformats.org/drawingml/2006/main">
                        <a:graphicData uri="http://schemas.microsoft.com/office/word/2010/wordprocessingShape">
                          <wps:wsp>
                            <wps:cNvSpPr txBox="1"/>
                            <wps:spPr>
                              <a:xfrm>
                                <a:off x="0" y="0"/>
                                <a:ext cx="944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9215" cy="175260"/>
                      <wp:effectExtent l="0" t="0" r="0" b="0"/>
                      <wp:wrapNone/>
                      <wp:docPr id="407" name="Frame4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30225" cy="175260"/>
                      <wp:effectExtent l="0" t="0" r="0" b="0"/>
                      <wp:wrapNone/>
                      <wp:docPr id="409" name="Frame409"/>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26" w:type="dxa"/>
            <w:tcBorders/>
            <w:vAlign w:val="center"/>
          </w:tcPr>
          <w:p>
            <w:pPr>
              <w:pStyle w:val="TableContents"/>
              <w:bidi w:val="0"/>
              <w:spacing w:before="0" w:after="1"/>
              <w:ind w:left="0" w:right="0" w:hanging="0"/>
              <w:jc w:val="center"/>
              <w:rPr/>
            </w:pPr>
            <w:r>
              <w:rPr/>
              <w:t>    </w:t>
            </w:r>
          </w:p>
        </w:tc>
        <w:tc>
          <w:tcPr>
            <w:tcW w:w="15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26" w:type="dxa"/>
            <w:tcBorders/>
            <w:vAlign w:val="center"/>
          </w:tcPr>
          <w:p>
            <w:pPr>
              <w:pStyle w:val="TableContents"/>
              <w:bidi w:val="0"/>
              <w:spacing w:before="0" w:after="1"/>
              <w:ind w:left="0" w:right="0" w:hanging="0"/>
              <w:jc w:val="left"/>
              <w:rPr/>
            </w:pPr>
            <w:r>
              <w:rPr/>
              <w:t>    </w:t>
            </w:r>
          </w:p>
        </w:tc>
        <w:tc>
          <w:tcPr>
            <w:tcW w:w="2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148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pPr>
            <w:r>
              <w:rPr/>
              <w:t>​</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98,486</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98,486</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3,601</w:t>
            </w:r>
          </w:p>
        </w:tc>
        <w:tc>
          <w:tcPr>
            <w:tcW w:w="326" w:type="dxa"/>
            <w:tcBorders/>
            <w:shd w:fill="CCEEFF" w:val="clear"/>
            <w:vAlign w:val="center"/>
          </w:tcPr>
          <w:p>
            <w:pPr>
              <w:pStyle w:val="TableContents"/>
              <w:bidi w:val="0"/>
              <w:spacing w:before="0" w:after="1"/>
              <w:ind w:left="0" w:right="0" w:hanging="0"/>
              <w:jc w:val="righ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148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3,601</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9,119</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9,119</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98,486</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3,601</w:t>
            </w:r>
          </w:p>
        </w:tc>
        <w:tc>
          <w:tcPr>
            <w:tcW w:w="326" w:type="dxa"/>
            <w:tcBorders/>
            <w:shd w:fill="CCEEFF" w:val="clear"/>
            <w:vAlign w:val="center"/>
          </w:tcPr>
          <w:p>
            <w:pPr>
              <w:pStyle w:val="TableContents"/>
              <w:bidi w:val="0"/>
              <w:spacing w:before="0" w:after="1"/>
              <w:ind w:left="0" w:right="0" w:hanging="0"/>
              <w:jc w:val="right"/>
              <w:rPr/>
            </w:pPr>
            <w:r>
              <w:rPr/>
              <w:t>​</w:t>
            </w:r>
          </w:p>
        </w:tc>
        <w:tc>
          <w:tcPr>
            <w:tcW w:w="5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111,206</w:t>
            </w:r>
          </w:p>
        </w:tc>
      </w:tr>
      <w:tr>
        <w:trPr/>
        <w:tc>
          <w:tcPr>
            <w:tcW w:w="32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7" w:type="dxa"/>
            <w:tcBorders/>
            <w:vAlign w:val="center"/>
          </w:tcPr>
          <w:p>
            <w:pPr>
              <w:pStyle w:val="TableContents"/>
              <w:bidi w:val="0"/>
              <w:spacing w:before="0" w:after="1"/>
              <w:ind w:left="0" w:right="0" w:hanging="0"/>
              <w:jc w:val="left"/>
              <w:rPr/>
            </w:pPr>
            <w:r>
              <w:rPr/>
              <w:t>​</w:t>
            </w:r>
          </w:p>
        </w:tc>
        <w:tc>
          <w:tcPr>
            <w:tcW w:w="148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pPr>
            <w:r>
              <w:rPr/>
              <w:t>​</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148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pPr>
            <w:r>
              <w:rPr/>
              <w:t>​</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(28,343)</w:t>
            </w:r>
          </w:p>
        </w:tc>
        <w:tc>
          <w:tcPr>
            <w:tcW w:w="32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(28,343)</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70,143</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3,601</w:t>
            </w:r>
          </w:p>
        </w:tc>
        <w:tc>
          <w:tcPr>
            <w:tcW w:w="326" w:type="dxa"/>
            <w:tcBorders/>
            <w:shd w:fill="CCEEFF" w:val="clear"/>
            <w:vAlign w:val="center"/>
          </w:tcPr>
          <w:p>
            <w:pPr>
              <w:pStyle w:val="TableContents"/>
              <w:bidi w:val="0"/>
              <w:spacing w:before="0" w:after="1"/>
              <w:ind w:left="0" w:right="0" w:hanging="0"/>
              <w:jc w:val="right"/>
              <w:rPr/>
            </w:pPr>
            <w:r>
              <w:rPr/>
              <w:t>​</w:t>
            </w:r>
          </w:p>
        </w:tc>
        <w:tc>
          <w:tcPr>
            <w:tcW w:w="5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82,863</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7" w:type="dxa"/>
            <w:tcBorders/>
            <w:vAlign w:val="center"/>
          </w:tcPr>
          <w:p>
            <w:pPr>
              <w:pStyle w:val="TableContents"/>
              <w:bidi w:val="0"/>
              <w:spacing w:before="0" w:after="1"/>
              <w:ind w:left="0" w:right="0" w:hanging="0"/>
              <w:jc w:val="left"/>
              <w:rPr/>
            </w:pPr>
            <w:r>
              <w:rPr/>
              <w:t>​</w:t>
            </w:r>
          </w:p>
        </w:tc>
        <w:tc>
          <w:tcPr>
            <w:tcW w:w="14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(44,536)</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(44,536)</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25,607</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3,601</w:t>
            </w:r>
          </w:p>
        </w:tc>
        <w:tc>
          <w:tcPr>
            <w:tcW w:w="326" w:type="dxa"/>
            <w:tcBorders/>
            <w:vAlign w:val="center"/>
          </w:tcPr>
          <w:p>
            <w:pPr>
              <w:pStyle w:val="TableContents"/>
              <w:bidi w:val="0"/>
              <w:spacing w:before="0" w:after="1"/>
              <w:ind w:left="0" w:right="0" w:hanging="0"/>
              <w:jc w:val="right"/>
              <w:rPr/>
            </w:pPr>
            <w:r>
              <w:rPr/>
              <w:t>​</w:t>
            </w:r>
          </w:p>
        </w:tc>
        <w:tc>
          <w:tcPr>
            <w:tcW w:w="5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9,051</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38,259</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26,980</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3,601</w:t>
            </w:r>
          </w:p>
        </w:tc>
        <w:tc>
          <w:tcPr>
            <w:tcW w:w="326" w:type="dxa"/>
            <w:tcBorders/>
            <w:vAlign w:val="center"/>
          </w:tcPr>
          <w:p>
            <w:pPr>
              <w:pStyle w:val="TableContents"/>
              <w:bidi w:val="0"/>
              <w:spacing w:before="0" w:after="1"/>
              <w:ind w:left="0" w:right="0" w:hanging="0"/>
              <w:jc w:val="right"/>
              <w:rPr/>
            </w:pPr>
            <w:r>
              <w:rPr/>
              <w:t>​</w:t>
            </w:r>
          </w:p>
        </w:tc>
        <w:tc>
          <w:tcPr>
            <w:tcW w:w="5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9,051</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39,632</w:t>
            </w:r>
          </w:p>
        </w:tc>
      </w:tr>
      <w:tr>
        <w:trPr/>
        <w:tc>
          <w:tcPr>
            <w:tcW w:w="32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148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pPr>
            <w:r>
              <w:rPr/>
              <w:t>​</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7" w:type="dxa"/>
            <w:tcBorders/>
            <w:vAlign w:val="center"/>
          </w:tcPr>
          <w:p>
            <w:pPr>
              <w:pStyle w:val="TableContents"/>
              <w:bidi w:val="0"/>
              <w:spacing w:before="0" w:after="1"/>
              <w:ind w:left="0" w:right="0" w:hanging="0"/>
              <w:jc w:val="left"/>
              <w:rPr/>
            </w:pPr>
            <w:r>
              <w:rPr/>
              <w:t>​</w:t>
            </w:r>
          </w:p>
        </w:tc>
        <w:tc>
          <w:tcPr>
            <w:tcW w:w="148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pPr>
            <w:r>
              <w:rPr/>
              <w:t>​</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148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(13,911)</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Loss</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148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148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(19,828)</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7" w:type="dxa"/>
            <w:tcBorders/>
            <w:vAlign w:val="center"/>
          </w:tcPr>
          <w:p>
            <w:pPr>
              <w:pStyle w:val="TableContents"/>
              <w:bidi w:val="0"/>
              <w:spacing w:before="0" w:after="1"/>
              <w:ind w:left="0" w:right="0" w:hanging="0"/>
              <w:jc w:val="left"/>
              <w:rPr/>
            </w:pPr>
            <w:r>
              <w:rPr/>
              <w:t>​</w:t>
            </w:r>
          </w:p>
        </w:tc>
        <w:tc>
          <w:tcPr>
            <w:tcW w:w="148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(20,449)</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148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 Expense</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7" w:type="dxa"/>
            <w:tcBorders/>
            <w:vAlign w:val="center"/>
          </w:tcPr>
          <w:p>
            <w:pPr>
              <w:pStyle w:val="TableContents"/>
              <w:bidi w:val="0"/>
              <w:spacing w:before="0" w:after="1"/>
              <w:ind w:left="0" w:right="0" w:hanging="0"/>
              <w:jc w:val="left"/>
              <w:rPr/>
            </w:pPr>
            <w:r>
              <w:rPr/>
              <w:t>​</w:t>
            </w:r>
          </w:p>
        </w:tc>
        <w:tc>
          <w:tcPr>
            <w:tcW w:w="148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(17,940)</w:t>
            </w:r>
          </w:p>
        </w:tc>
      </w:tr>
      <w:tr>
        <w:trPr/>
        <w:tc>
          <w:tcPr>
            <w:tcW w:w="32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1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148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r>
      <w:tr>
        <w:trPr/>
        <w:tc>
          <w:tcPr>
            <w:tcW w:w="32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the Company</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547" w:type="dxa"/>
            <w:tcBorders/>
            <w:vAlign w:val="center"/>
          </w:tcPr>
          <w:p>
            <w:pPr>
              <w:pStyle w:val="TableContents"/>
              <w:bidi w:val="0"/>
              <w:spacing w:before="0" w:after="1"/>
              <w:ind w:left="0" w:right="0" w:hanging="0"/>
              <w:jc w:val="left"/>
              <w:rPr/>
            </w:pPr>
            <w:r>
              <w:rPr/>
              <w:t>​</w:t>
            </w:r>
          </w:p>
        </w:tc>
        <w:tc>
          <w:tcPr>
            <w:tcW w:w="148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(18,243)</w:t>
            </w:r>
          </w:p>
        </w:tc>
      </w:tr>
    </w:tbl>
    <w:p>
      <w:pPr>
        <w:pStyle w:val="TextBody"/>
        <w:bidi w:val="0"/>
        <w:spacing w:before="0" w:after="12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2049" w:name="Tc_K9KFzHnnlUCotdpj3YZ8Vw_7_11"/>
      <w:bookmarkStart w:id="2050" w:name="Tc_uiDrjfc97k6U76qRPcLTZQ_7_8"/>
      <w:bookmarkStart w:id="2051" w:name="Tc_yqzPxAIWrUS-Ey-Vl1mDyg_7_5"/>
      <w:bookmarkStart w:id="2052" w:name="Tc_2CrTTW4q10av3iTM6ITHFg_7_2"/>
      <w:bookmarkStart w:id="2053" w:name="Tc_5_yW_j-2IEOlJxUejrnyiw_7_0"/>
      <w:bookmarkStart w:id="2054" w:name="Tc_wuPtmHoB6UOs9ji-HaZzCA_6_0"/>
      <w:bookmarkStart w:id="2055" w:name="Tc_INCVdQiKkEOR-2QY-btsFQ_5_0"/>
      <w:bookmarkStart w:id="2056" w:name="Tc_a69aGHC8YEOYegqqt7s8HQ_4_11"/>
      <w:bookmarkStart w:id="2057" w:name="Tc_Oa9IxvuP_EydO6Ni-oEgEg_4_8"/>
      <w:bookmarkStart w:id="2058" w:name="Tc_slUNTV2nWUGd5tUqTONnHA_4_5"/>
      <w:bookmarkStart w:id="2059" w:name="Tc_WR95Mynl2kWhl1ww4UikhQ_4_2"/>
      <w:bookmarkStart w:id="2060" w:name="Tc_O5iwL0XuWEmJKvoYyuNRbA_4_0"/>
      <w:bookmarkStart w:id="2061" w:name="Tc_MRbWigcGUU-EAY2H-EDnUA_3_0"/>
      <w:bookmarkStart w:id="2062" w:name="Tc_O0BEQSHt_kqjqJdqM-siXQ_2_11"/>
      <w:bookmarkStart w:id="2063" w:name="Tc_kF3VNi0xTUqXUfVm--MEfw_2_8"/>
      <w:bookmarkStart w:id="2064" w:name="Tc_aB3nGMDIs0igJcyXE0_Yrg_2_5"/>
      <w:bookmarkStart w:id="2065" w:name="Tc_JNADN0G7n0aDI2xA2xefHg_2_2"/>
      <w:bookmarkStart w:id="2066" w:name="Tc_zvQSMswdlE23kCmlKnBDCQ_1_8"/>
      <w:bookmarkStart w:id="2067" w:name="Tc_9OvJNHMmnkml-5dsIUlyJw_1_2"/>
      <w:bookmarkStart w:id="2068" w:name="_537f72a7_5893_4363_ba52_6c152e54fc53"/>
      <w:bookmarkStart w:id="2069" w:name="Tc_gT8CsT9Au0OiP8Gi8gK5QQ_26_14"/>
      <w:bookmarkStart w:id="2070" w:name="Tc_dE4YAiatJUmHSVImFQ6cbg_26_0"/>
      <w:bookmarkStart w:id="2071" w:name="Tc_LjIoUB2S20S_ps-yD8__sQ_25_0"/>
      <w:bookmarkStart w:id="2072" w:name="Tc_Rl__Uvu6-E-U0x33ewLTcw_24_14"/>
      <w:bookmarkStart w:id="2073" w:name="Tc_ZkilmKXiyEihX4KBFzJgkA_24_0"/>
      <w:bookmarkStart w:id="2074" w:name="Tc_txk-QtlEzkW4regZYwvJxw_23_0"/>
      <w:bookmarkStart w:id="2075" w:name="Tc_h4bVXh_iLUyq7He_NLVGcw_22_0"/>
      <w:bookmarkStart w:id="2076" w:name="Tc_OtbNwh7MmEW-345ux8t-NQ_21_0"/>
      <w:bookmarkStart w:id="2077" w:name="Tc_-n0o61FyP02KdBRbjUgvkg_20_0"/>
      <w:bookmarkStart w:id="2078" w:name="Tc_BNg89O_jC0qOkw9e5QN_2g_19_0"/>
      <w:bookmarkStart w:id="2079" w:name="Tc_7C-zUjiv8ECw3PJMc9RcBQ_17_14"/>
      <w:bookmarkStart w:id="2080" w:name="Tc_1RuzRdGs6kaqm2fZ-UCScg_17_11"/>
      <w:bookmarkStart w:id="2081" w:name="Tc_LWZ_aei3aEOj44F-eSMCNw_17_8"/>
      <w:bookmarkStart w:id="2082" w:name="Tc_XzhBEHkSIEO4sVLyriKJ6g_17_5"/>
      <w:bookmarkStart w:id="2083" w:name="Tc_U-Ip1emk1UmrlFOaXBaaMg_17_2"/>
      <w:bookmarkStart w:id="2084" w:name="Tc_CcdkdGnjsU-kjE5mtErVsA_17_0"/>
      <w:bookmarkStart w:id="2085" w:name="Tc_gHxmOKlGREyuCs4zBVl3Rw_16_9"/>
      <w:bookmarkStart w:id="2086" w:name="Tc_wACV5H3kFk25cCwYiHZBWg_16_6"/>
      <w:bookmarkStart w:id="2087" w:name="Tc_mqWeY0to6EqcqS0MU7YV8A_16_0"/>
      <w:bookmarkStart w:id="2088" w:name="Tc_VtDjRP3dKkGkfcL29RSk9g_15_14"/>
      <w:bookmarkStart w:id="2089" w:name="Tc_ATjLPjliWUa-0kwCpMJkFw_15_11"/>
      <w:bookmarkStart w:id="2090" w:name="Tc_qLmpU-gqhE-QFu1p7ZdAaw_15_8"/>
      <w:bookmarkStart w:id="2091" w:name="Tc_3pdjQM_dsEGQfJMEWky82A_15_5"/>
      <w:bookmarkStart w:id="2092" w:name="Tc_LAJVyrfQNE60XsTcbfP_rg_15_2"/>
      <w:bookmarkStart w:id="2093" w:name="Tc_fS9dlL8JnUKI1lw_V5FGog_15_0"/>
      <w:bookmarkStart w:id="2094" w:name="Tc_fovway2ZX0Wtp5L9IyWjcw_14_12"/>
      <w:bookmarkStart w:id="2095" w:name="Tc_dwqEnhwwcEKWOmKk2Q1BNg_14_9"/>
      <w:bookmarkStart w:id="2096" w:name="Tc_qInEwY-YQkebvPavhIofhA_14_6"/>
      <w:bookmarkStart w:id="2097" w:name="Tc_ggKv6vTbU0uq4lhDsxR-qw_14_0"/>
      <w:bookmarkStart w:id="2098" w:name="Tc_PJ0KUH8cnk6cLY9Gjf5sVw_13_12"/>
      <w:bookmarkStart w:id="2099" w:name="Tc_BckBkZG390-U_-1EFNeIkA_13_6"/>
      <w:bookmarkStart w:id="2100" w:name="Tc_Pv0fwXU-Z0qJ1L7oMK5TqQ_13_3"/>
      <w:bookmarkStart w:id="2101" w:name="Tc_Z8w5SzlN1U-zpAW5Hbd5Yg_13_0"/>
      <w:bookmarkStart w:id="2102" w:name="Tc_7EmwT7nqukuQ9B8pYl62yA_12_14"/>
      <w:bookmarkStart w:id="2103" w:name="Tc_QnA86C_-lEGUrMzsfMWjIw_12_11"/>
      <w:bookmarkStart w:id="2104" w:name="Tc_x86-WoJtHUuStis4on8I-g_12_8"/>
      <w:bookmarkStart w:id="2105" w:name="Tc_6Q-GuPoAMUCbD60BniSS6A_12_5"/>
      <w:bookmarkStart w:id="2106" w:name="Tc_45WlemouQU-KO9jGygKdWw_12_2"/>
      <w:bookmarkStart w:id="2107" w:name="Tc_rn48ODT1-0e3Uce_Pw06Qg_12_0"/>
      <w:bookmarkStart w:id="2108" w:name="Tc_k91WbswGikyZtiD_h5MPHg_11_9"/>
      <w:bookmarkStart w:id="2109" w:name="Tc_Wd0zFofePEGeHq95cbCBdg_11_6"/>
      <w:bookmarkStart w:id="2110" w:name="Tc_3Y3rFeI_9ECIMVJiZSh6HQ_11_3"/>
      <w:bookmarkStart w:id="2111" w:name="Tc_CR-76P6XPEiOA5pjR7d1rQ_11_0"/>
      <w:bookmarkStart w:id="2112" w:name="Tc_USsSJ0lsK06YXYE3xtX97Q_10_14"/>
      <w:bookmarkStart w:id="2113" w:name="Tc_Tz6Y8dOUhkSyYrUw3MivYQ_10_12"/>
      <w:bookmarkStart w:id="2114" w:name="Tc_vH5oUA6qjkS7UnHqcEbAbQ_10_11"/>
      <w:bookmarkStart w:id="2115" w:name="Tc_VAG9EGlnNEi-ebq0BTVQuQ_10_9"/>
      <w:bookmarkStart w:id="2116" w:name="Tc___fXBitJiEe7XguClS0itg_10_8"/>
      <w:bookmarkStart w:id="2117" w:name="Tc_By2QNUthMUu8DBtiYBtvOw_10_6"/>
      <w:bookmarkStart w:id="2118" w:name="Tc_y4WN1C_cbkW-6oAXE4S0-g_10_5"/>
      <w:bookmarkStart w:id="2119" w:name="Tc_1dWdcjk-VUafnuEJ9fGCLw_10_2"/>
      <w:bookmarkStart w:id="2120" w:name="Tc_SXI7a30eRUiP6N9fwCtH_A_10_0"/>
      <w:bookmarkStart w:id="2121" w:name="Tc_aRFfvFVp2kmSjW07orC1NQ_9_0"/>
      <w:bookmarkStart w:id="2122" w:name="Tc_aO7hU9ClrU2XvpO7AGAzqg_7_14"/>
      <w:bookmarkStart w:id="2123" w:name="Tc_j6bOKwWgcUCJ9kGU0bPIfQ_7_11"/>
      <w:bookmarkStart w:id="2124" w:name="Tc_IyesWeh3s0uuklfujPKuNQ_7_8"/>
      <w:bookmarkStart w:id="2125" w:name="Tc_acRfi8jtoEeC4_XhGNcOcw_7_5"/>
      <w:bookmarkStart w:id="2126" w:name="Tc_7-NHWCfWjkCEcHFP6Qm5Sw_7_2"/>
      <w:bookmarkStart w:id="2127" w:name="Tc_c6sSNasQlEueEgIJeIcrzw_7_0"/>
      <w:bookmarkStart w:id="2128" w:name="Tc_LKs58a45F0CIqR1oPMoP6Q_6_9"/>
      <w:bookmarkStart w:id="2129" w:name="Tc_A3J5M_-U4EyGO2_YkjZbtA_6_6"/>
      <w:bookmarkStart w:id="2130" w:name="Tc_WCXh-SozHUuV2fdLJLkwDA_6_3"/>
      <w:bookmarkStart w:id="2131" w:name="Tc_6WYrx1-gUEy85prQ3mxKng_6_0"/>
      <w:bookmarkStart w:id="2132" w:name="Tc_ggHnx-ZX5EyuIivVxvv-fQ_5_12"/>
      <w:bookmarkStart w:id="2133" w:name="Tc_m5NFfyIJL0uhCA_jYBRIqg_5_6"/>
      <w:bookmarkStart w:id="2134" w:name="Tc_J7sFqVDgNECKDQsS7ERHUg_5_3"/>
      <w:bookmarkStart w:id="2135" w:name="Tc_HooOKdFfxUKJ8IjxIyzsPg_5_0"/>
      <w:bookmarkStart w:id="2136" w:name="Tc_JEzbaT3vbUqHIbTzfn3S1w_4_12"/>
      <w:bookmarkStart w:id="2137" w:name="Tc_BH25F5g54UqCzhIbiq2bIg_4_9"/>
      <w:bookmarkStart w:id="2138" w:name="Tc_AdL8WgrZLUCFxPUsmbSVxQ_4_3"/>
      <w:bookmarkStart w:id="2139" w:name="Tc_YIE0TWb3ckGvNCJ19KqzZw_4_0"/>
      <w:bookmarkStart w:id="2140" w:name="Tc_dseYd-3ezESDX0pK3geWSg_3_14"/>
      <w:bookmarkStart w:id="2141" w:name="Tc_-MxGJKpgLkepOXbaeYll8Q_3_12"/>
      <w:bookmarkStart w:id="2142" w:name="Tc_AwG4fGqEzUSwWQ1HqbHmgg_3_11"/>
      <w:bookmarkStart w:id="2143" w:name="Tc_1Q52iq9phUGa3JZtUq4-hg_3_9"/>
      <w:bookmarkStart w:id="2144" w:name="Tc_AUb5rInJWECQi3pK5BJ1ww_3_8"/>
      <w:bookmarkStart w:id="2145" w:name="Tc_EebiZzJAzEW6bz5HctpvuA_3_6"/>
      <w:bookmarkStart w:id="2146" w:name="Tc_TxtTgilimEqe92YJYkXoxg_3_5"/>
      <w:bookmarkStart w:id="2147" w:name="Tc_zIlUcR9wIEWfrIrnvlfd-g_3_2"/>
      <w:bookmarkStart w:id="2148" w:name="Tc_XZHiVTLoRUyU0H94tfaSTA_3_0"/>
      <w:bookmarkStart w:id="2149" w:name="Tc_kIZcgR-aXUqB524WTTk_VA_2_0"/>
      <w:bookmarkStart w:id="2150" w:name="Tc_mkZ50QoUjU6Im5tHpSUjGA_1_14"/>
      <w:bookmarkStart w:id="2151" w:name="Tc_0b_6954HsEmWpO01LFjiWA_1_11"/>
      <w:bookmarkStart w:id="2152" w:name="Tc_TJpu5iG6VUuhWEyLxUp14g_1_8"/>
      <w:bookmarkStart w:id="2153" w:name="Tc_ztSWmIeECkeMTHjEZLQs4w_1_5"/>
      <w:bookmarkStart w:id="2154" w:name="Tc_HwiRM1gsSEaOfQVE88R9mQ_1_2"/>
      <w:bookmarkStart w:id="2155" w:name="_aa6822e2_1929_4926_adec_e91375a82867"/>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r>
        <w:rPr>
          <w:rFonts w:ascii="Times New Roman;Times;serif" w:hAnsi="Times New Roman;Times;serif"/>
          <w:sz w:val="20"/>
        </w:rPr>
        <w:t>Information about the Company’s operations in different segments for the nine months ended September 30, 2024 is as follows (in thousands):</w:t>
      </w:r>
    </w:p>
    <w:tbl>
      <w:tblPr>
        <w:tblW w:w="10205" w:type="dxa"/>
        <w:jc w:val="left"/>
        <w:tblInd w:w="0" w:type="dxa"/>
        <w:tblLayout w:type="fixed"/>
        <w:tblCellMar>
          <w:top w:w="0" w:type="dxa"/>
          <w:left w:w="0" w:type="dxa"/>
          <w:bottom w:w="0" w:type="dxa"/>
          <w:right w:w="0" w:type="dxa"/>
        </w:tblCellMar>
      </w:tblPr>
      <w:tblGrid>
        <w:gridCol w:w="2423"/>
        <w:gridCol w:w="326"/>
        <w:gridCol w:w="246"/>
        <w:gridCol w:w="919"/>
        <w:gridCol w:w="326"/>
        <w:gridCol w:w="380"/>
        <w:gridCol w:w="1030"/>
        <w:gridCol w:w="326"/>
        <w:gridCol w:w="453"/>
        <w:gridCol w:w="1233"/>
        <w:gridCol w:w="109"/>
        <w:gridCol w:w="328"/>
        <w:gridCol w:w="984"/>
        <w:gridCol w:w="109"/>
        <w:gridCol w:w="211"/>
        <w:gridCol w:w="802"/>
      </w:tblGrid>
      <w:tr>
        <w:trPr/>
        <w:tc>
          <w:tcPr>
            <w:tcW w:w="24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56210" cy="175260"/>
                      <wp:effectExtent l="0" t="0" r="0" b="0"/>
                      <wp:wrapNone/>
                      <wp:docPr id="411" name="Frame411"/>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83565" cy="175260"/>
                      <wp:effectExtent l="0" t="0" r="0" b="0"/>
                      <wp:wrapNone/>
                      <wp:docPr id="412" name="Frame412"/>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41300" cy="175260"/>
                      <wp:effectExtent l="0" t="0" r="0" b="0"/>
                      <wp:wrapNone/>
                      <wp:docPr id="414" name="Frame414"/>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54050" cy="175260"/>
                      <wp:effectExtent l="0" t="0" r="0" b="0"/>
                      <wp:wrapNone/>
                      <wp:docPr id="415" name="Frame415"/>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87655" cy="175260"/>
                      <wp:effectExtent l="0" t="0" r="0" b="0"/>
                      <wp:wrapNone/>
                      <wp:docPr id="417" name="Frame417"/>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782955" cy="175260"/>
                      <wp:effectExtent l="0" t="0" r="0" b="0"/>
                      <wp:wrapNone/>
                      <wp:docPr id="418" name="Frame418"/>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9" name="Frame4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8280" cy="175260"/>
                      <wp:effectExtent l="0" t="0" r="0" b="0"/>
                      <wp:wrapNone/>
                      <wp:docPr id="420" name="Frame42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24840" cy="175260"/>
                      <wp:effectExtent l="0" t="0" r="0" b="0"/>
                      <wp:wrapNone/>
                      <wp:docPr id="421" name="Frame421"/>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9215" cy="175260"/>
                      <wp:effectExtent l="0" t="0" r="0" b="0"/>
                      <wp:wrapNone/>
                      <wp:docPr id="422" name="Frame4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423"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09270" cy="175260"/>
                      <wp:effectExtent l="0" t="0" r="0" b="0"/>
                      <wp:wrapNone/>
                      <wp:docPr id="424" name="Frame424"/>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2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326" w:type="dxa"/>
            <w:tcBorders/>
            <w:vAlign w:val="center"/>
          </w:tcPr>
          <w:p>
            <w:pPr>
              <w:pStyle w:val="TableContents"/>
              <w:bidi w:val="0"/>
              <w:spacing w:before="0" w:after="1"/>
              <w:ind w:left="0" w:right="0" w:hanging="0"/>
              <w:jc w:val="center"/>
              <w:rPr/>
            </w:pPr>
            <w:r>
              <w:rPr/>
              <w:t>    </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Management Services</w:t>
            </w:r>
          </w:p>
        </w:tc>
        <w:tc>
          <w:tcPr>
            <w:tcW w:w="326" w:type="dxa"/>
            <w:tcBorders/>
            <w:vAlign w:val="center"/>
          </w:tcPr>
          <w:p>
            <w:pPr>
              <w:pStyle w:val="TableContents"/>
              <w:bidi w:val="0"/>
              <w:spacing w:before="0" w:after="1"/>
              <w:ind w:left="0" w:right="0" w:hanging="0"/>
              <w:jc w:val="left"/>
              <w:rPr/>
            </w:pPr>
            <w:r>
              <w:rPr/>
              <w:t>    </w:t>
            </w:r>
          </w:p>
        </w:tc>
        <w:tc>
          <w:tcPr>
            <w:tcW w:w="16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1"/>
              <w:ind w:left="0" w:right="0" w:hanging="0"/>
              <w:jc w:val="center"/>
              <w:rPr/>
            </w:pPr>
            <w:r>
              <w:rPr/>
              <w:t>​</w:t>
            </w:r>
          </w:p>
        </w:tc>
        <w:tc>
          <w:tcPr>
            <w:tcW w:w="13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Real Estate Operations</w:t>
            </w:r>
          </w:p>
        </w:tc>
        <w:tc>
          <w:tcPr>
            <w:tcW w:w="109" w:type="dxa"/>
            <w:tcBorders/>
            <w:vAlign w:val="center"/>
          </w:tcPr>
          <w:p>
            <w:pPr>
              <w:pStyle w:val="TableContents"/>
              <w:bidi w:val="0"/>
              <w:spacing w:before="0" w:after="1"/>
              <w:ind w:left="0" w:right="0" w:hanging="0"/>
              <w:jc w:val="center"/>
              <w:rPr/>
            </w:pPr>
            <w:r>
              <w:rPr/>
              <w:t>​</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79,029</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79,029</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Management Fee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4,407</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4,407</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1,981</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79,029</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4,407</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1,981</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88,777</w:t>
            </w:r>
          </w:p>
        </w:tc>
      </w:tr>
      <w:tr>
        <w:trPr/>
        <w:tc>
          <w:tcPr>
            <w:tcW w:w="24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(22,630)</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(22,630)</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vAlign w:val="center"/>
          </w:tcPr>
          <w:p>
            <w:pPr>
              <w:pStyle w:val="TableContents"/>
              <w:bidi w:val="0"/>
              <w:spacing w:before="0" w:after="1"/>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56,399</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4,407</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64,710</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(35,650)</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(35,650)</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20,749</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3,754</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28,407</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3,763</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8,308</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From Operations for Reportable Segments</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24,512</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3,754</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36,715</w:t>
            </w:r>
          </w:p>
        </w:tc>
      </w:tr>
      <w:tr>
        <w:trPr/>
        <w:tc>
          <w:tcPr>
            <w:tcW w:w="242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pPr>
            <w:r>
              <w:rPr/>
              <w:t>​</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pPr>
            <w:r>
              <w:rPr/>
              <w:t>​</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(11,750)</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5,201</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(16,765)</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Other</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Before 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13,350</w:t>
            </w:r>
          </w:p>
        </w:tc>
      </w:tr>
      <w:tr>
        <w:trPr/>
        <w:tc>
          <w:tcPr>
            <w:tcW w:w="2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1"/>
              <w:ind w:left="0" w:right="0" w:hanging="0"/>
              <w:jc w:val="left"/>
              <w:rPr/>
            </w:pPr>
            <w:r>
              <w:rPr/>
              <w:t>​</w:t>
            </w:r>
          </w:p>
        </w:tc>
        <w:tc>
          <w:tcPr>
            <w:tcW w:w="246"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10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453" w:type="dxa"/>
            <w:tcBorders/>
            <w:vAlign w:val="center"/>
          </w:tcPr>
          <w:p>
            <w:pPr>
              <w:pStyle w:val="TableContents"/>
              <w:bidi w:val="0"/>
              <w:spacing w:before="0" w:after="1"/>
              <w:ind w:left="0" w:right="0" w:hanging="0"/>
              <w:jc w:val="left"/>
              <w:rPr/>
            </w:pPr>
            <w:r>
              <w:rPr/>
              <w:t>​</w:t>
            </w:r>
          </w:p>
        </w:tc>
        <w:tc>
          <w:tcPr>
            <w:tcW w:w="12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8"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4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26" w:type="dxa"/>
            <w:tcBorders/>
            <w:shd w:fill="CCEEFF" w:val="clear"/>
            <w:vAlign w:val="center"/>
          </w:tcPr>
          <w:p>
            <w:pPr>
              <w:pStyle w:val="TableContents"/>
              <w:bidi w:val="0"/>
              <w:spacing w:before="0" w:after="1"/>
              <w:ind w:left="0" w:right="0" w:hanging="0"/>
              <w:jc w:val="left"/>
              <w:rPr/>
            </w:pPr>
            <w:r>
              <w:rPr/>
              <w:t>​</w:t>
            </w:r>
          </w:p>
        </w:tc>
        <w:tc>
          <w:tcPr>
            <w:tcW w:w="246"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453" w:type="dxa"/>
            <w:tcBorders/>
            <w:shd w:fill="CCEEFF" w:val="clear"/>
            <w:vAlign w:val="center"/>
          </w:tcPr>
          <w:p>
            <w:pPr>
              <w:pStyle w:val="TableContents"/>
              <w:bidi w:val="0"/>
              <w:spacing w:before="0" w:after="1"/>
              <w:ind w:left="0" w:right="0" w:hanging="0"/>
              <w:jc w:val="left"/>
              <w:rPr/>
            </w:pPr>
            <w:r>
              <w:rPr/>
              <w:t>​</w:t>
            </w:r>
          </w:p>
        </w:tc>
        <w:tc>
          <w:tcPr>
            <w:tcW w:w="12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13,252</w:t>
            </w:r>
          </w:p>
        </w:tc>
      </w:tr>
    </w:tbl>
    <w:p>
      <w:pPr>
        <w:pStyle w:val="TextBody"/>
        <w:bidi w:val="0"/>
        <w:spacing w:before="0" w:after="120"/>
        <w:ind w:left="0" w:right="0" w:firstLine="36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Capital expenditures of each segment for the three and nine months ended September 30, 2025 and 2024 are as follows (in thousands):</w:t>
      </w:r>
    </w:p>
    <w:tbl>
      <w:tblPr>
        <w:tblW w:w="10205" w:type="dxa"/>
        <w:jc w:val="left"/>
        <w:tblInd w:w="0" w:type="dxa"/>
        <w:tblLayout w:type="fixed"/>
        <w:tblCellMar>
          <w:top w:w="0" w:type="dxa"/>
          <w:left w:w="0" w:type="dxa"/>
          <w:bottom w:w="0" w:type="dxa"/>
          <w:right w:w="0" w:type="dxa"/>
        </w:tblCellMar>
      </w:tblPr>
      <w:tblGrid>
        <w:gridCol w:w="2834"/>
        <w:gridCol w:w="109"/>
        <w:gridCol w:w="408"/>
        <w:gridCol w:w="1313"/>
        <w:gridCol w:w="109"/>
        <w:gridCol w:w="364"/>
        <w:gridCol w:w="1357"/>
        <w:gridCol w:w="109"/>
        <w:gridCol w:w="364"/>
        <w:gridCol w:w="1357"/>
        <w:gridCol w:w="109"/>
        <w:gridCol w:w="338"/>
        <w:gridCol w:w="1434"/>
      </w:tblGrid>
      <w:tr>
        <w:trPr/>
        <w:tc>
          <w:tcPr>
            <w:tcW w:w="28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9215" cy="175260"/>
                      <wp:effectExtent l="0" t="0" r="0" b="0"/>
                      <wp:wrapNone/>
                      <wp:docPr id="425" name="Frame4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59080" cy="175260"/>
                      <wp:effectExtent l="0" t="0" r="0" b="0"/>
                      <wp:wrapNone/>
                      <wp:docPr id="426" name="Frame426"/>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833755" cy="175260"/>
                      <wp:effectExtent l="0" t="0" r="0" b="0"/>
                      <wp:wrapNone/>
                      <wp:docPr id="427" name="Frame427"/>
                      <a:graphic xmlns:a="http://schemas.openxmlformats.org/drawingml/2006/main">
                        <a:graphicData uri="http://schemas.microsoft.com/office/word/2010/wordprocessingShape">
                          <wps:wsp>
                            <wps:cNvSpPr txBox="1"/>
                            <wps:spPr>
                              <a:xfrm>
                                <a:off x="0" y="0"/>
                                <a:ext cx="833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9215" cy="175260"/>
                      <wp:effectExtent l="0" t="0" r="0" b="0"/>
                      <wp:wrapNone/>
                      <wp:docPr id="428" name="Frame4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31140" cy="175260"/>
                      <wp:effectExtent l="0" t="0" r="0" b="0"/>
                      <wp:wrapNone/>
                      <wp:docPr id="429" name="Frame42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861695" cy="175260"/>
                      <wp:effectExtent l="0" t="0" r="0" b="0"/>
                      <wp:wrapNone/>
                      <wp:docPr id="430" name="Frame430"/>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9215" cy="175260"/>
                      <wp:effectExtent l="0" t="0" r="0" b="0"/>
                      <wp:wrapNone/>
                      <wp:docPr id="431" name="Frame4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31140" cy="175260"/>
                      <wp:effectExtent l="0" t="0" r="0" b="0"/>
                      <wp:wrapNone/>
                      <wp:docPr id="432" name="Frame43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861695" cy="175260"/>
                      <wp:effectExtent l="0" t="0" r="0" b="0"/>
                      <wp:wrapNone/>
                      <wp:docPr id="433" name="Frame433"/>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9215" cy="175260"/>
                      <wp:effectExtent l="0" t="0" r="0" b="0"/>
                      <wp:wrapNone/>
                      <wp:docPr id="434" name="Frame4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4630" cy="175260"/>
                      <wp:effectExtent l="0" t="0" r="0" b="0"/>
                      <wp:wrapNone/>
                      <wp:docPr id="435" name="Frame435"/>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910590" cy="175260"/>
                      <wp:effectExtent l="0" t="0" r="0" b="0"/>
                      <wp:wrapNone/>
                      <wp:docPr id="436" name="Frame436"/>
                      <a:graphic xmlns:a="http://schemas.openxmlformats.org/drawingml/2006/main">
                        <a:graphicData uri="http://schemas.microsoft.com/office/word/2010/wordprocessingShape">
                          <wps:wsp>
                            <wps:cNvSpPr txBox="1"/>
                            <wps:spPr>
                              <a:xfrm>
                                <a:off x="0" y="0"/>
                                <a:ext cx="910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6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283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center"/>
              <w:rPr/>
            </w:pPr>
            <w:r>
              <w:rPr/>
              <w:t>​</w:t>
            </w:r>
          </w:p>
        </w:tc>
        <w:tc>
          <w:tcPr>
            <w:tcW w:w="1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r>
      <w:tr>
        <w:trPr/>
        <w:tc>
          <w:tcPr>
            <w:tcW w:w="283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pPr>
            <w:r>
              <w:rPr/>
              <w:t>​</w:t>
            </w:r>
          </w:p>
        </w:tc>
        <w:tc>
          <w:tcPr>
            <w:tcW w:w="131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434" w:type="dxa"/>
            <w:tcBorders/>
            <w:shd w:fill="CCEEFF" w:val="clear"/>
            <w:vAlign w:val="center"/>
          </w:tcPr>
          <w:p>
            <w:pPr>
              <w:pStyle w:val="TableContents"/>
              <w:bidi w:val="0"/>
              <w:spacing w:before="0" w:after="0"/>
              <w:ind w:left="0" w:right="0" w:hanging="0"/>
              <w:jc w:val="left"/>
              <w:rPr/>
            </w:pPr>
            <w:r>
              <w:rPr/>
              <w:t>​</w:t>
            </w:r>
          </w:p>
        </w:tc>
      </w:tr>
      <w:tr>
        <w:trPr/>
        <w:tc>
          <w:tcPr>
            <w:tcW w:w="28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6,128</w:t>
            </w:r>
          </w:p>
        </w:tc>
        <w:tc>
          <w:tcPr>
            <w:tcW w:w="109" w:type="dxa"/>
            <w:tcBorders/>
            <w:vAlign w:val="center"/>
          </w:tcPr>
          <w:p>
            <w:pPr>
              <w:pStyle w:val="TableContents"/>
              <w:bidi w:val="0"/>
              <w:spacing w:before="0" w:after="0"/>
              <w:ind w:left="0" w:right="0" w:hanging="0"/>
              <w:jc w:val="right"/>
              <w:rPr/>
            </w:pPr>
            <w:r>
              <w:rPr/>
              <w:t>​</w:t>
            </w:r>
          </w:p>
        </w:tc>
        <w:tc>
          <w:tcPr>
            <w:tcW w:w="3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138,850</w:t>
            </w:r>
          </w:p>
        </w:tc>
        <w:tc>
          <w:tcPr>
            <w:tcW w:w="109" w:type="dxa"/>
            <w:tcBorders/>
            <w:vAlign w:val="center"/>
          </w:tcPr>
          <w:p>
            <w:pPr>
              <w:pStyle w:val="TableContents"/>
              <w:bidi w:val="0"/>
              <w:spacing w:before="0" w:after="0"/>
              <w:ind w:left="0" w:right="0" w:hanging="0"/>
              <w:jc w:val="right"/>
              <w:rPr/>
            </w:pPr>
            <w:r>
              <w:rPr/>
              <w:t>​</w:t>
            </w:r>
          </w:p>
        </w:tc>
        <w:tc>
          <w:tcPr>
            <w:tcW w:w="36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87,187</w:t>
            </w:r>
          </w:p>
        </w:tc>
        <w:tc>
          <w:tcPr>
            <w:tcW w:w="109" w:type="dxa"/>
            <w:tcBorders/>
            <w:vAlign w:val="center"/>
          </w:tcPr>
          <w:p>
            <w:pPr>
              <w:pStyle w:val="TableContents"/>
              <w:bidi w:val="0"/>
              <w:spacing w:before="0" w:after="0"/>
              <w:ind w:left="0" w:right="0" w:hanging="0"/>
              <w:jc w:val="right"/>
              <w:rPr/>
            </w:pPr>
            <w:r>
              <w:rPr/>
              <w:t>​</w:t>
            </w:r>
          </w:p>
        </w:tc>
        <w:tc>
          <w:tcPr>
            <w:tcW w:w="3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216,969</w:t>
            </w:r>
          </w:p>
        </w:tc>
      </w:tr>
      <w:tr>
        <w:trPr/>
        <w:tc>
          <w:tcPr>
            <w:tcW w:w="28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center"/>
              <w:rPr/>
            </w:pPr>
            <w:r>
              <w:rPr/>
              <w:t>​</w:t>
            </w:r>
          </w:p>
        </w:tc>
        <w:tc>
          <w:tcPr>
            <w:tcW w:w="13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w:t>
            </w:r>
          </w:p>
        </w:tc>
        <w:tc>
          <w:tcPr>
            <w:tcW w:w="109" w:type="dxa"/>
            <w:tcBorders/>
            <w:shd w:fill="CCEEFF" w:val="clear"/>
            <w:vAlign w:val="center"/>
          </w:tcPr>
          <w:p>
            <w:pPr>
              <w:pStyle w:val="TableContents"/>
              <w:bidi w:val="0"/>
              <w:spacing w:before="0" w:after="0"/>
              <w:ind w:left="0" w:right="0" w:hanging="0"/>
              <w:jc w:val="right"/>
              <w:rPr/>
            </w:pPr>
            <w:r>
              <w:rPr/>
              <w:t>​</w:t>
            </w:r>
          </w:p>
        </w:tc>
        <w:tc>
          <w:tcPr>
            <w:tcW w:w="364" w:type="dxa"/>
            <w:tcBorders/>
            <w:shd w:fill="CCEEFF" w:val="clear"/>
            <w:vAlign w:val="center"/>
          </w:tcPr>
          <w:p>
            <w:pPr>
              <w:pStyle w:val="TableContents"/>
              <w:bidi w:val="0"/>
              <w:spacing w:before="0" w:after="0"/>
              <w:ind w:left="0" w:right="0" w:hanging="0"/>
              <w:jc w:val="right"/>
              <w:rPr/>
            </w:pPr>
            <w:r>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53,176</w:t>
            </w:r>
          </w:p>
        </w:tc>
        <w:tc>
          <w:tcPr>
            <w:tcW w:w="109" w:type="dxa"/>
            <w:tcBorders/>
            <w:shd w:fill="CCEEFF" w:val="clear"/>
            <w:vAlign w:val="center"/>
          </w:tcPr>
          <w:p>
            <w:pPr>
              <w:pStyle w:val="TableContents"/>
              <w:bidi w:val="0"/>
              <w:spacing w:before="0" w:after="0"/>
              <w:ind w:left="0" w:right="0" w:hanging="0"/>
              <w:jc w:val="right"/>
              <w:rPr/>
            </w:pPr>
            <w:r>
              <w:rPr/>
              <w:t>​</w:t>
            </w:r>
          </w:p>
        </w:tc>
        <w:tc>
          <w:tcPr>
            <w:tcW w:w="364" w:type="dxa"/>
            <w:tcBorders/>
            <w:shd w:fill="CCEEFF" w:val="clear"/>
            <w:vAlign w:val="center"/>
          </w:tcPr>
          <w:p>
            <w:pPr>
              <w:pStyle w:val="TableContents"/>
              <w:bidi w:val="0"/>
              <w:spacing w:before="0" w:after="0"/>
              <w:ind w:left="0" w:right="0" w:hanging="0"/>
              <w:jc w:val="center"/>
              <w:rPr/>
            </w:pPr>
            <w:r>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12,786</w:t>
            </w:r>
          </w:p>
        </w:tc>
        <w:tc>
          <w:tcPr>
            <w:tcW w:w="109" w:type="dxa"/>
            <w:tcBorders/>
            <w:shd w:fill="CCEEFF" w:val="clear"/>
            <w:vAlign w:val="center"/>
          </w:tcPr>
          <w:p>
            <w:pPr>
              <w:pStyle w:val="TableContents"/>
              <w:bidi w:val="0"/>
              <w:spacing w:before="0" w:after="0"/>
              <w:ind w:left="0" w:right="0" w:hanging="0"/>
              <w:jc w:val="right"/>
              <w:rPr/>
            </w:pPr>
            <w:r>
              <w:rPr/>
              <w:t>​</w:t>
            </w:r>
          </w:p>
        </w:tc>
        <w:tc>
          <w:tcPr>
            <w:tcW w:w="338" w:type="dxa"/>
            <w:tcBorders/>
            <w:shd w:fill="CCEEFF" w:val="clear"/>
            <w:vAlign w:val="center"/>
          </w:tcPr>
          <w:p>
            <w:pPr>
              <w:pStyle w:val="TableContents"/>
              <w:bidi w:val="0"/>
              <w:spacing w:before="0" w:after="0"/>
              <w:ind w:left="0" w:right="0" w:hanging="0"/>
              <w:jc w:val="right"/>
              <w:rPr/>
            </w:pPr>
            <w:r>
              <w:rPr/>
              <w:t>​</w:t>
            </w:r>
          </w:p>
        </w:tc>
        <w:tc>
          <w:tcPr>
            <w:tcW w:w="14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60,206</w:t>
            </w:r>
          </w:p>
        </w:tc>
      </w:tr>
      <w:tr>
        <w:trPr/>
        <w:tc>
          <w:tcPr>
            <w:tcW w:w="28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0"/>
              <w:ind w:left="0" w:right="0" w:hanging="0"/>
              <w:jc w:val="left"/>
              <w:rPr/>
            </w:pPr>
            <w:r>
              <w:rPr/>
              <w:t>​</w:t>
            </w:r>
          </w:p>
        </w:tc>
        <w:tc>
          <w:tcPr>
            <w:tcW w:w="4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before="0" w:after="0"/>
              <w:ind w:left="0" w:right="0" w:hanging="0"/>
              <w:jc w:val="righ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righ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0"/>
              <w:ind w:left="0" w:right="0" w:hanging="0"/>
              <w:jc w:val="righ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8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40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12,517</w:t>
            </w:r>
          </w:p>
        </w:tc>
        <w:tc>
          <w:tcPr>
            <w:tcW w:w="109" w:type="dxa"/>
            <w:tcBorders/>
            <w:shd w:fill="CCEEFF" w:val="clear"/>
            <w:vAlign w:val="center"/>
          </w:tcPr>
          <w:p>
            <w:pPr>
              <w:pStyle w:val="TableContents"/>
              <w:bidi w:val="0"/>
              <w:spacing w:before="0" w:after="0"/>
              <w:ind w:left="0" w:right="0" w:hanging="0"/>
              <w:jc w:val="righ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192,028</w:t>
            </w:r>
          </w:p>
        </w:tc>
        <w:tc>
          <w:tcPr>
            <w:tcW w:w="109" w:type="dxa"/>
            <w:tcBorders/>
            <w:shd w:fill="CCEEFF" w:val="clear"/>
            <w:vAlign w:val="center"/>
          </w:tcPr>
          <w:p>
            <w:pPr>
              <w:pStyle w:val="TableContents"/>
              <w:bidi w:val="0"/>
              <w:spacing w:before="0" w:after="0"/>
              <w:ind w:left="0" w:right="0" w:hanging="0"/>
              <w:jc w:val="righ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100,006</w:t>
            </w:r>
          </w:p>
        </w:tc>
        <w:tc>
          <w:tcPr>
            <w:tcW w:w="109" w:type="dxa"/>
            <w:tcBorders/>
            <w:shd w:fill="CCEEFF" w:val="clear"/>
            <w:vAlign w:val="center"/>
          </w:tcPr>
          <w:p>
            <w:pPr>
              <w:pStyle w:val="TableContents"/>
              <w:bidi w:val="0"/>
              <w:spacing w:before="0" w:after="0"/>
              <w:ind w:left="0" w:right="0" w:hanging="0"/>
              <w:jc w:val="righ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3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277,192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56" w:before="0" w:after="120"/>
        <w:ind w:left="0" w:right="0" w:firstLine="360"/>
        <w:jc w:val="left"/>
        <w:rPr>
          <w:rFonts w:ascii="Times New Roman;Times;serif" w:hAnsi="Times New Roman;Times;serif"/>
          <w:sz w:val="20"/>
        </w:rPr>
      </w:pPr>
      <w:bookmarkStart w:id="2156" w:name="Tc_wWna_z0Q9kKefWTJjigTpQ_9_5"/>
      <w:bookmarkStart w:id="2157" w:name="Tc_7R73ZGmXj0i4cet4jT_zjw_9_2"/>
      <w:bookmarkStart w:id="2158" w:name="Tc_dW-FKNCePkWJjGY0k3IaCA_9_0"/>
      <w:bookmarkStart w:id="2159" w:name="Tc_fyZJYO0gBE239_ZCCeyOmw_8_0"/>
      <w:bookmarkStart w:id="2160" w:name="Tc__sDhG2wBw0Wn_7rpmbKMxg_7_0"/>
      <w:bookmarkStart w:id="2161" w:name="Tc_KJohFFMxG0ulKrWmcNkY_Q_6_0"/>
      <w:bookmarkStart w:id="2162" w:name="Tc_l5M3XgiuzEO2WBBHIiRH-Q_5_0"/>
      <w:bookmarkStart w:id="2163" w:name="Tc_A-SWsMlY_kergbimu_j42Q_4_5"/>
      <w:bookmarkStart w:id="2164" w:name="Tc_6P6Gc5gHb02HaWfw-10ALw_4_2"/>
      <w:bookmarkStart w:id="2165" w:name="Tc_4CDi9GBCikmYx3rgmV_s6g_4_0"/>
      <w:bookmarkStart w:id="2166" w:name="Tc_lklOwKjXlUWbkgHmR-a7Ww_3_0"/>
      <w:bookmarkStart w:id="2167" w:name="Tc_ZPbCkFcGd0CSiNkEonDVMg_2_5"/>
      <w:bookmarkStart w:id="2168" w:name="Tc_vncfM8Lh8kqY6OLj-WMgYQ_2_2"/>
      <w:bookmarkStart w:id="2169" w:name="Tc_LJblszQB_UGwNVtM7mDAoQ_1_2"/>
      <w:bookmarkStart w:id="2170" w:name="_29cc54c3_d801_4d12_b897_dc4069c799a9"/>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r>
        <w:rPr>
          <w:rFonts w:ascii="Times New Roman;Times;serif" w:hAnsi="Times New Roman;Times;serif"/>
          <w:sz w:val="20"/>
        </w:rPr>
        <w:t>Identifiable assets of each segment as of September 30, 2025 and December 31, 2024 are as follows (in thousands):</w:t>
      </w:r>
    </w:p>
    <w:tbl>
      <w:tblPr>
        <w:tblW w:w="7208" w:type="dxa"/>
        <w:jc w:val="left"/>
        <w:tblInd w:w="0" w:type="dxa"/>
        <w:tblLayout w:type="fixed"/>
        <w:tblCellMar>
          <w:top w:w="0" w:type="dxa"/>
          <w:left w:w="0" w:type="dxa"/>
          <w:bottom w:w="0" w:type="dxa"/>
          <w:right w:w="0" w:type="dxa"/>
        </w:tblCellMar>
      </w:tblPr>
      <w:tblGrid>
        <w:gridCol w:w="3016"/>
        <w:gridCol w:w="326"/>
        <w:gridCol w:w="326"/>
        <w:gridCol w:w="1444"/>
        <w:gridCol w:w="326"/>
        <w:gridCol w:w="298"/>
        <w:gridCol w:w="1472"/>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8"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916940" cy="175260"/>
                      <wp:effectExtent l="0" t="0" r="0" b="0"/>
                      <wp:wrapNone/>
                      <wp:docPr id="439" name="Frame439"/>
                      <a:graphic xmlns:a="http://schemas.openxmlformats.org/drawingml/2006/main">
                        <a:graphicData uri="http://schemas.microsoft.com/office/word/2010/wordprocessingShape">
                          <wps:wsp>
                            <wps:cNvSpPr txBox="1"/>
                            <wps:spPr>
                              <a:xfrm>
                                <a:off x="0" y="0"/>
                                <a:ext cx="916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89230" cy="175260"/>
                      <wp:effectExtent l="0" t="0" r="0" b="0"/>
                      <wp:wrapNone/>
                      <wp:docPr id="441" name="Frame441"/>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934720" cy="175260"/>
                      <wp:effectExtent l="0" t="0" r="0" b="0"/>
                      <wp:wrapNone/>
                      <wp:docPr id="442" name="Frame442"/>
                      <a:graphic xmlns:a="http://schemas.openxmlformats.org/drawingml/2006/main">
                        <a:graphicData uri="http://schemas.microsoft.com/office/word/2010/wordprocessingShape">
                          <wps:wsp>
                            <wps:cNvSpPr txBox="1"/>
                            <wps:spPr>
                              <a:xfrm>
                                <a:off x="0" y="0"/>
                                <a:ext cx="934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8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1,075,490</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1,039,466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112,852</w:t>
            </w:r>
          </w:p>
        </w:tc>
        <w:tc>
          <w:tcPr>
            <w:tcW w:w="32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4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105,763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32,182</w:t>
            </w:r>
          </w:p>
        </w:tc>
        <w:tc>
          <w:tcPr>
            <w:tcW w:w="32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1,222,353</w:t>
            </w:r>
          </w:p>
        </w:tc>
        <w:tc>
          <w:tcPr>
            <w:tcW w:w="32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1,181,644</w:t>
            </w:r>
          </w:p>
        </w:tc>
      </w:tr>
    </w:tbl>
    <w:p>
      <w:pPr>
        <w:pStyle w:val="TextBody"/>
        <w:bidi w:val="0"/>
        <w:spacing w:lineRule="auto" w:line="273" w:before="0" w:after="120"/>
        <w:ind w:left="0" w:right="0" w:firstLine="547"/>
        <w:jc w:val="both"/>
        <w:rPr/>
      </w:pPr>
      <w:r>
        <w:rPr/>
        <w:t>​</w:t>
      </w:r>
    </w:p>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9215" cy="175260"/>
                      <wp:effectExtent l="0" t="0" r="0" b="0"/>
                      <wp:wrapNone/>
                      <wp:docPr id="443" name="Frame4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9215" cy="175260"/>
                      <wp:effectExtent l="0" t="0" r="0" b="0"/>
                      <wp:wrapNone/>
                      <wp:docPr id="444" name="Frame4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9215" cy="175260"/>
                      <wp:effectExtent l="0" t="0" r="0" b="0"/>
                      <wp:wrapNone/>
                      <wp:docPr id="445" name="Frame4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9215" cy="175260"/>
                      <wp:effectExtent l="0" t="0" r="0" b="0"/>
                      <wp:wrapNone/>
                      <wp:docPr id="446" name="Frame4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9215" cy="175260"/>
                      <wp:effectExtent l="0" t="0" r="0" b="0"/>
                      <wp:wrapNone/>
                      <wp:docPr id="447" name="Frame4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9215" cy="175260"/>
                      <wp:effectExtent l="0" t="0" r="0" b="0"/>
                      <wp:wrapNone/>
                      <wp:docPr id="448" name="Frame4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9215" cy="175260"/>
                      <wp:effectExtent l="0" t="0" r="0" b="0"/>
                      <wp:wrapNone/>
                      <wp:docPr id="449" name="Frame4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9215" cy="175260"/>
                      <wp:effectExtent l="0" t="0" r="0" b="0"/>
                      <wp:wrapNone/>
                      <wp:docPr id="450" name="Frame4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9215" cy="175260"/>
                      <wp:effectExtent l="0" t="0" r="0" b="0"/>
                      <wp:wrapNone/>
                      <wp:docPr id="451" name="Frame4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9215" cy="175260"/>
                      <wp:effectExtent l="0" t="0" r="0" b="0"/>
                      <wp:wrapNone/>
                      <wp:docPr id="452" name="Frame4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9215" cy="175260"/>
                      <wp:effectExtent l="0" t="0" r="0" b="0"/>
                      <wp:wrapNone/>
                      <wp:docPr id="453" name="Frame4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97790" cy="175260"/>
                      <wp:effectExtent l="0" t="0" r="0" b="0"/>
                      <wp:wrapNone/>
                      <wp:docPr id="454" name="Frame45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Identifiable assets by segment are those assets that are used in the Company’s operations in each segment. Real Estate Operations includes the identifiable assets of certain real estate operations receivables. Corporate and other assets consist primarily of cash and restricted cash, property, plant, and equipment related to the other operations, as well as the general and corporate operations.</w:t>
      </w:r>
    </w:p>
    <w:p>
      <w:pPr>
        <w:pStyle w:val="TextBody"/>
        <w:shd w:fill="FFFFFF" w:val="clear"/>
        <w:bidi w:val="0"/>
        <w:spacing w:before="100" w:after="10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Management Services and Real Estate Operations segments had no capital expenditures during the three and nine months ended September 30, 2025 or 2024.</w:t>
      </w:r>
    </w:p>
    <w:p>
      <w:pPr>
        <w:pStyle w:val="TextBody"/>
        <w:bidi w:val="0"/>
        <w:spacing w:before="0" w:after="0"/>
        <w:ind w:left="0" w:right="0" w:firstLine="547"/>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23. SUBSEQUENT EVENTS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Subsequent events and transactions were evaluated through October 28, 2025, the date the consolidated financial statements were issued.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Subsequent to September 30, 2025, the Company repurchased 307,563 shares of its common stock on the open market for a total cost of $5.0 million, or an average price per share of $16.26 under the September 2025 $10 Million Common Stock Repurchase Program. As of October 28, 2025, $5.0 million remained available for repurchases under the September 2025 $10 Million Common Stock Repurchase Program.</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2171" w:name="ITEM2MANAGEMENTSDISCUSSIONANDANALYSIS_90"/>
      <w:bookmarkStart w:id="2172" w:name="_401b5240_fc05_4202_8c83_c5089c8d0bf8"/>
      <w:bookmarkEnd w:id="2171"/>
      <w:bookmarkEnd w:id="2172"/>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i/>
          <w:sz w:val="20"/>
          <w:shd w:fill="FFFFFF" w:val="clear"/>
        </w:rPr>
      </w:pPr>
      <w:r>
        <w:rPr>
          <w:rFonts w:ascii="Times New Roman;Times;serif" w:hAnsi="Times New Roman;Times;serif"/>
          <w:i/>
          <w:sz w:val="20"/>
          <w:shd w:fill="FFFFFF" w:val="clear"/>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 Some of the comments we make in this section are forward-looking statements within the meaning of the federal securities laws. For a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Statements contained in this Quarterly Report on Form 10-Q that are not historical facts are forward-looking statements within the meaning of Section 27A of the Securities Act of 1933, as amended (the “Securities Act”),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   </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are subject to risks related to the ownership of commercial real estate that could affect the performance and value of our properties;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business is dependent upon our tenants and borrowers successfully operating their businesses, and their failure to do so could materially and adversely affect us;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competition that traditional retail tenants face from e-commerce retail sales, or the integration of brick and mortar stores with e-commerce retail operators, could adversely affect our business;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operate in a highly competitive market for the acquisition of income properties and more established entities or other investors may be able to compete more effectively for acquisition opportunities than we can;</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we may be unable to successfully execute on asset acquisitions or dispositions;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loss of revenues from our income property portfolio or certain tenants or borrowers would adversely impact our results of operations and cash flows;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there are various potential conflicts of interest in our relationship with PINE, including our executive officers and/or directors who are also officers and/or directors of PINE, which could result in decisions that are not in the best interest of our stockholders;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prolonged downturn in economic conditions could adversely impact our business, particularly with regard to our ability to maintain revenues from our income-producing assets;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part of our investment strategy is focused on investing in commercial loans and investments which may involve credit risk or the risk that our borrowers will fail to pay scheduled contractual payments to us when due;</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may suffer losses when a borrower defaults on a loan and the value of the underlying collateral is less than the amount due;</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Company’s real estate investments are generally illiquid;</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may be unable to obtain debt or equity capital on favorable terms, if at all, or additional borrowings may impact our liquidity or ability to monetize any assets securing such borrowings;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servicing our debt requires a significant amount of cash, and we may not have sufficient cash flow from our business to service or pay our debt;</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our operations and properties could be adversely affected in the event of natural disasters, pandemics, or other significant disruptions;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we may encounter environmental problems which require remediation or the incurrence of significant costs to resolve, which could adversely impact our financial condition, results of operations, and cash flows; </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failure to remain qualified as real estate investment trust (“REIT”) for U.S. federal income tax purposes would cause us to be taxed as a regular corporation, which would substantially reduce funds available for distribution to stockholders;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risk that the REIT requirements could limit our financial flexibility;</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limited experience operating as a REIT;</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our ability to pay dividends consistent with the REIT requirements, and expectations as to timing and amounts of such dividends;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ability of our board of directors (the “Board”) to revoke our REIT status without stockholder approval;</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exposure to changes in U.S. federal and state income tax laws, including changes to the REIT requirements;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general business and economic conditions, including unstable macroeconomic conditions due to, among other things, political unrest and economic uncertainty due to terrorism or war, inflation, higher interest rates, tariffs and international trade policies and distress in the banking sector; and</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an epidemic or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 </w:t>
            </w:r>
          </w:p>
        </w:tc>
      </w:tr>
    </w:tbl>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describes the risks and uncertainties that could cause actual results and events to differ materially in “Risk Factors” (Part II, Item 1A of this Quarterly Report on Form 10-Q and Part I, Item 1A of our Annual Report on Form 10-K for the year ended December 31, 2024), “Quantitative and Qualitative Disclosures about Market Risk” (Part I, Item 3 of this Quarterly Report on Form 10-Q), and “Management’s Discussion and Analysis of Financial Condition and Results of Operations” (Part I, Item 2 of this Quarterly Report on Form 10-Q).</w:t>
      </w:r>
    </w:p>
    <w:p>
      <w:pPr>
        <w:pStyle w:val="TextBody"/>
        <w:bidi w:val="0"/>
        <w:spacing w:before="100" w:after="10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sz w:val="20"/>
          <w:shd w:fill="FFFFFF" w:val="clear"/>
        </w:rPr>
        <w:t>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As of September 30, 2025, we own and manage, sometimes utilizing third-party property management companies, 21 commercial real estate properties in seven states in the United States, comprising 5.2 million square feet of gross leasable space. In addition to our income property portfolio, as of September 30, 2025, our business included the following: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Management Services: A fee-based management business that is engaged in managing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 in the Notes to Financial Statements.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Commercial Loans and Investments: A portfolio of four commercial loan investments and two preferred equity investments which are classified as commercial loan investments.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Real Estate Operations: During the year ended December 31, 2024, the Company sold its portfolio of subsurface mineral interests associated with approximately 352,000 surface acres in 19 counties in the State of Florida (“Subsurface Interests”), as further described in Note 6, “Real Estate Operations” in the Notes to Financial Statements. As part of the Subsurface Interests sale, the Company entered into a management agreement with the buyer to provide ongoing management services (the “Subsurface Management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Investment in PINE: Our business also includes our investment in PINE. As of September 30, 2025, the fair value of our investment totaled $35.0 million, or 16.1%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 </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shd w:fill="FFFFFF" w:val="clear"/>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w:t>
      </w:r>
      <w:r>
        <w:rPr>
          <w:rFonts w:ascii="Times New Roman;Times;serif" w:hAnsi="Times New Roman;Times;serif"/>
          <w:sz w:val="20"/>
        </w:rPr>
        <w:t xml:space="preserve"> During the nine months ended September 30, 2025, the Company sold three single-tenant income properties for $7.1 million, generating gains totaling $1.2 million. </w:t>
      </w:r>
      <w:r>
        <w:rPr>
          <w:rFonts w:ascii="Times New Roman;Times;serif" w:hAnsi="Times New Roman;Times;serif"/>
          <w:sz w:val="20"/>
          <w:shd w:fill="FFFFFF" w:val="clear"/>
        </w:rPr>
        <w:t>As a result of entering into the Exclusivity and Right of First Offer Agreement with PINE (the “ROFO Agreement”) which generally prevents us from investing in single-tenant net lease income properties, our income property investment strategy is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r>
        <w:rPr>
          <w:rFonts w:ascii="Times New Roman;Times;serif" w:hAnsi="Times New Roman;Times;serif"/>
          <w:sz w:val="20"/>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 xml:space="preserve">Our current portfolio of 18 multi-tenant properties generates $99.6 million of revenue from annualized straight-line base lease payments and had a weighted average remaining lease term of 4.9 years as of September 30, 2025. Our current portfolio of 3 single-tenant income properties generates $4.7 million of revenues from annualized straight-line base lease payments and had a weighted average remaining lease term of 2.7 years as of September 30, 2025. </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COMPARISON OF THE THREE MONTHS ENDED SEPTEMBER 30, 2025 AND 2024</w:t>
      </w:r>
    </w:p>
    <w:p>
      <w:pPr>
        <w:pStyle w:val="TextBody"/>
        <w:bidi w:val="0"/>
        <w:spacing w:before="28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three months ended September 30, 2025 is presented in the following summary and indicates the changes as compared to the three months ended September 30, 2024 (in thousands): </w:t>
      </w:r>
    </w:p>
    <w:p>
      <w:pPr>
        <w:pStyle w:val="TextBody"/>
        <w:bidi w:val="0"/>
        <w:spacing w:before="0" w:after="0"/>
        <w:ind w:left="0" w:right="0" w:firstLine="360"/>
        <w:jc w:val="both"/>
        <w:rPr>
          <w:shd w:fill="FFFF00" w:val="clear"/>
        </w:rPr>
      </w:pPr>
      <w:r>
        <w:rPr>
          <w:shd w:fill="FFFF00" w:val="clear"/>
        </w:rPr>
        <w:t>​</w:t>
      </w:r>
    </w:p>
    <w:tbl>
      <w:tblPr>
        <w:tblW w:w="9416" w:type="dxa"/>
        <w:jc w:val="left"/>
        <w:tblInd w:w="0" w:type="dxa"/>
        <w:tblLayout w:type="fixed"/>
        <w:tblCellMar>
          <w:top w:w="0" w:type="dxa"/>
          <w:left w:w="0" w:type="dxa"/>
          <w:bottom w:w="0" w:type="dxa"/>
          <w:right w:w="0" w:type="dxa"/>
        </w:tblCellMar>
      </w:tblPr>
      <w:tblGrid>
        <w:gridCol w:w="3016"/>
        <w:gridCol w:w="326"/>
        <w:gridCol w:w="420"/>
        <w:gridCol w:w="1350"/>
        <w:gridCol w:w="109"/>
        <w:gridCol w:w="420"/>
        <w:gridCol w:w="1350"/>
        <w:gridCol w:w="109"/>
        <w:gridCol w:w="279"/>
        <w:gridCol w:w="757"/>
        <w:gridCol w:w="109"/>
        <w:gridCol w:w="1171"/>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66700" cy="175260"/>
                      <wp:effectExtent l="0" t="0" r="0" b="0"/>
                      <wp:wrapNone/>
                      <wp:docPr id="456" name="Frame456"/>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857250" cy="175260"/>
                      <wp:effectExtent l="0" t="0" r="0" b="0"/>
                      <wp:wrapNone/>
                      <wp:docPr id="457" name="Frame457"/>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9215" cy="175260"/>
                      <wp:effectExtent l="0" t="0" r="0" b="0"/>
                      <wp:wrapNone/>
                      <wp:docPr id="458" name="Frame4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66700" cy="175260"/>
                      <wp:effectExtent l="0" t="0" r="0" b="0"/>
                      <wp:wrapNone/>
                      <wp:docPr id="459" name="Frame459"/>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857250" cy="175260"/>
                      <wp:effectExtent l="0" t="0" r="0" b="0"/>
                      <wp:wrapNone/>
                      <wp:docPr id="460" name="Frame460"/>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215" cy="175260"/>
                      <wp:effectExtent l="0" t="0" r="0" b="0"/>
                      <wp:wrapNone/>
                      <wp:docPr id="461" name="Frame4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77165" cy="175260"/>
                      <wp:effectExtent l="0" t="0" r="0" b="0"/>
                      <wp:wrapNone/>
                      <wp:docPr id="462" name="Frame462"/>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80695" cy="175260"/>
                      <wp:effectExtent l="0" t="0" r="0" b="0"/>
                      <wp:wrapNone/>
                      <wp:docPr id="463" name="Frame463"/>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9215" cy="175260"/>
                      <wp:effectExtent l="0" t="0" r="0" b="0"/>
                      <wp:wrapNone/>
                      <wp:docPr id="464" name="Frame4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743585" cy="175260"/>
                      <wp:effectExtent l="0" t="0" r="0" b="0"/>
                      <wp:wrapNone/>
                      <wp:docPr id="465" name="Frame46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33,439</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28,528</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37,757</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31,805</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18.7%</w:t>
            </w:r>
          </w:p>
        </w:tc>
      </w:tr>
    </w:tbl>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revenue for the three months ended September 30, 2025 increased to $37.8 million, compared to $31.8 million during the three months ended September 30, 2024. The $6.0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increased, which was partially offset by reduced revenues from our real estate operations.</w:t>
      </w:r>
    </w:p>
    <w:p>
      <w:pPr>
        <w:pStyle w:val="TextBody"/>
        <w:bidi w:val="0"/>
        <w:spacing w:before="0" w:after="0"/>
        <w:ind w:left="0" w:right="0" w:firstLine="49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before="240" w:after="240"/>
        <w:ind w:left="0" w:right="0" w:firstLine="446"/>
        <w:jc w:val="both"/>
        <w:rPr>
          <w:rFonts w:ascii="Times New Roman;Times;serif" w:hAnsi="Times New Roman;Times;serif"/>
          <w:sz w:val="20"/>
        </w:rPr>
      </w:pPr>
      <w:r>
        <w:rPr>
          <w:rFonts w:ascii="Times New Roman;Times;serif" w:hAnsi="Times New Roman;Times;serif"/>
          <w:sz w:val="20"/>
        </w:rPr>
        <w:t>Revenue and operating income from our income property operations totaled $33.4 million and $24.2 million, respectively, during the three months ended September 30, 2025, compared to total revenue and operating income of $28.5 million and $20.7 million, respectively, for the three months ended September 30, 2024. The direct costs of revenues for our income property operations totaled $9.2 million and $7.8 million for the three months ended September 30, 2025 and 2024, respectively. The increase in revenues of $4.9 million, or 17.2%, during the three months ended September 30, 2025 is primarily related to the overall growth and lease up of the Company’s income property portfolio, as well as the timing of acquisitions versus dispositions. The increase in operating income of $3.5 million from our income property operations reflects increased rent revenues related to our net investments as well as leasing activity.</w:t>
      </w:r>
    </w:p>
    <w:p>
      <w:pPr>
        <w:pStyle w:val="TextBody"/>
        <w:bidi w:val="0"/>
        <w:spacing w:before="280" w:after="24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Revenue from our management services from PINE totaled $1.1 million during each of the three months ended September 30, 2025 and 2024. Management services during the three months ended September 30, 2025 and 2024 also included less than $0.1 million from the asset management agreement with a third party to manage a portfolio of multi-tenant and single-tenant assets (the “Portfolio Management Agreement”) and less than $0.1 million from the Subsurface Management Agreement.</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Interest income from our commercial loans and investments totaled $3.1 million and $1.6 million during the three months ended September 30, 2025 and 2024, respectively. The increase of $1.5 million is primarily due to increased income as a result of the overall growth in the loan portfolio as well as the timing of the investments made related to new loan originations and structured investments. </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Real Estate Operations</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During the three months ended September 30, 2024, revenue and operating income from real estate operations was $0.5 million and $0.2 million, respectively, which was attributable to mitigation credits sold during the period. There was no revenue or operating income from real estate operations during the three months ended September 30, 2025, because the Company sold its portfolio of Subsurface Interests and all remaining mitigation credits during the year ended December 31, 2024.</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three months ended September 30, 2025 is presented in the following summary and indicates the changes as compared to the three months ended September 30, 2024 (in thousands):</w:t>
      </w:r>
    </w:p>
    <w:tbl>
      <w:tblPr>
        <w:tblW w:w="10205" w:type="dxa"/>
        <w:jc w:val="left"/>
        <w:tblInd w:w="0" w:type="dxa"/>
        <w:tblLayout w:type="fixed"/>
        <w:tblCellMar>
          <w:top w:w="0" w:type="dxa"/>
          <w:left w:w="0" w:type="dxa"/>
          <w:bottom w:w="0" w:type="dxa"/>
          <w:right w:w="0" w:type="dxa"/>
        </w:tblCellMar>
      </w:tblPr>
      <w:tblGrid>
        <w:gridCol w:w="3852"/>
        <w:gridCol w:w="326"/>
        <w:gridCol w:w="468"/>
        <w:gridCol w:w="1271"/>
        <w:gridCol w:w="121"/>
        <w:gridCol w:w="468"/>
        <w:gridCol w:w="1271"/>
        <w:gridCol w:w="109"/>
        <w:gridCol w:w="345"/>
        <w:gridCol w:w="691"/>
        <w:gridCol w:w="109"/>
        <w:gridCol w:w="1174"/>
      </w:tblGrid>
      <w:tr>
        <w:trPr/>
        <w:tc>
          <w:tcPr>
            <w:tcW w:w="38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97180" cy="175260"/>
                      <wp:effectExtent l="0" t="0" r="0" b="0"/>
                      <wp:wrapNone/>
                      <wp:docPr id="467" name="Frame467"/>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807085" cy="175260"/>
                      <wp:effectExtent l="0" t="0" r="0" b="0"/>
                      <wp:wrapNone/>
                      <wp:docPr id="468" name="Frame468"/>
                      <a:graphic xmlns:a="http://schemas.openxmlformats.org/drawingml/2006/main">
                        <a:graphicData uri="http://schemas.microsoft.com/office/word/2010/wordprocessingShape">
                          <wps:wsp>
                            <wps:cNvSpPr txBox="1"/>
                            <wps:spPr>
                              <a:xfrm>
                                <a:off x="0" y="0"/>
                                <a:ext cx="80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76835" cy="175260"/>
                      <wp:effectExtent l="0" t="0" r="0" b="0"/>
                      <wp:wrapNone/>
                      <wp:docPr id="469" name="Frame469"/>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97180" cy="175260"/>
                      <wp:effectExtent l="0" t="0" r="0" b="0"/>
                      <wp:wrapNone/>
                      <wp:docPr id="470" name="Frame470"/>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807085" cy="175260"/>
                      <wp:effectExtent l="0" t="0" r="0" b="0"/>
                      <wp:wrapNone/>
                      <wp:docPr id="471" name="Frame471"/>
                      <a:graphic xmlns:a="http://schemas.openxmlformats.org/drawingml/2006/main">
                        <a:graphicData uri="http://schemas.microsoft.com/office/word/2010/wordprocessingShape">
                          <wps:wsp>
                            <wps:cNvSpPr txBox="1"/>
                            <wps:spPr>
                              <a:xfrm>
                                <a:off x="0" y="0"/>
                                <a:ext cx="80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9215" cy="175260"/>
                      <wp:effectExtent l="0" t="0" r="0" b="0"/>
                      <wp:wrapNone/>
                      <wp:docPr id="472" name="Frame4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075" cy="175260"/>
                      <wp:effectExtent l="0" t="0" r="0" b="0"/>
                      <wp:wrapNone/>
                      <wp:docPr id="473" name="Frame473"/>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438785" cy="175260"/>
                      <wp:effectExtent l="0" t="0" r="0" b="0"/>
                      <wp:wrapNone/>
                      <wp:docPr id="474" name="Frame4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9215" cy="175260"/>
                      <wp:effectExtent l="0" t="0" r="0" b="0"/>
                      <wp:wrapNone/>
                      <wp:docPr id="475" name="Frame4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745490" cy="175260"/>
                      <wp:effectExtent l="0" t="0" r="0" b="0"/>
                      <wp:wrapNone/>
                      <wp:docPr id="476" name="Frame476"/>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left"/>
              <w:rPr/>
            </w:pPr>
            <w:r>
              <w:rPr/>
              <w:t>​</w:t>
            </w:r>
          </w:p>
        </w:tc>
      </w:tr>
      <w:tr>
        <w:trPr/>
        <w:tc>
          <w:tcPr>
            <w:tcW w:w="38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1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21" w:type="dxa"/>
            <w:tcBorders/>
            <w:vAlign w:val="center"/>
          </w:tcPr>
          <w:p>
            <w:pPr>
              <w:pStyle w:val="TableContents"/>
              <w:bidi w:val="0"/>
              <w:spacing w:before="0" w:after="0"/>
              <w:ind w:left="0" w:right="0" w:hanging="0"/>
              <w:jc w:val="left"/>
              <w:rPr/>
            </w:pPr>
            <w:r>
              <w:rPr/>
              <w:t>​</w:t>
            </w:r>
          </w:p>
        </w:tc>
        <w:tc>
          <w:tcPr>
            <w:tcW w:w="1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38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3,844</w:t>
            </w:r>
          </w:p>
        </w:tc>
        <w:tc>
          <w:tcPr>
            <w:tcW w:w="121"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38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Stock Compensation </w:t>
            </w:r>
          </w:p>
        </w:tc>
        <w:tc>
          <w:tcPr>
            <w:tcW w:w="326" w:type="dxa"/>
            <w:tcBorders/>
            <w:vAlign w:val="center"/>
          </w:tcPr>
          <w:p>
            <w:pPr>
              <w:pStyle w:val="TableContents"/>
              <w:bidi w:val="0"/>
              <w:spacing w:before="0" w:after="0"/>
              <w:ind w:left="0" w:right="0" w:hanging="0"/>
              <w:jc w:val="left"/>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121" w:type="dxa"/>
            <w:tcBorders/>
            <w:vAlign w:val="center"/>
          </w:tcPr>
          <w:p>
            <w:pPr>
              <w:pStyle w:val="TableContents"/>
              <w:bidi w:val="0"/>
              <w:spacing w:before="0" w:after="0"/>
              <w:ind w:left="0" w:right="0" w:hanging="0"/>
              <w:jc w:val="left"/>
              <w:rPr/>
            </w:pPr>
            <w:r>
              <w:rPr/>
              <w:t>​</w:t>
            </w:r>
          </w:p>
        </w:tc>
        <w:tc>
          <w:tcPr>
            <w:tcW w:w="4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109"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109" w:type="dxa"/>
            <w:tcBorders/>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38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4,780</w:t>
            </w:r>
          </w:p>
        </w:tc>
        <w:tc>
          <w:tcPr>
            <w:tcW w:w="121" w:type="dxa"/>
            <w:tcBorders/>
            <w:shd w:fill="CCEEFF" w:val="clear"/>
            <w:vAlign w:val="center"/>
          </w:tcPr>
          <w:p>
            <w:pPr>
              <w:pStyle w:val="TableContents"/>
              <w:bidi w:val="0"/>
              <w:spacing w:before="0" w:after="0"/>
              <w:ind w:left="0" w:right="0" w:hanging="0"/>
              <w:jc w:val="left"/>
              <w:rPr/>
            </w:pPr>
            <w:r>
              <w:rPr/>
              <w:t>​</w:t>
            </w:r>
          </w:p>
        </w:tc>
        <w:tc>
          <w:tcPr>
            <w:tcW w:w="4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4,075</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c>
          <w:tcPr>
            <w:tcW w:w="109" w:type="dxa"/>
            <w:tcBorders/>
            <w:shd w:fill="CCEEFF" w:val="clear"/>
            <w:vAlign w:val="center"/>
          </w:tcPr>
          <w:p>
            <w:pPr>
              <w:pStyle w:val="TableContents"/>
              <w:bidi w:val="0"/>
              <w:spacing w:before="0" w:after="0"/>
              <w:ind w:left="0" w:right="0" w:hanging="0"/>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17.3%</w:t>
            </w:r>
          </w:p>
        </w:tc>
      </w:tr>
    </w:tbl>
    <w:p>
      <w:pPr>
        <w:pStyle w:val="TextBody"/>
        <w:bidi w:val="0"/>
        <w:spacing w:before="240" w:after="120"/>
        <w:ind w:left="0" w:right="0" w:firstLine="490"/>
        <w:jc w:val="both"/>
        <w:rPr>
          <w:rFonts w:ascii="Times New Roman;Times;serif" w:hAnsi="Times New Roman;Times;serif"/>
          <w:sz w:val="20"/>
        </w:rPr>
      </w:pPr>
      <w:r>
        <w:rPr>
          <w:rFonts w:ascii="Times New Roman;Times;serif" w:hAnsi="Times New Roman;Times;serif"/>
          <w:sz w:val="20"/>
        </w:rPr>
        <w:t xml:space="preserve">The primary reason for the increase in total general and administrative expenses is the overall higher employee count, as a result of the increased operating activity from the increase in managed income property assets, as well as increases in compensation effective on January 1,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totaled $14.9 million and $13.2 million during the three months ended September 30, 2025 and 2024, respectively. The increase of $1.7 million is due to the overall growth in the Company’s income property portfolio, as well as $0.5 million in the acceleration of amortization for lease intangibles related to certain leases terminated during the three months ended September 30, 2025.</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 on Disposition of Assets and Provision for Impairment </w:t>
      </w:r>
    </w:p>
    <w:p>
      <w:pPr>
        <w:pStyle w:val="TextBody"/>
        <w:shd w:fill="FFFFFF" w:val="clear"/>
        <w:bidi w:val="0"/>
        <w:spacing w:before="0" w:after="0"/>
        <w:ind w:left="0" w:right="0" w:firstLine="49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i/>
          <w:color w:val="212529"/>
          <w:sz w:val="20"/>
        </w:rPr>
        <w:t>2025 Dispositions.</w:t>
      </w:r>
      <w:r>
        <w:rPr>
          <w:rFonts w:ascii="Times New Roman;Times;serif" w:hAnsi="Times New Roman;Times;serif"/>
          <w:color w:val="212529"/>
          <w:sz w:val="20"/>
        </w:rPr>
        <w:t> </w:t>
      </w:r>
      <w:r>
        <w:rPr>
          <w:rFonts w:ascii="Times New Roman;Times;serif" w:hAnsi="Times New Roman;Times;serif"/>
          <w:sz w:val="20"/>
        </w:rPr>
        <w:t>During the three months ended September 30, 2025, the Company sold three single-tenant income properties located in Daytona Beach, Florida for $7.1 million, generating gains totaling $1.2 million.</w:t>
      </w:r>
    </w:p>
    <w:p>
      <w:pPr>
        <w:pStyle w:val="TextBody"/>
        <w:shd w:fill="FFFFFF" w:val="clear"/>
        <w:bidi w:val="0"/>
        <w:spacing w:before="100" w:after="10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i/>
          <w:color w:val="212529"/>
          <w:sz w:val="20"/>
        </w:rPr>
        <w:t>2024 Dispositions.</w:t>
      </w:r>
      <w:r>
        <w:rPr>
          <w:rFonts w:ascii="Times New Roman;Times;serif" w:hAnsi="Times New Roman;Times;serif"/>
          <w:color w:val="212529"/>
          <w:sz w:val="20"/>
        </w:rPr>
        <w:t> During the three months ended September 30, 2024, the Company sold one multi-tenant income property located in West Jordan, Utah for $18.0 million resulting in a loss on sale of $0.8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Provision for Impairment.</w:t>
      </w:r>
      <w:r>
        <w:rPr>
          <w:rFonts w:ascii="Times New Roman;Times;serif" w:hAnsi="Times New Roman;Times;serif"/>
          <w:sz w:val="20"/>
          <w:shd w:fill="FFFFFF" w:val="clear"/>
        </w:rPr>
        <w:t> </w:t>
      </w:r>
      <w:r>
        <w:rPr>
          <w:rFonts w:ascii="Times New Roman;Times;serif" w:hAnsi="Times New Roman;Times;serif"/>
          <w:color w:val="212529"/>
          <w:sz w:val="20"/>
          <w:shd w:fill="FFFFFF" w:val="clear"/>
        </w:rPr>
        <w:t xml:space="preserve">There were no impairment charges on the Company’s income property portfolio during the three months ended September 30, 2025 and 2024. </w:t>
      </w:r>
      <w:r>
        <w:rPr>
          <w:rFonts w:ascii="Times New Roman;Times;serif" w:hAnsi="Times New Roman;Times;serif"/>
          <w:sz w:val="20"/>
        </w:rPr>
        <w:t>The Company recorded impairment charges related to its commercial loans and investments of less than $0.1 million and $0.5 million for the three months ended September 30, 2025 and 2024, respectively.</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 (Loss)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three months ended </w:t>
      </w:r>
      <w:r>
        <w:rPr>
          <w:rFonts w:ascii="Times New Roman;Times;serif" w:hAnsi="Times New Roman;Times;serif"/>
          <w:color w:val="212529"/>
          <w:sz w:val="20"/>
          <w:shd w:fill="FFFFFF" w:val="clear"/>
        </w:rPr>
        <w:t>September 30</w:t>
      </w:r>
      <w:r>
        <w:rPr>
          <w:rFonts w:ascii="Times New Roman;Times;serif" w:hAnsi="Times New Roman;Times;serif"/>
          <w:sz w:val="20"/>
          <w:shd w:fill="FFFFFF" w:val="clear"/>
        </w:rPr>
        <w:t>, 2025</w:t>
      </w:r>
      <w:r>
        <w:rPr>
          <w:rFonts w:ascii="Times New Roman;Times;serif" w:hAnsi="Times New Roman;Times;serif"/>
          <w:sz w:val="20"/>
        </w:rPr>
        <w:t>, the closing stock price of PINE decreased by $0.54 per share, with a closing price of $14.17 on</w:t>
      </w:r>
      <w:r>
        <w:rPr>
          <w:rFonts w:ascii="Times New Roman;Times;serif" w:hAnsi="Times New Roman;Times;serif"/>
          <w:color w:val="212529"/>
          <w:sz w:val="20"/>
          <w:shd w:fill="FFFFFF" w:val="clear"/>
        </w:rPr>
        <w:t xml:space="preserve"> September 30</w:t>
      </w:r>
      <w:r>
        <w:rPr>
          <w:rFonts w:ascii="Times New Roman;Times;serif" w:hAnsi="Times New Roman;Times;serif"/>
          <w:sz w:val="20"/>
          <w:shd w:fill="FFFFFF" w:val="clear"/>
        </w:rPr>
        <w:t>, 2025</w:t>
      </w:r>
      <w:r>
        <w:rPr>
          <w:rFonts w:ascii="Times New Roman;Times;serif" w:hAnsi="Times New Roman;Times;serif"/>
          <w:sz w:val="20"/>
        </w:rPr>
        <w:t xml:space="preserve">. </w:t>
      </w:r>
      <w:r>
        <w:rPr>
          <w:rFonts w:ascii="Times New Roman;Times;serif" w:hAnsi="Times New Roman;Times;serif"/>
          <w:color w:val="212529"/>
          <w:sz w:val="20"/>
          <w:shd w:fill="FFFFFF" w:val="clear"/>
        </w:rPr>
        <w:t>During the three months ended September 30, 2024, the closing stock price of PINE increased by $2.64 per share, with a closing price of $18.20 on September 30, 2024. </w:t>
      </w:r>
      <w:r>
        <w:rPr>
          <w:rFonts w:ascii="Times New Roman;Times;serif" w:hAnsi="Times New Roman;Times;serif"/>
          <w:sz w:val="20"/>
        </w:rPr>
        <w:t xml:space="preserve">The change in stock price resulted in unrealized non-cash gain (loss) on the Company’s investment in PINE in the amount of $(1.3) million and $6.2 million which is included in investment and other income (loss) in the consolidated statements of operations for the three months ended </w:t>
      </w:r>
      <w:r>
        <w:rPr>
          <w:rFonts w:ascii="Times New Roman;Times;serif" w:hAnsi="Times New Roman;Times;serif"/>
          <w:color w:val="212529"/>
          <w:sz w:val="20"/>
          <w:shd w:fill="FFFFFF" w:val="clear"/>
        </w:rPr>
        <w:t>September 30</w:t>
      </w:r>
      <w:r>
        <w:rPr>
          <w:rFonts w:ascii="Times New Roman;Times;serif" w:hAnsi="Times New Roman;Times;serif"/>
          <w:sz w:val="20"/>
        </w:rPr>
        <w:t>, 2025 and 2024, respectively.</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The Company earned dividend income of $0.7 million from its investment in PINE during each of the three months ended </w:t>
      </w:r>
      <w:r>
        <w:rPr>
          <w:rFonts w:ascii="Times New Roman;Times;serif" w:hAnsi="Times New Roman;Times;serif"/>
          <w:color w:val="212529"/>
          <w:sz w:val="20"/>
          <w:shd w:fill="FFFFFF" w:val="clear"/>
        </w:rPr>
        <w:t>September 30</w:t>
      </w:r>
      <w:r>
        <w:rPr>
          <w:rFonts w:ascii="Times New Roman;Times;serif" w:hAnsi="Times New Roman;Times;serif"/>
          <w:sz w:val="20"/>
        </w:rPr>
        <w:t>, 2025 and 2024.</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Interest expense totaled $6.8 million and $5.6 million for the three months ended </w:t>
      </w:r>
      <w:r>
        <w:rPr>
          <w:rFonts w:ascii="Times New Roman;Times;serif" w:hAnsi="Times New Roman;Times;serif"/>
          <w:color w:val="212529"/>
          <w:sz w:val="20"/>
          <w:shd w:fill="FFFFFF" w:val="clear"/>
        </w:rPr>
        <w:t>September 30</w:t>
      </w:r>
      <w:r>
        <w:rPr>
          <w:rFonts w:ascii="Times New Roman;Times;serif" w:hAnsi="Times New Roman;Times;serif"/>
          <w:sz w:val="20"/>
        </w:rPr>
        <w:t xml:space="preserve">, 2025 and 2024, respectively. The increase of $1.2 million is primarily due to the increase in interest from the Company’s 2029 Term Loan effective on September 30, 2024. </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Attributable to the Company</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Net income attributable to the Company totaled $2.9 million and $6.2 million during the three months ended </w:t>
      </w:r>
      <w:r>
        <w:rPr>
          <w:rFonts w:ascii="Times New Roman;Times;serif" w:hAnsi="Times New Roman;Times;serif"/>
          <w:color w:val="212529"/>
          <w:sz w:val="20"/>
          <w:shd w:fill="FFFFFF" w:val="clear"/>
        </w:rPr>
        <w:t>September 30, 2025 and 2024,</w:t>
      </w:r>
      <w:r>
        <w:rPr>
          <w:rFonts w:ascii="Times New Roman;Times;serif" w:hAnsi="Times New Roman;Times;serif"/>
          <w:sz w:val="20"/>
        </w:rPr>
        <w:t xml:space="preserve"> respectively. The $3.3 million decrease in net income is attributable to the factors described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COMPARISON OF THE NINE MONTHS ENDED SEPTEMBER 30, 2025 AND 2024</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Total revenue for the nine months ended September 30, 2025 is presented in the following summary and indicates the changes as compared to the nine months ended September 30, 2024 (in thousands): </w:t>
      </w:r>
    </w:p>
    <w:p>
      <w:pPr>
        <w:pStyle w:val="TextBody"/>
        <w:bidi w:val="0"/>
        <w:spacing w:before="0" w:after="0"/>
        <w:ind w:left="0" w:right="0" w:firstLine="490"/>
        <w:jc w:val="both"/>
        <w:rPr/>
      </w:pPr>
      <w:r>
        <w:rPr/>
        <w:t>​</w:t>
      </w:r>
    </w:p>
    <w:tbl>
      <w:tblPr>
        <w:tblW w:w="9416" w:type="dxa"/>
        <w:jc w:val="left"/>
        <w:tblInd w:w="0" w:type="dxa"/>
        <w:tblLayout w:type="fixed"/>
        <w:tblCellMar>
          <w:top w:w="0" w:type="dxa"/>
          <w:left w:w="0" w:type="dxa"/>
          <w:bottom w:w="0" w:type="dxa"/>
          <w:right w:w="0" w:type="dxa"/>
        </w:tblCellMar>
      </w:tblPr>
      <w:tblGrid>
        <w:gridCol w:w="3016"/>
        <w:gridCol w:w="326"/>
        <w:gridCol w:w="375"/>
        <w:gridCol w:w="1395"/>
        <w:gridCol w:w="109"/>
        <w:gridCol w:w="420"/>
        <w:gridCol w:w="1350"/>
        <w:gridCol w:w="109"/>
        <w:gridCol w:w="246"/>
        <w:gridCol w:w="790"/>
        <w:gridCol w:w="109"/>
        <w:gridCol w:w="1171"/>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7"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38125" cy="175260"/>
                      <wp:effectExtent l="0" t="0" r="0" b="0"/>
                      <wp:wrapNone/>
                      <wp:docPr id="478" name="Frame47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885825" cy="175260"/>
                      <wp:effectExtent l="0" t="0" r="0" b="0"/>
                      <wp:wrapNone/>
                      <wp:docPr id="479" name="Frame479"/>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9215" cy="175260"/>
                      <wp:effectExtent l="0" t="0" r="0" b="0"/>
                      <wp:wrapNone/>
                      <wp:docPr id="480" name="Frame4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66700" cy="175260"/>
                      <wp:effectExtent l="0" t="0" r="0" b="0"/>
                      <wp:wrapNone/>
                      <wp:docPr id="481" name="Frame481"/>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857250" cy="175260"/>
                      <wp:effectExtent l="0" t="0" r="0" b="0"/>
                      <wp:wrapNone/>
                      <wp:docPr id="482" name="Frame482"/>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9215" cy="175260"/>
                      <wp:effectExtent l="0" t="0" r="0" b="0"/>
                      <wp:wrapNone/>
                      <wp:docPr id="483" name="Frame4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56210" cy="175260"/>
                      <wp:effectExtent l="0" t="0" r="0" b="0"/>
                      <wp:wrapNone/>
                      <wp:docPr id="484" name="Frame48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01650" cy="175260"/>
                      <wp:effectExtent l="0" t="0" r="0" b="0"/>
                      <wp:wrapNone/>
                      <wp:docPr id="485" name="Frame485"/>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9215" cy="175260"/>
                      <wp:effectExtent l="0" t="0" r="0" b="0"/>
                      <wp:wrapNone/>
                      <wp:docPr id="486" name="Frame4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743585" cy="175260"/>
                      <wp:effectExtent l="0" t="0" r="0" b="0"/>
                      <wp:wrapNone/>
                      <wp:docPr id="487" name="Frame48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Segment</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98,486</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79,029</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19,457</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Services</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w:t>
            </w:r>
          </w:p>
        </w:tc>
        <w:tc>
          <w:tcPr>
            <w:tcW w:w="109"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9,119</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4,712</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Operations</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109"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111,206</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88,777</w:t>
            </w:r>
          </w:p>
        </w:tc>
        <w:tc>
          <w:tcPr>
            <w:tcW w:w="109"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25.3%</w:t>
            </w:r>
          </w:p>
        </w:tc>
      </w:tr>
    </w:tbl>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revenue for the nine months ended September 30, 2025 increased to $111.2 million, compared to $88.8 million during the nine months ended September 30, 2024. The $22.4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increased, which was partially offset by reduced revenues from our real estate operations.</w:t>
      </w:r>
    </w:p>
    <w:p>
      <w:pPr>
        <w:pStyle w:val="TextBody"/>
        <w:bidi w:val="0"/>
        <w:spacing w:before="0" w:after="0"/>
        <w:ind w:left="0" w:right="0" w:firstLine="49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Income Properties</w:t>
      </w:r>
    </w:p>
    <w:p>
      <w:pPr>
        <w:pStyle w:val="TextBody"/>
        <w:bidi w:val="0"/>
        <w:spacing w:before="0" w:after="240"/>
        <w:ind w:left="0" w:right="0" w:firstLine="446"/>
        <w:jc w:val="both"/>
        <w:rPr>
          <w:rFonts w:ascii="Times New Roman;Times;serif" w:hAnsi="Times New Roman;Times;serif"/>
          <w:sz w:val="20"/>
        </w:rPr>
      </w:pPr>
      <w:r>
        <w:rPr>
          <w:rFonts w:ascii="Times New Roman;Times;serif" w:hAnsi="Times New Roman;Times;serif"/>
          <w:sz w:val="20"/>
        </w:rPr>
        <w:t>Revenue and operating income from our income property operations totaled $98.5 million and $70.1 million, respectively, during the nine months ended September 30, 2025, compared to total revenue and operating income of $79.0 million and $56.4 million, respectively, for the nine months ended September 30, 2024. The direct costs of revenues for our income property operations totaled $28.4 million and $22.6 million for the nine months ended September 30, 2025 and 2024, respectively. The increase in revenues of $19.5 million, or 24.6%, during the nine months ended September 30, 2025 is primarily related to the overall growth and lease up of the Company’s income property portfolio, as well as the timing of acquisitions versus dispositions. The increase in operating income of $13.7 million from our income property operations reflects increased rent revenues related to net investments as well as leasing activity.</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Management Services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Revenue from our management services from PINE totaled $3.3 million and $3.1 million during the nine months ended September 30, 2025 and 2024,</w:t>
      </w:r>
      <w:r>
        <w:rPr>
          <w:rFonts w:ascii="Times New Roman;Times;serif" w:hAnsi="Times New Roman;Times;serif"/>
          <w:sz w:val="20"/>
          <w:shd w:fill="FFFFFF" w:val="clear"/>
        </w:rPr>
        <w:t xml:space="preserve"> respectively. </w:t>
      </w:r>
      <w:r>
        <w:rPr>
          <w:rFonts w:ascii="Times New Roman;Times;serif" w:hAnsi="Times New Roman;Times;serif"/>
          <w:sz w:val="20"/>
        </w:rPr>
        <w:t>Management services during the nine months ended September 30, 2025 and 2024 also included $0.2 million and $0.1 million, respectively, from the asset management agreement with a third party to manage a portfolio of multi-tenant and single-tenant assets (the “Portfolio Management Agreement”) and less than $0.1 million from the Subsurface Management Agreement during each of the nine months ended September 30, 2025 and 2024.</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income from our commercial loans and investments totaled $9.1 million and $4.4 million during the nine months ended September 30, 2025 and 2024, respectively. The increase is primarily due to increased income as a result of the overall growth in the loan portfolio as well as the timing of the investments made related to new loan originations and structured investments.</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Real Estate Operations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During the nine months ended September 30, 2024, revenue and operating income from real estate operations was $2.0 million and $0.5 million, respectively, which was attributable to mitigation credits sold during the period. There was no revenue or operating income from real estate operations during the nine months ended September 30, 2025, because the Company sold its portfolio of Subsurface Interests and all remaining mitigation credits during the year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Total general and administrative expenses for the nine months ended September 30, 2025 is presented in the following summary and indicates the changes as compared to the nine months ended September 30, 2024 (in thousands):</w:t>
      </w:r>
    </w:p>
    <w:p>
      <w:pPr>
        <w:pStyle w:val="TextBody"/>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3861"/>
        <w:gridCol w:w="326"/>
        <w:gridCol w:w="413"/>
        <w:gridCol w:w="1328"/>
        <w:gridCol w:w="109"/>
        <w:gridCol w:w="413"/>
        <w:gridCol w:w="1328"/>
        <w:gridCol w:w="109"/>
        <w:gridCol w:w="279"/>
        <w:gridCol w:w="757"/>
        <w:gridCol w:w="109"/>
        <w:gridCol w:w="1173"/>
      </w:tblGrid>
      <w:tr>
        <w:trPr/>
        <w:tc>
          <w:tcPr>
            <w:tcW w:w="3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8"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62255" cy="175260"/>
                      <wp:effectExtent l="0" t="0" r="0" b="0"/>
                      <wp:wrapNone/>
                      <wp:docPr id="489" name="Frame489"/>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843280" cy="175260"/>
                      <wp:effectExtent l="0" t="0" r="0" b="0"/>
                      <wp:wrapNone/>
                      <wp:docPr id="490" name="Frame490"/>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9215" cy="175260"/>
                      <wp:effectExtent l="0" t="0" r="0" b="0"/>
                      <wp:wrapNone/>
                      <wp:docPr id="491" name="Frame4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62255" cy="175260"/>
                      <wp:effectExtent l="0" t="0" r="0" b="0"/>
                      <wp:wrapNone/>
                      <wp:docPr id="492" name="Frame492"/>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843280" cy="175260"/>
                      <wp:effectExtent l="0" t="0" r="0" b="0"/>
                      <wp:wrapNone/>
                      <wp:docPr id="493" name="Frame493"/>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9215" cy="175260"/>
                      <wp:effectExtent l="0" t="0" r="0" b="0"/>
                      <wp:wrapNone/>
                      <wp:docPr id="494" name="Frame4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77165" cy="175260"/>
                      <wp:effectExtent l="0" t="0" r="0" b="0"/>
                      <wp:wrapNone/>
                      <wp:docPr id="495" name="Frame495"/>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80695" cy="175260"/>
                      <wp:effectExtent l="0" t="0" r="0" b="0"/>
                      <wp:wrapNone/>
                      <wp:docPr id="496" name="Frame496"/>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9215" cy="175260"/>
                      <wp:effectExtent l="0" t="0" r="0" b="0"/>
                      <wp:wrapNone/>
                      <wp:docPr id="497" name="Frame4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744855" cy="175260"/>
                      <wp:effectExtent l="0" t="0" r="0" b="0"/>
                      <wp:wrapNone/>
                      <wp:docPr id="498" name="Frame498"/>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r>
      <w:tr>
        <w:trPr/>
        <w:tc>
          <w:tcPr>
            <w:tcW w:w="38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1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left"/>
              <w:rPr/>
            </w:pPr>
            <w:r>
              <w:rPr/>
              <w:t>​</w:t>
            </w:r>
          </w:p>
        </w:tc>
        <w:tc>
          <w:tcPr>
            <w:tcW w:w="1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3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Recurring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10,689</w:t>
            </w:r>
          </w:p>
        </w:tc>
        <w:tc>
          <w:tcPr>
            <w:tcW w:w="109"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8,863</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3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Stock Compensation </w:t>
            </w:r>
          </w:p>
        </w:tc>
        <w:tc>
          <w:tcPr>
            <w:tcW w:w="326" w:type="dxa"/>
            <w:tcBorders/>
            <w:vAlign w:val="center"/>
          </w:tcPr>
          <w:p>
            <w:pPr>
              <w:pStyle w:val="TableContents"/>
              <w:bidi w:val="0"/>
              <w:spacing w:before="0" w:after="0"/>
              <w:ind w:left="0" w:right="0" w:hanging="0"/>
              <w:jc w:val="left"/>
              <w:rPr/>
            </w:pPr>
            <w:r>
              <w:rPr/>
              <w:t>​</w:t>
            </w:r>
          </w:p>
        </w:tc>
        <w:tc>
          <w:tcPr>
            <w:tcW w:w="4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3,222</w:t>
            </w:r>
          </w:p>
        </w:tc>
        <w:tc>
          <w:tcPr>
            <w:tcW w:w="109" w:type="dxa"/>
            <w:tcBorders/>
            <w:vAlign w:val="center"/>
          </w:tcPr>
          <w:p>
            <w:pPr>
              <w:pStyle w:val="TableContents"/>
              <w:bidi w:val="0"/>
              <w:spacing w:before="0" w:after="0"/>
              <w:ind w:left="0" w:right="0" w:hanging="0"/>
              <w:jc w:val="left"/>
              <w:rPr/>
            </w:pPr>
            <w:r>
              <w:rPr/>
              <w:t>​</w:t>
            </w:r>
          </w:p>
        </w:tc>
        <w:tc>
          <w:tcPr>
            <w:tcW w:w="4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13,911</w:t>
            </w:r>
          </w:p>
        </w:tc>
        <w:tc>
          <w:tcPr>
            <w:tcW w:w="109" w:type="dxa"/>
            <w:tcBorders/>
            <w:shd w:fill="CCEEFF" w:val="clear"/>
            <w:vAlign w:val="center"/>
          </w:tcPr>
          <w:p>
            <w:pPr>
              <w:pStyle w:val="TableContents"/>
              <w:bidi w:val="0"/>
              <w:spacing w:before="0" w:after="0"/>
              <w:ind w:left="0" w:right="0" w:hanging="0"/>
              <w:jc w:val="left"/>
              <w:rPr/>
            </w:pPr>
            <w:r>
              <w:rPr/>
              <w:t>​</w:t>
            </w:r>
          </w:p>
        </w:tc>
        <w:tc>
          <w:tcPr>
            <w:tcW w:w="4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11,750</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18.4%</w:t>
            </w:r>
          </w:p>
        </w:tc>
      </w:tr>
    </w:tbl>
    <w:p>
      <w:pPr>
        <w:pStyle w:val="TextBody"/>
        <w:bidi w:val="0"/>
        <w:spacing w:before="240" w:after="120"/>
        <w:ind w:left="0" w:right="0" w:firstLine="720"/>
        <w:jc w:val="both"/>
        <w:rPr>
          <w:rFonts w:ascii="Times New Roman;Times;serif" w:hAnsi="Times New Roman;Times;serif"/>
          <w:sz w:val="20"/>
        </w:rPr>
      </w:pPr>
      <w:r>
        <w:rPr>
          <w:rFonts w:ascii="Times New Roman;Times;serif" w:hAnsi="Times New Roman;Times;serif"/>
          <w:sz w:val="20"/>
        </w:rPr>
        <w:t xml:space="preserve">The primary reason for the increase in total general and administrative expenses is the overall higher employee count, as a result of the increased operating activity from the increase in managed income property assets, as well as increases in compensation effective on January 1, 2025.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Depreciation and amortization totaled $44.6 million and $35.7 million during the nine months ended September 30, 2025 and 2024, respectively. The increase of $8.9 million is due to the overall growth in the Company’s income property portfolio, as well as $1.8 million in the acceleration of amortization for lease intangibles related to certain leases terminated during the nine months ended September 30, 2025.</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 on Disposition of Assets and Provision for Impairment </w:t>
      </w:r>
    </w:p>
    <w:p>
      <w:pPr>
        <w:pStyle w:val="TextBody"/>
        <w:shd w:fill="FFFFFF" w:val="clear"/>
        <w:bidi w:val="0"/>
        <w:spacing w:before="0" w:after="0"/>
        <w:ind w:left="0" w:right="0" w:firstLine="49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color w:val="212529"/>
          <w:sz w:val="20"/>
        </w:rPr>
        <w:t>2025 Dispositions.</w:t>
      </w:r>
      <w:r>
        <w:rPr>
          <w:rFonts w:ascii="Times New Roman;Times;serif" w:hAnsi="Times New Roman;Times;serif"/>
          <w:color w:val="212529"/>
          <w:sz w:val="20"/>
        </w:rPr>
        <w:t> </w:t>
      </w:r>
      <w:r>
        <w:rPr>
          <w:rFonts w:ascii="Times New Roman;Times;serif" w:hAnsi="Times New Roman;Times;serif"/>
          <w:sz w:val="20"/>
        </w:rPr>
        <w:t>During the nine months ended September 30, 2025, the Company sold three single-tenant income properties located in Daytona Beach, Florida for $7.1 million, generating gains totaling $1.2 million.</w:t>
      </w:r>
    </w:p>
    <w:p>
      <w:pPr>
        <w:pStyle w:val="TextBody"/>
        <w:bidi w:val="0"/>
        <w:spacing w:before="0" w:after="0"/>
        <w:ind w:left="0" w:right="0" w:firstLine="360"/>
        <w:jc w:val="both"/>
        <w:rPr>
          <w:color w:val="212529"/>
        </w:rPr>
      </w:pPr>
      <w:r>
        <w:rPr>
          <w:color w:val="212529"/>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color w:val="212529"/>
          <w:sz w:val="20"/>
        </w:rPr>
        <w:t>2024 Dispositions</w:t>
      </w:r>
      <w:r>
        <w:rPr>
          <w:rFonts w:ascii="Times New Roman;Times;serif" w:hAnsi="Times New Roman;Times;serif"/>
          <w:i/>
          <w:sz w:val="20"/>
        </w:rPr>
        <w:t>.</w:t>
      </w:r>
      <w:r>
        <w:rPr>
          <w:rFonts w:ascii="Times New Roman;Times;serif" w:hAnsi="Times New Roman;Times;serif"/>
          <w:sz w:val="20"/>
        </w:rPr>
        <w:t xml:space="preserve"> </w:t>
      </w:r>
      <w:r>
        <w:rPr>
          <w:rFonts w:ascii="Times New Roman;Times;serif" w:hAnsi="Times New Roman;Times;serif"/>
          <w:color w:val="212529"/>
          <w:sz w:val="20"/>
          <w:shd w:fill="FFFFFF" w:val="clear"/>
        </w:rPr>
        <w:t>During the nine months ended September 30, 2024, the Company sold two income properties for an aggregate sales price of $38.0 million and aggregate gains on sales of $3.8 million. The sales consisted of (i) one mixed use income property in downtown Santa Fe, New Mexico for $20.0 million, resulting in a gain of $4.6 million, and (ii) one multi-tenant income property located in West Jordan, Utah for $18.0 million resulting in a loss on sale of $0.8 million. Additionally, during the nine months ended September 30, 2024, the Company sold its portfolio of Subsurface Interests for $5.0 million, resulting in a gain of $4.5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Provision for Impairment.</w:t>
      </w:r>
      <w:r>
        <w:rPr>
          <w:rFonts w:ascii="Times New Roman;Times;serif" w:hAnsi="Times New Roman;Times;serif"/>
          <w:sz w:val="20"/>
          <w:shd w:fill="FFFFFF" w:val="clear"/>
        </w:rPr>
        <w:t> </w:t>
      </w:r>
      <w:r>
        <w:rPr>
          <w:rFonts w:ascii="Times New Roman;Times;serif" w:hAnsi="Times New Roman;Times;serif"/>
          <w:color w:val="212529"/>
          <w:sz w:val="20"/>
          <w:shd w:fill="FFFFFF" w:val="clear"/>
        </w:rPr>
        <w:t xml:space="preserve">There were no impairment charges on the Company’s income property portfolio during the nine months ended September 30, 2025 and 2024. </w:t>
      </w:r>
      <w:r>
        <w:rPr>
          <w:rFonts w:ascii="Times New Roman;Times;serif" w:hAnsi="Times New Roman;Times;serif"/>
          <w:sz w:val="20"/>
        </w:rPr>
        <w:t>The Company recorded impairment charges related to its commercial loans and investments of less than $0.1 million and $0.7 million for the nine months ended September 30, 2025 and 2024, respectively.</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 (Loss)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During the nine months ended </w:t>
      </w:r>
      <w:r>
        <w:rPr>
          <w:rFonts w:ascii="Times New Roman;Times;serif" w:hAnsi="Times New Roman;Times;serif"/>
          <w:sz w:val="20"/>
          <w:shd w:fill="FFFFFF" w:val="clear"/>
        </w:rPr>
        <w:t>September 30, 2025</w:t>
      </w:r>
      <w:r>
        <w:rPr>
          <w:rFonts w:ascii="Times New Roman;Times;serif" w:hAnsi="Times New Roman;Times;serif"/>
          <w:sz w:val="20"/>
        </w:rPr>
        <w:t xml:space="preserve">, the closing stock price of PINE decreased by $2.62 per share, with a closing price of $14.17 on </w:t>
      </w:r>
      <w:r>
        <w:rPr>
          <w:rFonts w:ascii="Times New Roman;Times;serif" w:hAnsi="Times New Roman;Times;serif"/>
          <w:sz w:val="20"/>
          <w:shd w:fill="FFFFFF" w:val="clear"/>
        </w:rPr>
        <w:t>September 30, 2025</w:t>
      </w:r>
      <w:r>
        <w:rPr>
          <w:rFonts w:ascii="Times New Roman;Times;serif" w:hAnsi="Times New Roman;Times;serif"/>
          <w:sz w:val="20"/>
        </w:rPr>
        <w:t xml:space="preserve">. </w:t>
      </w:r>
      <w:r>
        <w:rPr>
          <w:rFonts w:ascii="Times New Roman;Times;serif" w:hAnsi="Times New Roman;Times;serif"/>
          <w:sz w:val="20"/>
          <w:shd w:fill="FFFFFF" w:val="clear"/>
        </w:rPr>
        <w:t xml:space="preserve">During the nine months ended September 30, 2024, the closing stock price of PINE increased by $1.29 per share, with a closing price of $18.20 on September 30, 2024. </w:t>
      </w:r>
      <w:r>
        <w:rPr>
          <w:rFonts w:ascii="Times New Roman;Times;serif" w:hAnsi="Times New Roman;Times;serif"/>
          <w:sz w:val="20"/>
        </w:rPr>
        <w:t xml:space="preserve">The change in stock price resulted in unrealized non-cash gain (loss) on the Company’s investment in PINE in the amount of $(6.2) million and $3.1 million which is included in investment and other income (loss) in the consolidated statements of operations for the nine months ended </w:t>
      </w:r>
      <w:r>
        <w:rPr>
          <w:rFonts w:ascii="Times New Roman;Times;serif" w:hAnsi="Times New Roman;Times;serif"/>
          <w:color w:val="212529"/>
          <w:sz w:val="20"/>
          <w:shd w:fill="FFFFFF" w:val="clear"/>
        </w:rPr>
        <w:t>September 30</w:t>
      </w:r>
      <w:r>
        <w:rPr>
          <w:rFonts w:ascii="Times New Roman;Times;serif" w:hAnsi="Times New Roman;Times;serif"/>
          <w:sz w:val="20"/>
        </w:rPr>
        <w:t>, 2025 and 2024, respectively.</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earned dividend income from the investment in PINE of $2.1 million and $1.9 million during the nine months ended September 30, 2025 and 2024, respectively.</w:t>
      </w:r>
    </w:p>
    <w:p>
      <w:pPr>
        <w:pStyle w:val="TextBody"/>
        <w:bidi w:val="0"/>
        <w:spacing w:before="100" w:after="10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Interest expense totaled $19.8 million and $16.8 million for the nine months ended September 30, 2025 and 2024, respectively. The increase of $3.0 million is primarily due to the $3.5 million increase in interest from the Company’s 2029 Term Loan effective on September 30, 2024 coupled with an increase of $0.5 million in Credit Facility expense due to a higher average outstanding balance, partially offset by a $1.0 million reduction in interest on the 2025 Notes due to their settlement in early April 2025 and at maturity on April 15, 2025.</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on Extinguishment of Debt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nine months ended September 30, 2025, the Company settled the aggregate $51.0 million of principal outstanding on the 2025 Notes in a combination of cash and the issuance of shares of the Company’s common stock resulting in a loss on extinguishment of debt of $20.4 million.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 Attributable to the Company</w:t>
      </w:r>
    </w:p>
    <w:p>
      <w:pPr>
        <w:pStyle w:val="TextBody"/>
        <w:bidi w:val="0"/>
        <w:spacing w:before="0" w:after="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Net income (loss) attributable to the Company totaled $(18.2) million and $13.3 million during the nine months ended September 30, 2025 and 2024, respectively. The $31.5 million decrease in net income is attributable to the factors described above, most notably the $20.4 million loss on extinguishment of debt incurred during the nine months ended September 30, 2025 and a net reduction of $6.9 million in gains on disposition of assets, with $1.4 million recognized during the nine months ended September 30, 2025 as compared to $8.3 million during the nine months ended September 30, 2024.</w:t>
      </w:r>
    </w:p>
    <w:p>
      <w:pPr>
        <w:pStyle w:val="TextBody"/>
        <w:bidi w:val="0"/>
        <w:spacing w:before="0" w:after="0"/>
        <w:ind w:left="0" w:right="0" w:firstLine="49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Cash and cash equivalents totaled $9.3 million at September 30, 2025, while restricted cash totaled $8.3 million, see Note 2, “Summary of Significant Accounting Policies” in the Notes to Financial Statements under the heading Restricted Cash for the Company’s disclosure related to its restricted cash balance at September 30, 2025.</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provided by operating activities totaled $57.7 million during the nine months ended September 30, 2025, as compared to $45.8 million during the nine months ended September 30, 2024, an increase of $11.9 million. The primary reason for the increase in cash flows is due to the increase in cash flows </w:t>
      </w:r>
      <w:r>
        <w:rPr>
          <w:rFonts w:ascii="Times New Roman;Times;serif" w:hAnsi="Times New Roman;Times;serif"/>
          <w:sz w:val="20"/>
          <w:shd w:fill="FFFFFF" w:val="clear"/>
        </w:rPr>
        <w:t xml:space="preserve">provided by income properties, which is the result of the </w:t>
      </w:r>
      <w:r>
        <w:rPr>
          <w:rFonts w:ascii="Times New Roman;Times;serif" w:hAnsi="Times New Roman;Times;serif"/>
          <w:sz w:val="20"/>
        </w:rPr>
        <w:t xml:space="preserve">overall growth and lease up of the Company’s income property portfolio, as well as increased cash flows from our commercial loans and investments, partially offset by increases in interest expense and general and administrative expenses. </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cash flows used in investing activities totaled $95.3 million during the nine months ended September 30, 2025, as compared to $215.3 million during the nine months ended September 30, 2024, for a decrease in cash outflows of $120.0 million. This decrease was primarily driven by a $97.3 million net reduction in cash used for property transactions, reflecting lower acquisition activity and reduced proceeds from dispositions. In addition, the Company had a $34.9 million net decrease in cash outflows related to commercial loans and investments compared to the same period in 2024.</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Our cash flows provided by financing activities totaled $37.8 million during the nine months ended September 30, 2025, compared to $161.6 million for the nine months ended September 30, 2024, a decrease in cash inflows of $123.8 million. The decrease is primarily due to a $132.3 million reduction in proceeds from common and preferred stock issuances under the respective ATM programs, a $33.0 million reduction in proceeds from preferred equity issuances, a $14.1 million premium paid in connection with the settlement of the 2025 Notes, and a $9.2 million increase in cash outflows for common and preferred dividend payments during the nine months ended September 30, 2025, as compared to the same period in 2024. This decrease was partially offset by a net $68.7 million increase in cash inflows provided by net debt activity during the nine months ended September 30, 2025, as compared to the same period in 2024. </w:t>
      </w:r>
    </w:p>
    <w:p>
      <w:pPr>
        <w:pStyle w:val="TextBody"/>
        <w:bidi w:val="0"/>
        <w:spacing w:before="0" w:after="0"/>
        <w:ind w:left="0" w:right="0" w:firstLine="547"/>
        <w:jc w:val="both"/>
        <w:rPr>
          <w:shd w:fill="FFFF00" w:val="clear"/>
        </w:rPr>
      </w:pPr>
      <w:r>
        <w:rPr>
          <w:shd w:fill="FFFF00"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At September 30, 2025, the current commitment level under the Credit Facility was $300.0 million. The undrawn commitment under the Credit Facility totaled $161.0 million. As of September 30, 2025, the Credit Facility had a $139.0 million balance outstanding. See Note 15, “Long-Term Debt” in the Notes to Financial Statements for the Company’s disclosure related to its long-term debt balance at September 30, 2025.</w:t>
      </w:r>
    </w:p>
    <w:p>
      <w:pPr>
        <w:pStyle w:val="TextBody"/>
        <w:bidi w:val="0"/>
        <w:spacing w:before="0" w:after="0"/>
        <w:ind w:left="0" w:right="0" w:firstLine="547"/>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Acquisitions and Investments.</w:t>
      </w:r>
      <w:r>
        <w:rPr>
          <w:rFonts w:ascii="Times New Roman;Times;serif" w:hAnsi="Times New Roman;Times;serif"/>
          <w:sz w:val="20"/>
        </w:rPr>
        <w:t xml:space="preserve"> During the nine months ended September 30, 2025, the Company acquired one multi-tenant income property for a purchase price of $79.5 million, or a total acquisition cost of $80.0 million, including capitalized acquisition costs. </w:t>
      </w:r>
      <w:r>
        <w:rPr>
          <w:rFonts w:ascii="Times New Roman;Times;serif" w:hAnsi="Times New Roman;Times;serif"/>
          <w:color w:val="212529"/>
          <w:sz w:val="20"/>
          <w:shd w:fill="FFFFFF" w:val="clear"/>
        </w:rPr>
        <w:t> During the nine months ended September 30, 2025, one new mortgage note was originated totaling $5.0 million and $7.8 million of funding was provided for existing construction loans. During the nine months ended September 30, 2024, the Company acquired four multi-tenant income properties, one vacant land parcel within an existing multi-tenant property, and one building within an existing multi-tenant income property for an aggregate purchase price of $210.0 million, or a total acquisition cost of $207.8 million. During the nine months ended September 30, 2024, the Company also originated three structured investments consisting of a construction loan, a first mortgage, and a preferred equity investment for an aggregate investment of $63.8 million.</w:t>
      </w:r>
    </w:p>
    <w:p>
      <w:pPr>
        <w:pStyle w:val="TextBody"/>
        <w:bidi w:val="0"/>
        <w:spacing w:before="0" w:after="0"/>
        <w:ind w:left="0" w:right="0" w:firstLine="547"/>
        <w:jc w:val="both"/>
        <w:rPr>
          <w:shd w:fill="FFFFFF" w:val="clear"/>
        </w:rPr>
      </w:pPr>
      <w:r>
        <w:rPr>
          <w:shd w:fill="FFFFFF" w:val="clea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Company’s guidance for 2025 investments in income-producing properties, including structured investments, ranges from $100.0 million to $200.0 million. We e</w:t>
      </w:r>
      <w:r>
        <w:rPr>
          <w:rFonts w:ascii="Times New Roman;Times;serif" w:hAnsi="Times New Roman;Times;serif"/>
          <w:sz w:val="20"/>
          <w:shd w:fill="FFFFFF" w:val="clear"/>
        </w:rPr>
        <w:t>xpect to fund future acquisitions utilizing cash on hand, cash from operations, proceeds from the dispositions of income properties through 1031 like-kind exchanges, borrowings on our Credit Facility, if available, and additional financing sources. We expect dispositions of income properties will qualify under the like-kind exchange deferred-tax structure.</w:t>
      </w:r>
    </w:p>
    <w:p>
      <w:pPr>
        <w:pStyle w:val="TextBody"/>
        <w:bidi w:val="0"/>
        <w:spacing w:before="0" w:after="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Dispositions.</w:t>
      </w:r>
      <w:r>
        <w:rPr>
          <w:rFonts w:ascii="Times New Roman;Times;serif" w:hAnsi="Times New Roman;Times;serif"/>
          <w:sz w:val="20"/>
        </w:rPr>
        <w:t xml:space="preserve"> During the nine months ended September 30, 2025, the Company sold three single-tenant income properties for $7.1 million, generating gains totaling $1.2 million. </w:t>
      </w:r>
      <w:r>
        <w:rPr>
          <w:rFonts w:ascii="Times New Roman;Times;serif" w:hAnsi="Times New Roman;Times;serif"/>
          <w:color w:val="212529"/>
          <w:sz w:val="20"/>
        </w:rPr>
        <w:t>During the nine months ended September 30, 2024, the Company sold two income properties for an aggregate sales price of $38.0 million and aggregate gains on sales of $3.8 million.</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ATM Program</w:t>
      </w:r>
      <w:r>
        <w:rPr>
          <w:rFonts w:ascii="Times New Roman;Times;serif" w:hAnsi="Times New Roman;Times;serif"/>
          <w:sz w:val="20"/>
        </w:rPr>
        <w:t>. The Company was not active under the 2024 ATM Program during the nine months ended September 30, 2025. As of September 30, 2025, $216.5 million of availability remained under the 2024 ATM Program.</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i/>
          <w:sz w:val="20"/>
        </w:rPr>
        <w:t xml:space="preserve">Contractual Commitments – Expenditures. </w:t>
      </w:r>
      <w:r>
        <w:rPr>
          <w:rFonts w:ascii="Times New Roman;Times;serif" w:hAnsi="Times New Roman;Times;serif"/>
          <w:sz w:val="20"/>
        </w:rPr>
        <w:t>The Company has committed to fund the following capital improvements. The improvements, which are related to several properties, are estimated to be generally completed within twelve months. These commitments, as of September 30, 2025, are as follows (in thousands):</w:t>
      </w:r>
      <w:r>
        <w:rPr>
          <w:rFonts w:ascii="Times New Roman;Times;serif" w:hAnsi="Times New Roman;Times;serif"/>
          <w:color w:val="FF0000"/>
          <w:sz w:val="20"/>
        </w:rPr>
        <w:t xml:space="preserve"> </w:t>
      </w:r>
    </w:p>
    <w:p>
      <w:pPr>
        <w:pStyle w:val="TextBody"/>
        <w:bidi w:val="0"/>
        <w:spacing w:lineRule="auto" w:line="273" w:before="0" w:after="0"/>
        <w:ind w:left="0" w:right="0" w:firstLine="547"/>
        <w:jc w:val="both"/>
        <w:rPr>
          <w:shd w:fill="FFFF00" w:val="clear"/>
        </w:rPr>
      </w:pPr>
      <w:r>
        <w:rPr>
          <w:shd w:fill="FFFF00" w:val="clear"/>
        </w:rPr>
        <w:t>​</w:t>
      </w:r>
    </w:p>
    <w:tbl>
      <w:tblPr>
        <w:tblW w:w="4520" w:type="dxa"/>
        <w:jc w:val="left"/>
        <w:tblInd w:w="0" w:type="dxa"/>
        <w:tblLayout w:type="fixed"/>
        <w:tblCellMar>
          <w:top w:w="0" w:type="dxa"/>
          <w:left w:w="0" w:type="dxa"/>
          <w:bottom w:w="0" w:type="dxa"/>
          <w:right w:w="0" w:type="dxa"/>
        </w:tblCellMar>
      </w:tblPr>
      <w:tblGrid>
        <w:gridCol w:w="2131"/>
        <w:gridCol w:w="109"/>
        <w:gridCol w:w="484"/>
        <w:gridCol w:w="179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353185" cy="175260"/>
                      <wp:effectExtent l="0" t="0" r="0" b="0"/>
                      <wp:wrapNone/>
                      <wp:docPr id="499" name="Frame499"/>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9215" cy="175260"/>
                      <wp:effectExtent l="0" t="0" r="0" b="0"/>
                      <wp:wrapNone/>
                      <wp:docPr id="500" name="Frame5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307340" cy="175260"/>
                      <wp:effectExtent l="0" t="0" r="0" b="0"/>
                      <wp:wrapNone/>
                      <wp:docPr id="501" name="Frame501"/>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140460" cy="175260"/>
                      <wp:effectExtent l="0" t="0" r="0" b="0"/>
                      <wp:wrapNone/>
                      <wp:docPr id="502" name="Frame502"/>
                      <a:graphic xmlns:a="http://schemas.openxmlformats.org/drawingml/2006/main">
                        <a:graphicData uri="http://schemas.microsoft.com/office/word/2010/wordprocessingShape">
                          <wps:wsp>
                            <wps:cNvSpPr txBox="1"/>
                            <wps:spPr>
                              <a:xfrm>
                                <a:off x="0" y="0"/>
                                <a:ext cx="114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September 30, 2025</w:t>
            </w:r>
          </w:p>
        </w:tc>
      </w:tr>
      <w:tr>
        <w:trPr/>
        <w:tc>
          <w:tcPr>
            <w:tcW w:w="21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Commitment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24,122</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Funded</w:t>
            </w:r>
          </w:p>
        </w:tc>
        <w:tc>
          <w:tcPr>
            <w:tcW w:w="109" w:type="dxa"/>
            <w:tcBorders/>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(5,282)</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Commitment</w:t>
            </w:r>
          </w:p>
        </w:tc>
        <w:tc>
          <w:tcPr>
            <w:tcW w:w="109" w:type="dxa"/>
            <w:tcBorders/>
            <w:shd w:fill="CCEEFF" w:val="clear"/>
            <w:vAlign w:val="center"/>
          </w:tcPr>
          <w:p>
            <w:pPr>
              <w:pStyle w:val="TableContents"/>
              <w:bidi w:val="0"/>
              <w:spacing w:before="0" w:after="0"/>
              <w:ind w:left="0" w:right="0" w:hanging="0"/>
              <w:jc w:val="left"/>
              <w:rPr/>
            </w:pPr>
            <w:r>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18,840</w:t>
            </w:r>
          </w:p>
        </w:tc>
      </w:tr>
    </w:tbl>
    <w:p>
      <w:pPr>
        <w:pStyle w:val="TextBody"/>
        <w:pBdr/>
        <w:bidi w:val="0"/>
        <w:spacing w:lineRule="auto" w:line="240" w:before="0" w:after="0"/>
        <w:ind w:left="0" w:right="0" w:hanging="360"/>
        <w:jc w:val="both"/>
        <w:rPr>
          <w:rFonts w:ascii="Times New Roman;Times;serif" w:hAnsi="Times New Roman;Times;serif"/>
          <w:sz w:val="14"/>
        </w:rPr>
      </w:pPr>
      <w:r>
        <w:rPr>
          <w:rFonts w:ascii="Times New Roman;Times;serif" w:hAnsi="Times New Roman;Times;serif"/>
          <w:sz w:val="11"/>
        </w:rPr>
        <w:t>(1)</w:t>
      </w:r>
      <w:r>
        <w:rPr>
          <w:rFonts w:ascii="Times New Roman;Times;serif" w:hAnsi="Times New Roman;Times;serif"/>
          <w:sz w:val="14"/>
        </w:rPr>
        <w:t xml:space="preserve">     </w:t>
      </w:r>
      <w:r>
        <w:rPr>
          <w:rFonts w:ascii="Times New Roman;Times;serif" w:hAnsi="Times New Roman;Times;serif"/>
          <w:sz w:val="16"/>
        </w:rPr>
        <w:t>Commitment includes tenant improvements, leasing commissions, rebranding, facility expansion and other capital improvements.</w:t>
      </w:r>
    </w:p>
    <w:p>
      <w:pPr>
        <w:pStyle w:val="TextBody"/>
        <w:bidi w:val="0"/>
        <w:spacing w:before="0" w:after="0"/>
        <w:ind w:left="0" w:right="0" w:hanging="0"/>
        <w:jc w:val="left"/>
        <w:rPr/>
      </w:pPr>
      <w:r>
        <w:rPr/>
        <w:t>​</w:t>
      </w:r>
    </w:p>
    <w:p>
      <w:pPr>
        <w:pStyle w:val="TextBody"/>
        <w:bidi w:val="0"/>
        <w:spacing w:lineRule="auto" w:line="273" w:before="0" w:after="0"/>
        <w:ind w:left="0" w:right="0" w:firstLine="547"/>
        <w:jc w:val="both"/>
        <w:rPr>
          <w:rFonts w:ascii="Times New Roman;Times;serif" w:hAnsi="Times New Roman;Times;serif"/>
          <w:sz w:val="20"/>
        </w:rPr>
      </w:pPr>
      <w:r>
        <w:rPr>
          <w:rFonts w:ascii="Times New Roman;Times;serif" w:hAnsi="Times New Roman;Times;serif"/>
          <w:sz w:val="20"/>
        </w:rPr>
        <w:t>The Company has unfunded loan commitments under one construction loan, for the Whole Foods Market anchored development in Forsyth County, Georgia, as described in Note 4, “Commercial Loans and Investments.” The unfunded portion of the construction loan totaled $28.2 million as of September 30, 2025.</w:t>
      </w:r>
    </w:p>
    <w:p>
      <w:pPr>
        <w:pStyle w:val="TextBody"/>
        <w:bidi w:val="0"/>
        <w:spacing w:lineRule="auto" w:line="273" w:before="0" w:after="0"/>
        <w:ind w:left="0" w:right="0" w:firstLine="547"/>
        <w:jc w:val="both"/>
        <w:rPr/>
      </w:pPr>
      <w:r>
        <w:rPr/>
        <w:t>​</w:t>
      </w:r>
    </w:p>
    <w:p>
      <w:pPr>
        <w:pStyle w:val="TextBody"/>
        <w:bidi w:val="0"/>
        <w:spacing w:lineRule="auto" w:line="273" w:before="0" w:after="0"/>
        <w:ind w:left="0" w:right="0" w:firstLine="547"/>
        <w:jc w:val="both"/>
        <w:rPr>
          <w:rFonts w:ascii="Times New Roman;Times;serif" w:hAnsi="Times New Roman;Times;serif"/>
          <w:sz w:val="20"/>
        </w:rPr>
      </w:pPr>
      <w:r>
        <w:rPr>
          <w:rFonts w:ascii="Times New Roman;Times;serif" w:hAnsi="Times New Roman;Times;serif"/>
          <w:i/>
          <w:sz w:val="20"/>
        </w:rPr>
        <w:t>Off-Balance Sheet Arrangements</w:t>
      </w:r>
      <w:r>
        <w:rPr>
          <w:rFonts w:ascii="Times New Roman;Times;serif" w:hAnsi="Times New Roman;Times;serif"/>
          <w:sz w:val="20"/>
        </w:rPr>
        <w:t>. None.</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 xml:space="preserve">Other Matters. </w:t>
      </w:r>
      <w:r>
        <w:rPr>
          <w:rFonts w:ascii="Times New Roman;Times;serif" w:hAnsi="Times New Roman;Times;serif"/>
          <w:sz w:val="20"/>
        </w:rPr>
        <w:t>We believe we will have sufficient liquidity to fund our operations, capital requirements, maintenance, and debt service requirements over the next twelve months and into the foreseeable future, with cash on hand, cash flow from our operations, $216.5 million of availability remaining under the 2024 ATM Program, and $161.0 million undrawn commitment under the existing $300.0 million Credit Facility as of September 30, 2025.</w:t>
      </w:r>
    </w:p>
    <w:p>
      <w:pPr>
        <w:pStyle w:val="TextBody"/>
        <w:bidi w:val="0"/>
        <w:spacing w:before="0" w:after="0"/>
        <w:ind w:left="0" w:right="0" w:firstLine="490"/>
        <w:jc w:val="both"/>
        <w:rPr>
          <w:shd w:fill="FFFF00" w:val="clear"/>
        </w:rPr>
      </w:pPr>
      <w:r>
        <w:rPr>
          <w:shd w:fill="FFFF00" w:val="clea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pStyle w:val="TextBody"/>
        <w:bidi w:val="0"/>
        <w:spacing w:before="0" w:after="0"/>
        <w:ind w:left="0" w:right="0" w:firstLine="49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We believe that we currently have a reasonable level of leverage. Our strategy is to utilize leverage, when appropriate and necessary, and proceeds from sales of income properties and the disposition or payoffs on our commercial loans and investments to acquire income properties. We may also acquire or originate commercial loans and investments, invest in securities of real estate companies, or make other shorter-term investments. Our targeted investment classes may include the following:</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Multi-tenant, primarily retail-oriented, properties in major metropolitan areas and growth markets, typically stabilized;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Single-tenant retail or other commercial, double or triple net leased, properties in major metropolitan areas and growth markets that are compliant with our commitments under the ROFO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Ground leases, whether purchased or originated by the Company, that are compliant with our commitments under the ROFO Agreement;</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Self-developed retail or other commercial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loans and investments, whether purchased or originated by the Company, with loan terms of 1-10 years with strong risk-adjusted yields secured by property types to include hotel, retail, residential, land and industrial;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regional area investments using Company market knowledge and expertise to earn strong risk-adjusted yields;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estate-related investment securities, including commercial mortgage-backed securities, preferred or common stock, and corporate bonds.</w:t>
            </w:r>
          </w:p>
        </w:tc>
      </w:tr>
    </w:tbl>
    <w:p>
      <w:pPr>
        <w:pStyle w:val="TextBody"/>
        <w:bidi w:val="0"/>
        <w:spacing w:before="0" w:after="0"/>
        <w:ind w:left="85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Non-U.S. GAAP Financial Measures</w:t>
      </w:r>
    </w:p>
    <w:p>
      <w:pPr>
        <w:pStyle w:val="TextBody"/>
        <w:bidi w:val="0"/>
        <w:spacing w:before="0" w:after="0"/>
        <w:ind w:left="0" w:right="0" w:firstLine="360"/>
        <w:jc w:val="center"/>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We compute FFO in accordance with the definition adopted by the Board of Governors of the National Association of Real Estate Investment Trusts, or NAREIT. </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NAREIT defines FFO as U.S. GAAP net income or loss adjusted to exclude real estate related depreciation and amortization, as well as extraordinary items (as defined by U.S. GAAP) such as net gain or loss from sales of depreciable real estate assets, impairment write-downs associated with depreciable real estate assets and impairments associated with the implementation of current expected credit losses (“CECL”)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and interest related to the 2025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as well as adding back the interest related to the 2025 Notes, if the effect is dilutive. To derive AFFO, we further modify the NAREIT computation of FFO and Core FFO to include other adjustments to U.S.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 </w:t>
      </w:r>
    </w:p>
    <w:p>
      <w:pPr>
        <w:pStyle w:val="TextBody"/>
        <w:shd w:fill="FFFFFF" w:val="clear"/>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Reconciliation of Non-U.S. GAAP Measures (in thousands, except share and dividend data):</w:t>
      </w:r>
    </w:p>
    <w:p>
      <w:pPr>
        <w:pStyle w:val="TextBody"/>
        <w:bidi w:val="0"/>
        <w:spacing w:before="100" w:after="1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724"/>
        <w:gridCol w:w="109"/>
        <w:gridCol w:w="252"/>
        <w:gridCol w:w="1247"/>
        <w:gridCol w:w="109"/>
        <w:gridCol w:w="252"/>
        <w:gridCol w:w="1247"/>
        <w:gridCol w:w="109"/>
        <w:gridCol w:w="252"/>
        <w:gridCol w:w="1247"/>
        <w:gridCol w:w="109"/>
        <w:gridCol w:w="251"/>
        <w:gridCol w:w="1297"/>
      </w:tblGrid>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9215" cy="175260"/>
                      <wp:effectExtent l="0" t="0" r="0" b="0"/>
                      <wp:wrapNone/>
                      <wp:docPr id="503" name="Frame5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60020" cy="175260"/>
                      <wp:effectExtent l="0" t="0" r="0" b="0"/>
                      <wp:wrapNone/>
                      <wp:docPr id="504" name="Frame50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91845" cy="175260"/>
                      <wp:effectExtent l="0" t="0" r="0" b="0"/>
                      <wp:wrapNone/>
                      <wp:docPr id="505" name="Frame505"/>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9215" cy="175260"/>
                      <wp:effectExtent l="0" t="0" r="0" b="0"/>
                      <wp:wrapNone/>
                      <wp:docPr id="506" name="Frame5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60020" cy="175260"/>
                      <wp:effectExtent l="0" t="0" r="0" b="0"/>
                      <wp:wrapNone/>
                      <wp:docPr id="507" name="Frame50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791845" cy="175260"/>
                      <wp:effectExtent l="0" t="0" r="0" b="0"/>
                      <wp:wrapNone/>
                      <wp:docPr id="508" name="Frame508"/>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9215" cy="175260"/>
                      <wp:effectExtent l="0" t="0" r="0" b="0"/>
                      <wp:wrapNone/>
                      <wp:docPr id="509" name="Frame5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60020" cy="175260"/>
                      <wp:effectExtent l="0" t="0" r="0" b="0"/>
                      <wp:wrapNone/>
                      <wp:docPr id="510" name="Frame51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791845" cy="175260"/>
                      <wp:effectExtent l="0" t="0" r="0" b="0"/>
                      <wp:wrapNone/>
                      <wp:docPr id="511" name="Frame511"/>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9215" cy="175260"/>
                      <wp:effectExtent l="0" t="0" r="0" b="0"/>
                      <wp:wrapNone/>
                      <wp:docPr id="512" name="Frame5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59385" cy="175260"/>
                      <wp:effectExtent l="0" t="0" r="0" b="0"/>
                      <wp:wrapNone/>
                      <wp:docPr id="513" name="Frame51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823595" cy="175260"/>
                      <wp:effectExtent l="0" t="0" r="0" b="0"/>
                      <wp:wrapNone/>
                      <wp:docPr id="514" name="Frame514"/>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1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72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4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center"/>
              <w:rPr/>
            </w:pPr>
            <w:r>
              <w:rPr/>
              <w:t>​</w:t>
            </w:r>
          </w:p>
        </w:tc>
        <w:tc>
          <w:tcPr>
            <w:tcW w:w="14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5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6,227</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(18,243)</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13,252</w:t>
            </w:r>
          </w:p>
        </w:tc>
      </w:tr>
      <w:tr>
        <w:trPr/>
        <w:tc>
          <w:tcPr>
            <w:tcW w:w="372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Add Back: Effect of Dilutive Interest Related to 2025 Notes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the Company, If-Converted</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6,227</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(18,243)</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13,252</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Real Estate</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14,913</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13,204</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44,536</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35,650</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Disposition of Assets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(8,308)</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Other Assets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and Unrealized Loss (Gain) on Investment Securities</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(6,244)</w:t>
            </w:r>
          </w:p>
        </w:tc>
        <w:tc>
          <w:tcPr>
            <w:tcW w:w="109" w:type="dxa"/>
            <w:tcBorders/>
            <w:vAlign w:val="center"/>
          </w:tcPr>
          <w:p>
            <w:pPr>
              <w:pStyle w:val="TableContents"/>
              <w:bidi w:val="0"/>
              <w:spacing w:before="0" w:after="0"/>
              <w:ind w:left="0" w:right="0" w:hanging="0"/>
              <w:jc w:val="righ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5,829</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17,637</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14,399</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30,817</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37,829</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w:t>
            </w:r>
          </w:p>
        </w:tc>
        <w:tc>
          <w:tcPr>
            <w:tcW w:w="109" w:type="dxa"/>
            <w:tcBorders/>
            <w:vAlign w:val="center"/>
          </w:tcPr>
          <w:p>
            <w:pPr>
              <w:pStyle w:val="TableContents"/>
              <w:bidi w:val="0"/>
              <w:spacing w:before="0" w:after="0"/>
              <w:ind w:left="0" w:right="0" w:hanging="0"/>
              <w:jc w:val="righ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(5,634)</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(4,936)</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15,759</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12,521</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25,183</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32,893</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20,449</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righ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 to 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r>
      <w:tr>
        <w:trPr/>
        <w:tc>
          <w:tcPr>
            <w:tcW w:w="372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Less: Effect of Dilutive Interest Related to 2025 Notes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15,632</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12,633</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44,736</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33,723</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righ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Depreciation and Amortization</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Loan Costs, Discount on Convertible Debt, and Capitalized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109" w:type="dxa"/>
            <w:tcBorders/>
            <w:vAlign w:val="center"/>
          </w:tcPr>
          <w:p>
            <w:pPr>
              <w:pStyle w:val="TableContents"/>
              <w:bidi w:val="0"/>
              <w:spacing w:before="0" w:after="0"/>
              <w:ind w:left="0" w:right="0" w:hanging="0"/>
              <w:jc w:val="righ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3,222</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16,345</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47,133</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35,840</w:t>
            </w:r>
          </w:p>
        </w:tc>
      </w:tr>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righ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97" w:type="dxa"/>
            <w:tcBorders/>
            <w:shd w:fill="CCEEFF" w:val="clear"/>
            <w:vAlign w:val="center"/>
          </w:tcPr>
          <w:p>
            <w:pPr>
              <w:pStyle w:val="TableContents"/>
              <w:bidi w:val="0"/>
              <w:spacing w:before="0" w:after="0"/>
              <w:ind w:left="0" w:right="0" w:hanging="0"/>
              <w:jc w:val="right"/>
              <w:rPr/>
            </w:pPr>
            <w:r>
              <w:rPr/>
              <w:t>​</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32,651,101</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25,445,411</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32,298,304</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23,601,389</w:t>
            </w:r>
          </w:p>
        </w:tc>
      </w:tr>
      <w:tr>
        <w:trPr/>
        <w:tc>
          <w:tcPr>
            <w:tcW w:w="372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Diluted </w:t>
            </w:r>
            <w:r>
              <w:rPr>
                <w:rFonts w:ascii="Times New Roman;Times;serif" w:hAnsi="Times New Roman;Times;serif"/>
                <w:sz w:val="15"/>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32,682,775</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25,521,749</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32,313,895</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23,625,369</w:t>
            </w:r>
          </w:p>
        </w:tc>
      </w:tr>
      <w:tr>
        <w:trPr/>
        <w:tc>
          <w:tcPr>
            <w:tcW w:w="37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12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right"/>
              <w:rPr/>
            </w:pPr>
            <w:r>
              <w:rPr/>
              <w:t>​</w:t>
            </w:r>
          </w:p>
        </w:tc>
      </w:tr>
      <w:tr>
        <w:trPr/>
        <w:tc>
          <w:tcPr>
            <w:tcW w:w="37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Preferred Stock</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3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Common Stock</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1.14</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The 2025 Notes were settled during the nine months ended September 30, 2025. </w:t>
            </w:r>
            <w:r>
              <w:rPr>
                <w:rFonts w:ascii="Times New Roman;Times;serif" w:hAnsi="Times New Roman;Times;serif"/>
                <w:b w:val="false"/>
                <w:i w:val="false"/>
                <w:caps w:val="false"/>
                <w:smallCaps w:val="false"/>
                <w:sz w:val="16"/>
                <w:shd w:fill="FFFFFF" w:val="clear"/>
              </w:rPr>
              <w:t>As applicable, includes interest expense, amortization of discount, amortization of fees, and other changes in net income or loss that would result from the assumed conversion of the 2025 Notes to derive FFO (as defined herein) effective January 1, 2022 due to the implementation of ASU 2020-06 which requires presentation on an if-converted basis. For the nine months ended September 30, 2025, a total $0.6 million of interest was not included, respectively, as the impact of the 2025 Notes, if-converted, would be antidilutive to net loss attributable to common stockholders for the period</w:t>
            </w:r>
            <w:r>
              <w:rPr>
                <w:rFonts w:ascii="Times New Roman;Times;serif" w:hAnsi="Times New Roman;Times;serif"/>
                <w:b w:val="false"/>
                <w:i w:val="false"/>
                <w:caps w:val="false"/>
                <w:smallCaps w:val="false"/>
                <w:sz w:val="16"/>
              </w:rPr>
              <w:t>.</w:t>
            </w:r>
            <w:r>
              <w:rPr>
                <w:caps w:val="false"/>
                <w:smallCaps w:val="false"/>
              </w:rPr>
              <w:t xml:space="preserve"> </w:t>
            </w:r>
            <w:r>
              <w:rPr>
                <w:rFonts w:ascii="Times New Roman;Times;serif" w:hAnsi="Times New Roman;Times;serif"/>
                <w:b w:val="false"/>
                <w:i w:val="false"/>
                <w:caps w:val="false"/>
                <w:smallCaps w:val="false"/>
                <w:sz w:val="16"/>
                <w:shd w:fill="FFFFFF" w:val="clear"/>
              </w:rPr>
              <w:t>For the three and nine months ended September 30, 2024, a total of $0.5 million and $1.6 million of interest was not included, respectively, as the impact of the 2025 Notes, if-converted, would be antidilutive to net income attributable to common stockholders for the respective periods</w:t>
            </w:r>
            <w:r>
              <w:rPr>
                <w:rFonts w:ascii="Times New Roman;Times;serif" w:hAnsi="Times New Roman;Times;serif"/>
                <w:b w:val="false"/>
                <w:i w:val="false"/>
                <w:caps w:val="false"/>
                <w:smallCaps w:val="false"/>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2025 Notes were settled during the three and nine months ended September 30, 2025. During the nine months ended September 30, 2025, the Company issued 1,089,555 shares of the Company’s common stock in connection with the settlement of the 2025 Notes and such shares were included in the basic and diluted weighted average share count for the period. Due to the implementation of ASU 2020-06, a total of 1.3 million shares, representing the dilutive impact of the 2025 Notes, were not included in the computation of diluted net loss per share attributable to common stockholders for the nine months ended September 30, 2025, because they were antidilutive to the net loss attributable to common stockholders for the period. Due to the implementation of ASU 2020-06, a total of 3.7 million shares and 3.6 million shares, representing the dilutive impact of the 2025 Notes, were not included in the computation of diluted net income per share attributable to common stockholders for the three and nine months ended September 30, 2024, respectively, because they were antidilutive to net income attributable to common stockholders for the respective periods.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Other Data (in thousands, except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55"/>
        <w:gridCol w:w="109"/>
        <w:gridCol w:w="360"/>
        <w:gridCol w:w="1156"/>
        <w:gridCol w:w="109"/>
        <w:gridCol w:w="360"/>
        <w:gridCol w:w="1156"/>
        <w:gridCol w:w="109"/>
        <w:gridCol w:w="360"/>
        <w:gridCol w:w="1156"/>
        <w:gridCol w:w="109"/>
        <w:gridCol w:w="352"/>
        <w:gridCol w:w="1214"/>
      </w:tblGrid>
      <w:tr>
        <w:trPr/>
        <w:tc>
          <w:tcPr>
            <w:tcW w:w="36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28600" cy="175260"/>
                      <wp:effectExtent l="0" t="0" r="0" b="0"/>
                      <wp:wrapNone/>
                      <wp:docPr id="515" name="Frame5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734060" cy="175260"/>
                      <wp:effectExtent l="0" t="0" r="0" b="0"/>
                      <wp:wrapNone/>
                      <wp:docPr id="516" name="Frame51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9215" cy="175260"/>
                      <wp:effectExtent l="0" t="0" r="0" b="0"/>
                      <wp:wrapNone/>
                      <wp:docPr id="517" name="Frame5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28600" cy="175260"/>
                      <wp:effectExtent l="0" t="0" r="0" b="0"/>
                      <wp:wrapNone/>
                      <wp:docPr id="518" name="Frame5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734060" cy="175260"/>
                      <wp:effectExtent l="0" t="0" r="0" b="0"/>
                      <wp:wrapNone/>
                      <wp:docPr id="519" name="Frame51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9215" cy="175260"/>
                      <wp:effectExtent l="0" t="0" r="0" b="0"/>
                      <wp:wrapNone/>
                      <wp:docPr id="520" name="Frame5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28600" cy="175260"/>
                      <wp:effectExtent l="0" t="0" r="0" b="0"/>
                      <wp:wrapNone/>
                      <wp:docPr id="521" name="Frame5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734060" cy="175260"/>
                      <wp:effectExtent l="0" t="0" r="0" b="0"/>
                      <wp:wrapNone/>
                      <wp:docPr id="522" name="Frame52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9215" cy="175260"/>
                      <wp:effectExtent l="0" t="0" r="0" b="0"/>
                      <wp:wrapNone/>
                      <wp:docPr id="523" name="Frame5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23520" cy="175260"/>
                      <wp:effectExtent l="0" t="0" r="0" b="0"/>
                      <wp:wrapNone/>
                      <wp:docPr id="524" name="Frame52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770890" cy="175260"/>
                      <wp:effectExtent l="0" t="0" r="0" b="0"/>
                      <wp:wrapNone/>
                      <wp:docPr id="525" name="Frame525"/>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5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1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31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65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109" w:type="dxa"/>
            <w:tcBorders/>
            <w:vAlign w:val="center"/>
          </w:tcPr>
          <w:p>
            <w:pPr>
              <w:pStyle w:val="TableContents"/>
              <w:bidi w:val="0"/>
              <w:spacing w:before="0" w:after="0"/>
              <w:ind w:left="0" w:right="0" w:hanging="0"/>
              <w:jc w:val="center"/>
              <w:rPr/>
            </w:pPr>
            <w:r>
              <w:rPr/>
              <w:t>​</w:t>
            </w:r>
          </w:p>
        </w:tc>
        <w:tc>
          <w:tcPr>
            <w:tcW w:w="15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r>
      <w:tr>
        <w:trPr/>
        <w:tc>
          <w:tcPr>
            <w:tcW w:w="36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15,759</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12,521</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25,183</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32,893</w:t>
            </w:r>
          </w:p>
        </w:tc>
      </w:tr>
      <w:tr>
        <w:trPr/>
        <w:tc>
          <w:tcPr>
            <w:tcW w:w="365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FFO Attributable to Common Stockholders per Common Share - Diluted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36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214" w:type="dxa"/>
            <w:tcBorders/>
            <w:shd w:fill="CCEEFF" w:val="clear"/>
            <w:vAlign w:val="center"/>
          </w:tcPr>
          <w:p>
            <w:pPr>
              <w:pStyle w:val="TableContents"/>
              <w:bidi w:val="0"/>
              <w:spacing w:before="0" w:after="0"/>
              <w:ind w:left="0" w:right="0" w:hanging="0"/>
              <w:jc w:val="right"/>
              <w:rPr/>
            </w:pPr>
            <w:r>
              <w:rPr/>
              <w:t>​</w:t>
            </w:r>
          </w:p>
        </w:tc>
      </w:tr>
      <w:tr>
        <w:trPr/>
        <w:tc>
          <w:tcPr>
            <w:tcW w:w="3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FFO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15,632</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12,633</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44,736</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33,723</w:t>
            </w:r>
          </w:p>
        </w:tc>
      </w:tr>
      <w:tr>
        <w:trPr/>
        <w:tc>
          <w:tcPr>
            <w:tcW w:w="365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Core FFO Attributable to Common Stockholders per Common Share - Diluted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36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214" w:type="dxa"/>
            <w:tcBorders/>
            <w:vAlign w:val="center"/>
          </w:tcPr>
          <w:p>
            <w:pPr>
              <w:pStyle w:val="TableContents"/>
              <w:bidi w:val="0"/>
              <w:spacing w:before="0" w:after="0"/>
              <w:ind w:left="0" w:right="0" w:hanging="0"/>
              <w:jc w:val="right"/>
              <w:rPr/>
            </w:pPr>
            <w:r>
              <w:rPr/>
              <w:t>​</w:t>
            </w:r>
          </w:p>
        </w:tc>
      </w:tr>
      <w:tr>
        <w:trPr/>
        <w:tc>
          <w:tcPr>
            <w:tcW w:w="36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16,345</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c>
          <w:tcPr>
            <w:tcW w:w="109"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47,133</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35,840</w:t>
            </w:r>
          </w:p>
        </w:tc>
      </w:tr>
      <w:tr>
        <w:trPr/>
        <w:tc>
          <w:tcPr>
            <w:tcW w:w="365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AFFO Attributable to Common Stockholders per Common Share - Diluted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109"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1.52</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2025 Notes were settled during the nine months ended September 30, 2025. During the nine months ended September 30, 2025, the Company issued 1,089,555 shares of the Company’s common stock in connection with the settlement of the 2025 Notes and such shares were included in the basic and diluted weighted average share count for the period. The weighted average shares used to compute per share amounts for FFO Attributable to Common Stockholders per Common Share – Diluted, Core FFO Attributable to Common Stockholders per Common Share - Diluted, and AFFO Attributable to Common Stockholders per Common Share - Diluted do not reflect any assumed dilution related to the ultimate settlement of the 2025 Notes other than the 1,089,555 shares of the Company’s common stock actually issued.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both"/>
        <w:rPr/>
      </w:pPr>
      <w: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As required by U.S.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one multi-tenant income property for an aggregate purchase price of $79.5 million, or a total acquisition cost of $80.0 million, for the nine months ended September 30, 2025, and</w:t>
      </w:r>
      <w:r>
        <w:rPr>
          <w:rFonts w:ascii="Times New Roman;Times;serif" w:hAnsi="Times New Roman;Times;serif"/>
          <w:color w:val="212529"/>
          <w:sz w:val="20"/>
        </w:rPr>
        <w:t> four multi-tenant income properties, one vacant land parcel within an existing multi-tenant property, and one building within an existing multi-tenant income property for an aggregate purchase price of $210.0 million, or a total acquisition cost of $207.8 million, for the nine months ended September 30, 2024</w:t>
      </w:r>
      <w:r>
        <w:rPr>
          <w:rFonts w:ascii="Times New Roman;Times;serif" w:hAnsi="Times New Roman;Times;serif"/>
          <w:sz w:val="20"/>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See Note 2, “Summary of Significant Accounting Policies” in the Notes to Financial Statements, for further discussion of the Company’s accounting estimates and policies.</w:t>
      </w:r>
    </w:p>
    <w:p>
      <w:pPr>
        <w:pStyle w:val="TextBody"/>
        <w:bidi w:val="0"/>
        <w:spacing w:before="280" w:after="0"/>
        <w:ind w:left="0" w:right="0" w:hanging="0"/>
        <w:jc w:val="both"/>
        <w:rPr/>
      </w:pPr>
      <w:bookmarkStart w:id="2173" w:name="_ab619f26_d0b0_49ec_a37d_68dd999c7346"/>
      <w:bookmarkEnd w:id="2173"/>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2174" w:name="ITEM3QUANTITATIVEANDQUALITATIVE_871147"/>
      <w:bookmarkEnd w:id="2174"/>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pPr>
      <w:r>
        <w:rPr/>
        <w:t>​</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pStyle w:val="TextBody"/>
        <w:pBdr/>
        <w:shd w:fill="FFFFFF" w:val="clear"/>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are primarily exposed to interest rate risk relating to our own debt in connection with our Credit Facility, as this facility carries a variable rate of interest. Our borrowings on our $300.0 million Credit Facility bear interest at a rate ranging from SOFR plus 0.10% plus 125 basis points to SOFR plus 0.10% plus 220 basis points based on our level of borrowing as a percentage of our total asset value. As of September 30, 2025, the outstanding balance on our Credit Facility totaled $139.0 million of which $74.0 million was not fixed by virtue of an interest rate swap agreement.</w:t>
      </w:r>
      <w:r>
        <w:rPr>
          <w:rFonts w:ascii="Times New Roman;Times;serif" w:hAnsi="Times New Roman;Times;serif"/>
          <w:color w:val="212529"/>
          <w:sz w:val="20"/>
        </w:rPr>
        <w:t xml:space="preserve"> As of September 30, 2024, the outstanding balance on our Credit Facility totaled $95.0 million of which $45.0 million was not fixed by virtue of an interest rate swap agreement. </w:t>
      </w:r>
      <w:r>
        <w:rPr>
          <w:rFonts w:ascii="Times New Roman;Times;serif" w:hAnsi="Times New Roman;Times;serif"/>
          <w:sz w:val="20"/>
        </w:rPr>
        <w:t>A hypothetical change in the interest rate of 100 basis points (i.e., 1%) would affect our financial position, results of operations, and cash flows by $0.7 million and $0.5 million as of September 30, 2025 and 2024, respectively. The Company entered into interest rate swap agreements to hedge against changes in future cash flows resulting from fluctuating interest rates related to certain of its debt borrowings, see Note 16, “Interest Rate Swaps” in the Notes to Financial Statements.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pStyle w:val="TextBody"/>
        <w:bidi w:val="0"/>
        <w:spacing w:before="280" w:after="0"/>
        <w:ind w:left="0" w:right="0" w:hanging="0"/>
        <w:jc w:val="both"/>
        <w:rPr>
          <w:rFonts w:ascii="Times New Roman;Times;serif" w:hAnsi="Times New Roman;Times;serif"/>
          <w:b/>
          <w:sz w:val="20"/>
        </w:rPr>
      </w:pPr>
      <w:bookmarkStart w:id="2175" w:name="ITEM4CONTROLSANDPROCEDURES_992496"/>
      <w:bookmarkStart w:id="2176" w:name="_4b2830b1_488c_4a15_b32c_c9c3c3215b6f"/>
      <w:bookmarkEnd w:id="2175"/>
      <w:bookmarkEnd w:id="2176"/>
      <w:r>
        <w:rPr>
          <w:rFonts w:ascii="Times New Roman;Times;serif" w:hAnsi="Times New Roman;Times;serif"/>
          <w:b/>
          <w:sz w:val="20"/>
        </w:rPr>
        <w:t>ITEM 4. CONTROLS AND PROCEDURES</w:t>
      </w:r>
    </w:p>
    <w:p>
      <w:pPr>
        <w:pStyle w:val="TextBody"/>
        <w:shd w:fill="FFFFFF" w:val="clear"/>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September 30, 2025, that have materially affected, or are reasonably likely to materially affect, the Company’s internal control over financial reporting.</w:t>
      </w:r>
    </w:p>
    <w:p>
      <w:pPr>
        <w:pStyle w:val="TextBody"/>
        <w:bidi w:val="0"/>
        <w:spacing w:before="280" w:after="0"/>
        <w:ind w:left="0" w:right="0" w:hanging="0"/>
        <w:jc w:val="both"/>
        <w:rPr>
          <w:rFonts w:ascii="Times New Roman;Times;serif" w:hAnsi="Times New Roman;Times;serif"/>
          <w:b/>
          <w:sz w:val="20"/>
        </w:rPr>
      </w:pPr>
      <w:bookmarkStart w:id="2177" w:name="PARTIIOTHERINFORMATION_47745"/>
      <w:bookmarkStart w:id="2178" w:name="_327f4a24_794c_41f5_8c1b_15755f401c3e"/>
      <w:bookmarkEnd w:id="2177"/>
      <w:bookmarkEnd w:id="2178"/>
      <w:r>
        <w:rPr>
          <w:rFonts w:ascii="Times New Roman;Times;serif" w:hAnsi="Times New Roman;Times;serif"/>
          <w:b/>
          <w:sz w:val="20"/>
        </w:rPr>
        <w:t>PART II—OTHER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179" w:name="ITEM1LEGALPROCEEDINGS_995157"/>
      <w:bookmarkEnd w:id="2179"/>
      <w:r>
        <w:rPr>
          <w:rFonts w:ascii="Times New Roman;Times;serif" w:hAnsi="Times New Roman;Times;serif"/>
          <w:b/>
          <w:sz w:val="20"/>
        </w:rPr>
        <w:t>ITEM 1. LEGAL PROCEEDINGS</w:t>
      </w:r>
    </w:p>
    <w:p>
      <w:pPr>
        <w:pStyle w:val="TextBody"/>
        <w:shd w:fill="FFFFFF" w:val="clear"/>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its business. While the outcome of legal proceedings cannot be predicted with certainty, the Company is not currently a party to any pending or threatened legal proceedings that we believe could have a material adverse effect on the Company’s business or financial condition.</w:t>
      </w:r>
    </w:p>
    <w:p>
      <w:pPr>
        <w:pStyle w:val="TextBody"/>
        <w:bidi w:val="0"/>
        <w:spacing w:before="280" w:after="0"/>
        <w:ind w:left="0" w:right="0" w:hanging="0"/>
        <w:jc w:val="both"/>
        <w:rPr>
          <w:rFonts w:ascii="Times New Roman;Times;serif" w:hAnsi="Times New Roman;Times;serif"/>
          <w:b/>
          <w:sz w:val="20"/>
        </w:rPr>
      </w:pPr>
      <w:bookmarkStart w:id="2180" w:name="ITEM1ARISKFACTORS_785246"/>
      <w:bookmarkStart w:id="2181" w:name="_77c8cd49_04e9_4cb1_8a57_74b924ca609e"/>
      <w:bookmarkEnd w:id="2180"/>
      <w:bookmarkEnd w:id="2181"/>
      <w:r>
        <w:rPr>
          <w:rFonts w:ascii="Times New Roman;Times;serif" w:hAnsi="Times New Roman;Times;serif"/>
          <w:b/>
          <w:sz w:val="20"/>
        </w:rPr>
        <w:t>ITEM 1A. RISK FACTORS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For a discussion of the Company’s potential risks and uncertainties, see the information set forth under the heading Part I, “Item 1A. Risk Factors” in the Company’s Annual Report on Form 10-K for the year ended December 31, 2024 (the “Form 10-K”). The risks described in the Form 10-K are not the only risks facing the Company. Additional risks and uncertainties not currently known to the Company or that the Company currently deems to be immaterial also may materially adversely affect the Company. As of September 30, 2025, there have been no material changes in our risk factors from those set forth within the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0"/>
        <w:ind w:left="0" w:right="0" w:hanging="0"/>
        <w:jc w:val="left"/>
        <w:rPr/>
      </w:pPr>
      <w:bookmarkStart w:id="2182" w:name="_6f06cf6d_d62f_41ce_8be9_a8f5eb1635b3"/>
      <w:bookmarkEnd w:id="2182"/>
      <w:r>
        <w:rPr/>
        <w:t>​</w:t>
      </w:r>
    </w:p>
    <w:p>
      <w:pPr>
        <w:pStyle w:val="TextBody"/>
        <w:bidi w:val="0"/>
        <w:spacing w:before="0" w:after="0"/>
        <w:ind w:left="0" w:right="0" w:hanging="0"/>
        <w:jc w:val="left"/>
        <w:rPr>
          <w:rFonts w:ascii="Times New Roman;Times;serif" w:hAnsi="Times New Roman;Times;serif"/>
          <w:b/>
          <w:sz w:val="20"/>
        </w:rPr>
      </w:pPr>
      <w:bookmarkStart w:id="2183" w:name="ITEM2UNREGISTEREDSALESOFEQUITY_229264"/>
      <w:bookmarkEnd w:id="2183"/>
      <w:r>
        <w:rPr>
          <w:rFonts w:ascii="Times New Roman;Times;serif" w:hAnsi="Times New Roman;Times;serif"/>
          <w:b/>
          <w:sz w:val="20"/>
        </w:rPr>
        <w:t>ITEM 2. UNREGISTERED SALES OF EQUITY SECURITIES AND USE OF PROCEEDS</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100" w:after="100"/>
        <w:ind w:left="0" w:right="0" w:hanging="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repurchases of shares of the Company’s common stock were made during the three months ended September 30, 2025:</w:t>
      </w:r>
    </w:p>
    <w:p>
      <w:pPr>
        <w:pStyle w:val="TextBody"/>
        <w:bidi w:val="0"/>
        <w:spacing w:before="100" w:after="1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2"/>
        <w:gridCol w:w="326"/>
        <w:gridCol w:w="1306"/>
        <w:gridCol w:w="326"/>
        <w:gridCol w:w="368"/>
        <w:gridCol w:w="998"/>
        <w:gridCol w:w="326"/>
        <w:gridCol w:w="2745"/>
        <w:gridCol w:w="326"/>
        <w:gridCol w:w="271"/>
        <w:gridCol w:w="1801"/>
      </w:tblGrid>
      <w:tr>
        <w:trPr/>
        <w:tc>
          <w:tcPr>
            <w:tcW w:w="14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6"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829310" cy="175260"/>
                      <wp:effectExtent l="0" t="0" r="0" b="0"/>
                      <wp:wrapNone/>
                      <wp:docPr id="527" name="Frame52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8" name="Frame5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33680" cy="175260"/>
                      <wp:effectExtent l="0" t="0" r="0" b="0"/>
                      <wp:wrapNone/>
                      <wp:docPr id="529" name="Frame529"/>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33730" cy="175260"/>
                      <wp:effectExtent l="0" t="0" r="0" b="0"/>
                      <wp:wrapNone/>
                      <wp:docPr id="530" name="Frame530"/>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31" name="Frame5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743075" cy="175260"/>
                      <wp:effectExtent l="0" t="0" r="0" b="0"/>
                      <wp:wrapNone/>
                      <wp:docPr id="532" name="Frame532"/>
                      <a:graphic xmlns:a="http://schemas.openxmlformats.org/drawingml/2006/main">
                        <a:graphicData uri="http://schemas.microsoft.com/office/word/2010/wordprocessingShape">
                          <wps:wsp>
                            <wps:cNvSpPr txBox="1"/>
                            <wps:spPr>
                              <a:xfrm>
                                <a:off x="0" y="0"/>
                                <a:ext cx="174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3" name="Frame5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72085" cy="175260"/>
                      <wp:effectExtent l="0" t="0" r="0" b="0"/>
                      <wp:wrapNone/>
                      <wp:docPr id="534" name="Frame53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143635" cy="175260"/>
                      <wp:effectExtent l="0" t="0" r="0" b="0"/>
                      <wp:wrapNone/>
                      <wp:docPr id="535" name="Frame53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t> </w:t>
            </w:r>
            <w:r>
              <w:rPr>
                <w:rFonts w:ascii="Times New Roman;Times;serif" w:hAnsi="Times New Roman;Times;serif"/>
                <w:b/>
                <w:sz w:val="20"/>
              </w:rPr>
              <w:t>Number</w:t>
              <w:br/>
              <w:t>of Shares</w:t>
              <w:br/>
              <w:t>Purchased</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w:t>
              <w:br/>
              <w:t>Paid per Share</w:t>
            </w:r>
          </w:p>
        </w:tc>
        <w:tc>
          <w:tcPr>
            <w:tcW w:w="326" w:type="dxa"/>
            <w:tcBorders/>
            <w:vAlign w:val="center"/>
          </w:tcPr>
          <w:p>
            <w:pPr>
              <w:pStyle w:val="TableContents"/>
              <w:bidi w:val="0"/>
              <w:spacing w:before="0" w:after="0"/>
              <w:ind w:left="0" w:right="0" w:hanging="0"/>
              <w:jc w:val="left"/>
              <w:rPr/>
            </w:pPr>
            <w:r>
              <w:rPr/>
              <w:t>    </w:t>
            </w:r>
          </w:p>
        </w:tc>
        <w:tc>
          <w:tcPr>
            <w:tcW w:w="2745"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Total Number of</w:t>
              <w:br/>
              <w:t>Shares Purchased as a Part of Publicly</w:t>
              <w:br/>
              <w:t>Announced Plans</w:t>
              <w:br/>
              <w:t xml:space="preserve">or Programs </w:t>
            </w:r>
            <w:r>
              <w:rPr>
                <w:rFonts w:ascii="Times New Roman;Times;serif" w:hAnsi="Times New Roman;Times;serif"/>
                <w:b/>
                <w:sz w:val="15"/>
              </w:rPr>
              <w:t>(1)</w:t>
            </w:r>
          </w:p>
        </w:tc>
        <w:tc>
          <w:tcPr>
            <w:tcW w:w="326" w:type="dxa"/>
            <w:tcBorders/>
            <w:vAlign w:val="center"/>
          </w:tcPr>
          <w:p>
            <w:pPr>
              <w:pStyle w:val="TableContents"/>
              <w:bidi w:val="0"/>
              <w:spacing w:before="0" w:after="0"/>
              <w:ind w:left="0" w:right="0" w:hanging="0"/>
              <w:jc w:val="left"/>
              <w:rPr/>
            </w:pPr>
            <w:r>
              <w:rPr/>
              <w:t>    </w:t>
            </w:r>
          </w:p>
        </w:tc>
        <w:tc>
          <w:tcPr>
            <w:tcW w:w="207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Maximum Number (or</w:t>
              <w:br/>
              <w:t>Approximate Dollar</w:t>
              <w:br/>
              <w:t>Value) of Shares That</w:t>
              <w:br/>
              <w:t>May yet be Purchased</w:t>
              <w:br/>
              <w:t>Under the Plans or</w:t>
              <w:br/>
              <w:t>Programs</w:t>
              <w:br/>
              <w:t xml:space="preserve">($000's) </w:t>
            </w:r>
            <w:r>
              <w:rPr>
                <w:rFonts w:ascii="Times New Roman;Times;serif" w:hAnsi="Times New Roman;Times;serif"/>
                <w:b/>
                <w:sz w:val="15"/>
              </w:rPr>
              <w:t>(1)</w:t>
            </w:r>
          </w:p>
        </w:tc>
      </w:tr>
      <w:tr>
        <w:trPr/>
        <w:tc>
          <w:tcPr>
            <w:tcW w:w="1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7/1/2025 - 7/31/2025</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5,400</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w:t>
            </w:r>
          </w:p>
        </w:tc>
        <w:tc>
          <w:tcPr>
            <w:tcW w:w="326" w:type="dxa"/>
            <w:tcBorders/>
            <w:shd w:fill="CCEEFF" w:val="clear"/>
            <w:vAlign w:val="center"/>
          </w:tcPr>
          <w:p>
            <w:pPr>
              <w:pStyle w:val="TableContents"/>
              <w:bidi w:val="0"/>
              <w:spacing w:before="0" w:after="0"/>
              <w:ind w:left="0" w:right="0" w:hanging="0"/>
              <w:jc w:val="left"/>
              <w:rPr/>
            </w:pPr>
            <w:r>
              <w:rPr/>
              <w:t>​</w:t>
            </w:r>
          </w:p>
        </w:tc>
        <w:tc>
          <w:tcPr>
            <w:tcW w:w="2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w:t>
            </w:r>
          </w:p>
        </w:tc>
      </w:tr>
      <w:tr>
        <w:trPr/>
        <w:tc>
          <w:tcPr>
            <w:tcW w:w="1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8/1/2025 - 8/31/2025</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125,322</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w:t>
            </w:r>
          </w:p>
        </w:tc>
        <w:tc>
          <w:tcPr>
            <w:tcW w:w="326" w:type="dxa"/>
            <w:tcBorders/>
            <w:vAlign w:val="center"/>
          </w:tcPr>
          <w:p>
            <w:pPr>
              <w:pStyle w:val="TableContents"/>
              <w:bidi w:val="0"/>
              <w:spacing w:before="0" w:after="0"/>
              <w:ind w:left="0" w:right="0" w:hanging="0"/>
              <w:jc w:val="left"/>
              <w:rPr/>
            </w:pPr>
            <w:r>
              <w:rPr/>
              <w:t>​</w:t>
            </w:r>
          </w:p>
        </w:tc>
        <w:tc>
          <w:tcPr>
            <w:tcW w:w="2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125,322</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r>
      <w:tr>
        <w:trPr/>
        <w:tc>
          <w:tcPr>
            <w:tcW w:w="1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9/1/2025 - 9/30/2025</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133,188</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w:t>
            </w:r>
          </w:p>
        </w:tc>
        <w:tc>
          <w:tcPr>
            <w:tcW w:w="326" w:type="dxa"/>
            <w:tcBorders/>
            <w:shd w:fill="CCEEFF" w:val="clear"/>
            <w:vAlign w:val="center"/>
          </w:tcPr>
          <w:p>
            <w:pPr>
              <w:pStyle w:val="TableContents"/>
              <w:bidi w:val="0"/>
              <w:spacing w:before="0" w:after="0"/>
              <w:ind w:left="0" w:right="0" w:hanging="0"/>
              <w:jc w:val="left"/>
              <w:rPr/>
            </w:pPr>
            <w:r>
              <w:rPr/>
              <w:t>​</w:t>
            </w:r>
          </w:p>
        </w:tc>
        <w:tc>
          <w:tcPr>
            <w:tcW w:w="2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133,188</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1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263,910</w:t>
            </w:r>
          </w:p>
        </w:tc>
        <w:tc>
          <w:tcPr>
            <w:tcW w:w="326" w:type="dxa"/>
            <w:tcBorders/>
            <w:vAlign w:val="center"/>
          </w:tcPr>
          <w:p>
            <w:pPr>
              <w:pStyle w:val="TableContents"/>
              <w:bidi w:val="0"/>
              <w:spacing w:before="0" w:after="0"/>
              <w:ind w:left="0" w:right="0" w:hanging="0"/>
              <w:jc w:val="left"/>
              <w:rPr/>
            </w:pPr>
            <w:r>
              <w:rPr/>
              <w:t>​</w:t>
            </w:r>
          </w:p>
        </w:tc>
        <w:tc>
          <w:tcPr>
            <w:tcW w:w="3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w:t>
            </w:r>
          </w:p>
        </w:tc>
        <w:tc>
          <w:tcPr>
            <w:tcW w:w="326" w:type="dxa"/>
            <w:tcBorders/>
            <w:vAlign w:val="center"/>
          </w:tcPr>
          <w:p>
            <w:pPr>
              <w:pStyle w:val="TableContents"/>
              <w:bidi w:val="0"/>
              <w:spacing w:before="0" w:after="0"/>
              <w:ind w:left="0" w:right="0" w:hanging="0"/>
              <w:jc w:val="left"/>
              <w:rPr/>
            </w:pPr>
            <w:r>
              <w:rPr/>
              <w:t>​</w:t>
            </w:r>
          </w:p>
        </w:tc>
        <w:tc>
          <w:tcPr>
            <w:tcW w:w="27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263,910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28"/>
        <w:gridCol w:w="9853"/>
      </w:tblGrid>
      <w:tr>
        <w:trPr/>
        <w:tc>
          <w:tcPr>
            <w:tcW w:w="124" w:type="dxa"/>
            <w:tcBorders/>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8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On December 12, 2023, the Company’s Board of Directors approved the December 2023 $5.0 Million Common Stock Repurchase Program. Pursuant to the December 2023 $5.0 Million Common Stock Repurchase Program, the Company was authorized to repurchase shares of its common stock for a total purchase price of up to $5.0 million, the remaining capacity of which was utilized during the three months ended September 30, 2025. On September 24, 2025, the Company’s Board of Directors approved the September 2025 $10.0 Million Common Stock Repurchase Program. Pursuant to the September 2025 $10.0 Million Common Stock Repurchase Program, the Company may repurchase shares of its common stock for a total purchase price of up to $10.0 million. Shares may be purchased under the September 2025 $10.0 Million Common Stock Repurchase Program in open market transactions, including through block purchases, through privately negotiated transactions or pursuant to any trading plan that may be adopted in accordance with Rule 10b5-1 under the Exchange Act. The September 2025 $10.0 Million Common Stock Repurchase Program does not obligate the Company to acquire any particular amount of shares of its common stock and may be modified or suspended. No repurchases were made pursuant to the September 2025 $10.0 Million Common Stock Repurchase Program during the three months ended September 30, 2025. As of September 30, 2025, $10.0 million remained available for repurchases under the September 2025 $10.0 Million Common Stock Repurchase Program. Subsequent to September 30, 2025, the Company repurchased 307,563 shares of its common stock on the open market for a total cost of $5.0 million, or an average price per share of $16.26, under the September 2025 $10 Million Common Stock Repurchase Program. As of October 28, 2025, $5.0 million remained available for repurchases under the September 2025 $10 Million Common Stock Repurchase Program. </w:t>
            </w:r>
          </w:p>
        </w:tc>
      </w:tr>
    </w:tbl>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184" w:name="ITEM3DEFAULTSUPONSENIORSECURITIES_987801"/>
      <w:bookmarkStart w:id="2185" w:name="_58934764_5f4d_4045_9e2f_e1b651649dc9"/>
      <w:bookmarkEnd w:id="2184"/>
      <w:bookmarkEnd w:id="2185"/>
      <w:r>
        <w:rPr>
          <w:rFonts w:ascii="Times New Roman;Times;serif" w:hAnsi="Times New Roman;Times;serif"/>
          <w:b/>
          <w:sz w:val="20"/>
        </w:rPr>
        <w:t>ITEM 3. DEFAULTS UPON SENIOR SECURITIES</w:t>
      </w:r>
    </w:p>
    <w:p>
      <w:pPr>
        <w:pStyle w:val="TextBody"/>
        <w:bidi w:val="0"/>
        <w:spacing w:before="100" w:after="100"/>
        <w:ind w:left="0" w:right="0" w:firstLine="490"/>
        <w:jc w:val="both"/>
        <w:rPr/>
      </w:pPr>
      <w:r>
        <w:rPr/>
        <w:t>​</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rFonts w:ascii="Times New Roman;Times;serif" w:hAnsi="Times New Roman;Times;serif"/>
          <w:b/>
          <w:sz w:val="20"/>
        </w:rPr>
      </w:pPr>
      <w:bookmarkStart w:id="2186" w:name="ITEM4MINESAFETYDISCLOSURES_773804"/>
      <w:bookmarkStart w:id="2187" w:name="_f621f929_c1ab_49cc_ab69_d91d6bc6a4e2"/>
      <w:bookmarkEnd w:id="2186"/>
      <w:bookmarkEnd w:id="2187"/>
      <w:r>
        <w:rPr>
          <w:rFonts w:ascii="Times New Roman;Times;serif" w:hAnsi="Times New Roman;Times;serif"/>
          <w:b/>
          <w:sz w:val="20"/>
        </w:rPr>
        <w:t>ITEM 4. MINE SAFETY DISCLOSURES</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280" w:after="0"/>
        <w:ind w:left="0" w:right="0" w:hanging="0"/>
        <w:jc w:val="both"/>
        <w:rPr>
          <w:rFonts w:ascii="Times New Roman;Times;serif" w:hAnsi="Times New Roman;Times;serif"/>
          <w:sz w:val="20"/>
        </w:rPr>
      </w:pPr>
      <w:bookmarkStart w:id="2188" w:name="ITEM5OTHERINFORMATION_783928"/>
      <w:bookmarkStart w:id="2189" w:name="_fb84c460_2a98_4cc1_850e_fcda5dc63fc2"/>
      <w:bookmarkEnd w:id="2188"/>
      <w:bookmarkEnd w:id="2189"/>
      <w:r>
        <w:rPr>
          <w:rFonts w:ascii="Times New Roman;Times;serif" w:hAnsi="Times New Roman;Times;serif"/>
          <w:b/>
          <w:sz w:val="20"/>
        </w:rPr>
        <w:t>ITEM 5. OTHER</w:t>
      </w:r>
      <w:r>
        <w:rPr>
          <w:rFonts w:ascii="Times New Roman;Times;serif" w:hAnsi="Times New Roman;Times;serif"/>
          <w:sz w:val="20"/>
        </w:rPr>
        <w:t xml:space="preserve"> </w:t>
      </w:r>
      <w:r>
        <w:rPr>
          <w:rFonts w:ascii="Times New Roman;Times;serif" w:hAnsi="Times New Roman;Times;serif"/>
          <w:b/>
          <w:sz w:val="20"/>
        </w:rPr>
        <w:t>INFORMATION</w:t>
      </w:r>
    </w:p>
    <w:p>
      <w:pPr>
        <w:pStyle w:val="TextBody"/>
        <w:bidi w:val="0"/>
        <w:spacing w:before="280" w:after="0"/>
        <w:ind w:left="0" w:right="0" w:firstLine="490"/>
        <w:jc w:val="both"/>
        <w:rPr>
          <w:rFonts w:ascii="Times New Roman;Times;serif" w:hAnsi="Times New Roman;Times;serif"/>
          <w:sz w:val="20"/>
        </w:rPr>
      </w:pPr>
      <w:r>
        <w:rPr>
          <w:rFonts w:ascii="Times New Roman;Times;serif" w:hAnsi="Times New Roman;Times;serif"/>
          <w:sz w:val="20"/>
        </w:rPr>
        <w:t xml:space="preserve">Not applicable </w:t>
      </w:r>
    </w:p>
    <w:p>
      <w:pPr>
        <w:pStyle w:val="TextBody"/>
        <w:bidi w:val="0"/>
        <w:spacing w:lineRule="auto" w:line="268" w:before="280" w:after="120"/>
        <w:ind w:left="0" w:right="0" w:hanging="0"/>
        <w:jc w:val="left"/>
        <w:rPr/>
      </w:pPr>
      <w:bookmarkStart w:id="2190" w:name="_6b5abeac_13d9_4a31_9e19_1b5d138edb38"/>
      <w:bookmarkEnd w:id="2190"/>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120"/>
        <w:ind w:left="0" w:right="0" w:hanging="0"/>
        <w:jc w:val="left"/>
        <w:rPr>
          <w:rFonts w:ascii="Times New Roman;Times;serif" w:hAnsi="Times New Roman;Times;serif"/>
          <w:b/>
          <w:sz w:val="20"/>
        </w:rPr>
      </w:pPr>
      <w:bookmarkStart w:id="2191" w:name="ITEM6EXHIBITS_552522"/>
      <w:bookmarkEnd w:id="2191"/>
      <w:r>
        <w:rPr>
          <w:rFonts w:ascii="Times New Roman;Times;serif" w:hAnsi="Times New Roman;Times;serif"/>
          <w:b/>
          <w:sz w:val="20"/>
        </w:rPr>
        <w:t>ITEM 6. EXHIBITS</w:t>
      </w:r>
    </w:p>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0" w:type="dxa"/>
          <w:right w:w="0" w:type="dxa"/>
        </w:tblCellMar>
      </w:tblPr>
      <w:tblGrid>
        <w:gridCol w:w="1275"/>
        <w:gridCol w:w="266"/>
        <w:gridCol w:w="8664"/>
      </w:tblGrid>
      <w:tr>
        <w:trPr/>
        <w:tc>
          <w:tcPr>
            <w:tcW w:w="1275" w:type="dxa"/>
            <w:tcBorders/>
            <w:vAlign w:val="center"/>
          </w:tcPr>
          <w:p>
            <w:pPr>
              <w:pStyle w:val="TableContents"/>
              <w:bidi w:val="0"/>
              <w:spacing w:before="0" w:after="283"/>
              <w:ind w:left="0" w:right="0" w:hanging="0"/>
              <w:jc w:val="left"/>
              <w:rPr>
                <w:sz w:val="4"/>
                <w:szCs w:val="4"/>
              </w:rPr>
            </w:pPr>
            <w:r>
              <w:rPr>
                <w:sz w:val="4"/>
                <w:szCs w:val="4"/>
              </w:rPr>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283"/>
              <w:ind w:left="0" w:right="0" w:hanging="0"/>
              <w:jc w:val="left"/>
              <w:rPr>
                <w:sz w:val="4"/>
                <w:szCs w:val="4"/>
              </w:rPr>
            </w:pPr>
            <w:r>
              <w:rPr>
                <w:sz w:val="4"/>
                <w:szCs w:val="4"/>
              </w:rPr>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(3.1)</w:t>
            </w:r>
          </w:p>
        </w:tc>
        <w:tc>
          <w:tcPr>
            <w:tcW w:w="266" w:type="dxa"/>
            <w:tcBorders/>
            <w:vAlign w:val="center"/>
          </w:tcPr>
          <w:p>
            <w:pPr>
              <w:pStyle w:val="TableContents"/>
              <w:bidi w:val="0"/>
              <w:spacing w:before="0" w:after="0"/>
              <w:ind w:left="0" w:right="0" w:hanging="0"/>
              <w:jc w:val="left"/>
              <w:rPr/>
            </w:pPr>
            <w:r>
              <w:rPr/>
              <w:t>   </w:t>
            </w:r>
          </w:p>
        </w:tc>
        <w:tc>
          <w:tcPr>
            <w:tcW w:w="8664"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Articles of Amendment and Restatement of CTO Realty Growth, Inc., as amended by the Articles of Amendment (Name Change), filed as Exhibit 3.1 to the registrant’s current report on Form 8-K12B filed February 1, 2021, and incorporated herein by reference.</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(3.2)</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Articles Supplementary, designating CTO Realty Growth, Inc.’s 6.375% Series A Cumulative Redeemable Preferred Stock, filed as Exhibit 3.2 to the registrant's Registration Statement on Form 8-A filed July 1, 2021 (File No. 001-11350), and incorporated herein by reference.</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(3.3)</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Articles Supplementary, designating 3,000,000 additional shares of CTO Realty Growth, Inc.’s 6.375% Series A Cumulative Redeemable Preferred Stock, filed as Exhibit 3.1 to the registrant’s current report on Form 8-K filed April 3, 2024, and incorporated herein by reference.</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(3.4)</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Third Amended and Restated Bylaws of CTO Realty Growth, Inc., effective as of February 16, 2023, filed as Exhibit 3.1 to the registrant’s current report on Form 8-K filed February 17, 2023, and incorporated herein by reference.</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(4.1)</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Specimen Common Stock Certificate of CTO Realty Growth, Inc., filed as Exhibit 4.2 to the registrant’s current report on Form 8-K12B filed February 1, 2021, and incorporated herein by reference.</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(10.1)</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w:anchor="cto-20250930xex10d1.htm">
              <w:r>
                <w:rPr>
                  <w:rStyle w:val="InternetLink"/>
                  <w:rFonts w:ascii="Times New Roman;Times;serif" w:hAnsi="Times New Roman;Times;serif"/>
                  <w:b w:val="false"/>
                  <w:i w:val="false"/>
                  <w:caps w:val="false"/>
                  <w:smallCaps w:val="false"/>
                  <w:sz w:val="20"/>
                </w:rPr>
                <w:t>Second Amendment to Credit Agreement among CTO Realty Growth, Inc., the Guarantors party thereto, the Lenders party thereto and KeyBank National Association, as Administrative Agent, dated September 25, 2025, filed herewith.</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31.1</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w:anchor="cto-20250930xex31d1.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31.2</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w:anchor="cto-20250930xex31d2.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32.1</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w:anchor="cto-20250930xex32d1.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32.2</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hyperlink w:anchor="cto-20250930xex32d2.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101.INS</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Instance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101.SCH</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101.CAL</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101.DEF</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Definition Linkbase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101.LAB</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101.PRE</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1275"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pPr>
            <w:r>
              <w:rPr/>
              <w:t>​</w:t>
            </w:r>
          </w:p>
        </w:tc>
      </w:tr>
      <w:tr>
        <w:trPr/>
        <w:tc>
          <w:tcPr>
            <w:tcW w:w="12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Exhibit 104</w:t>
            </w:r>
          </w:p>
        </w:tc>
        <w:tc>
          <w:tcPr>
            <w:tcW w:w="266" w:type="dxa"/>
            <w:tcBorders/>
            <w:vAlign w:val="center"/>
          </w:tcPr>
          <w:p>
            <w:pPr>
              <w:pStyle w:val="TableContents"/>
              <w:bidi w:val="0"/>
              <w:spacing w:before="0" w:after="0"/>
              <w:ind w:left="0" w:right="0" w:hanging="0"/>
              <w:jc w:val="left"/>
              <w:rPr/>
            </w:pPr>
            <w:r>
              <w:rPr/>
              <w:t>​</w:t>
            </w:r>
          </w:p>
        </w:tc>
        <w:tc>
          <w:tcPr>
            <w:tcW w:w="8664"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Cover Page Interactive Data File (embedded within the Inline XBRL document)</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ind w:left="0" w:right="0" w:hanging="0"/>
              <w:jc w:val="left"/>
              <w:rPr>
                <w:sz w:val="4"/>
                <w:szCs w:val="4"/>
              </w:rPr>
            </w:pPr>
            <w:r>
              <w:rPr>
                <w:sz w:val="4"/>
                <w:szCs w:val="4"/>
              </w:rPr>
            </w:r>
          </w:p>
        </w:tc>
        <w:tc>
          <w:tcPr>
            <w:tcW w:w="9969"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c>
      </w:tr>
      <w:tr>
        <w:trPr/>
        <w:tc>
          <w:tcPr>
            <w:tcW w:w="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382"/>
        <w:gridCol w:w="1559"/>
        <w:gridCol w:w="109"/>
        <w:gridCol w:w="155"/>
      </w:tblGrid>
      <w:tr>
        <w:trPr/>
        <w:tc>
          <w:tcPr>
            <w:tcW w:w="9941" w:type="dxa"/>
            <w:gridSpan w:val="2"/>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941" w:type="dxa"/>
            <w:gridSpan w:val="2"/>
            <w:tcBorders/>
            <w:vAlign w:val="center"/>
          </w:tcPr>
          <w:p>
            <w:pPr>
              <w:pStyle w:val="TableContents"/>
              <w:bidi w:val="0"/>
              <w:spacing w:lineRule="auto" w:line="268" w:before="0" w:after="0"/>
              <w:ind w:left="0" w:right="0" w:hanging="0"/>
              <w:jc w:val="left"/>
              <w:rPr/>
            </w:pPr>
            <w:r>
              <w:rPr/>
              <w:t>​</w:t>
            </w:r>
          </w:p>
        </w:tc>
        <w:tc>
          <w:tcPr>
            <w:tcW w:w="109" w:type="dxa"/>
            <w:tcBorders/>
            <w:vAlign w:val="center"/>
          </w:tcPr>
          <w:p>
            <w:pPr>
              <w:pStyle w:val="TableContents"/>
              <w:bidi w:val="0"/>
              <w:spacing w:lineRule="auto" w:line="268" w:before="0" w:after="0"/>
              <w:ind w:left="0" w:right="0" w:hanging="0"/>
              <w:jc w:val="left"/>
              <w:rPr/>
            </w:pPr>
            <w:r>
              <w:rPr/>
              <w:t>​</w:t>
            </w:r>
          </w:p>
        </w:tc>
        <w:tc>
          <w:tcPr>
            <w:tcW w:w="155" w:type="dxa"/>
            <w:tcBorders/>
            <w:vAlign w:val="center"/>
          </w:tcPr>
          <w:p>
            <w:pPr>
              <w:pStyle w:val="TableContents"/>
              <w:bidi w:val="0"/>
              <w:spacing w:lineRule="auto" w:line="268" w:before="0" w:after="0"/>
              <w:ind w:left="0" w:right="0" w:hanging="0"/>
              <w:jc w:val="left"/>
              <w:rPr/>
            </w:pPr>
            <w:r>
              <w:rPr/>
              <w:t>​</w:t>
            </w:r>
          </w:p>
        </w:tc>
      </w:tr>
      <w:tr>
        <w:trPr/>
        <w:tc>
          <w:tcPr>
            <w:tcW w:w="8382" w:type="dxa"/>
            <w:tcBorders/>
            <w:vAlign w:val="center"/>
          </w:tcPr>
          <w:p>
            <w:pPr>
              <w:pStyle w:val="TableContents"/>
              <w:bidi w:val="0"/>
              <w:spacing w:lineRule="auto" w:line="268" w:before="0" w:after="0"/>
              <w:ind w:left="0" w:right="0" w:hanging="0"/>
              <w:jc w:val="left"/>
              <w:rPr/>
            </w:pPr>
            <w:r>
              <w:rPr/>
              <w:t>​</w:t>
            </w:r>
          </w:p>
        </w:tc>
        <w:tc>
          <w:tcPr>
            <w:tcW w:w="1823"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2192" w:name="_62715d2e_e70a_4d1e_b58c_fbbde8fd87ad"/>
      <w:bookmarkEnd w:id="2192"/>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93" w:name="Signatures_930257"/>
      <w:bookmarkEnd w:id="2193"/>
      <w:r>
        <w:rPr>
          <w:rFonts w:ascii="Times New Roman;Times;serif" w:hAnsi="Times New Roman;Times;serif"/>
          <w:b/>
          <w:sz w:val="20"/>
        </w:rPr>
        <w:t>SIGNATURES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153" w:type="dxa"/>
        <w:jc w:val="left"/>
        <w:tblInd w:w="0" w:type="dxa"/>
        <w:tblLayout w:type="fixed"/>
        <w:tblCellMar>
          <w:top w:w="0" w:type="dxa"/>
          <w:left w:w="0" w:type="dxa"/>
          <w:bottom w:w="0" w:type="dxa"/>
          <w:right w:w="0" w:type="dxa"/>
        </w:tblCellMar>
      </w:tblPr>
      <w:tblGrid>
        <w:gridCol w:w="1531"/>
        <w:gridCol w:w="146"/>
        <w:gridCol w:w="406"/>
        <w:gridCol w:w="109"/>
        <w:gridCol w:w="3961"/>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972185" cy="175260"/>
                      <wp:effectExtent l="0" t="0" r="0" b="0"/>
                      <wp:wrapNone/>
                      <wp:docPr id="536" name="Frame536"/>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92710" cy="175260"/>
                      <wp:effectExtent l="0" t="0" r="0" b="0"/>
                      <wp:wrapNone/>
                      <wp:docPr id="537" name="Frame53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57810" cy="175260"/>
                      <wp:effectExtent l="0" t="0" r="0" b="0"/>
                      <wp:wrapNone/>
                      <wp:docPr id="538" name="Frame53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39" name="Frame5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515235" cy="175260"/>
                      <wp:effectExtent l="0" t="0" r="0" b="0"/>
                      <wp:wrapNone/>
                      <wp:docPr id="540" name="Frame540"/>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47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CTO REALTY GROWTH, INC.</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47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5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28, 2025</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16" w:hanging="0"/>
              <w:jc w:val="left"/>
              <w:rPr>
                <w:rFonts w:ascii="Times New Roman;Times;serif" w:hAnsi="Times New Roman;Times;serif"/>
                <w:b/>
                <w:sz w:val="20"/>
              </w:rPr>
            </w:pPr>
            <w:r>
              <w:rPr>
                <w:rFonts w:ascii="Times New Roman;Times;serif" w:hAnsi="Times New Roman;Times;serif"/>
                <w:b/>
                <w:sz w:val="20"/>
              </w:rPr>
              <w:t>John P. Albright</w:t>
            </w:r>
          </w:p>
          <w:p>
            <w:pPr>
              <w:pStyle w:val="TableContents"/>
              <w:bidi w:val="0"/>
              <w:spacing w:before="0" w:after="0"/>
              <w:ind w:left="0" w:right="16" w:hanging="0"/>
              <w:jc w:val="left"/>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r>
        <w:trPr/>
        <w:tc>
          <w:tcPr>
            <w:tcW w:w="15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28, 2025</w:t>
            </w:r>
          </w:p>
        </w:tc>
        <w:tc>
          <w:tcPr>
            <w:tcW w:w="5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r>
      <w:tr>
        <w:trPr/>
        <w:tc>
          <w:tcPr>
            <w:tcW w:w="15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Philip R. Mays, Senior Vice President,</w:t>
            </w:r>
          </w:p>
        </w:tc>
      </w:tr>
      <w:tr>
        <w:trPr/>
        <w:tc>
          <w:tcPr>
            <w:tcW w:w="15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 and Treasurer</w:t>
            </w:r>
          </w:p>
        </w:tc>
      </w:tr>
      <w:tr>
        <w:trPr/>
        <w:tc>
          <w:tcPr>
            <w:tcW w:w="15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Officer)</w:t>
            </w:r>
          </w:p>
        </w:tc>
      </w:tr>
      <w:tr>
        <w:trPr/>
        <w:tc>
          <w:tcPr>
            <w:tcW w:w="15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28, 2025</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Lisa M. Vorakoun, Senior Vice President and</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Chief Accounting Officer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Accounting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0"/>
        <w:ind w:left="0" w:right="0" w:hanging="0"/>
        <w:jc w:val="right"/>
        <w:rPr>
          <w:rFonts w:ascii="Times New Roman;Times;serif" w:hAnsi="Times New Roman;Times;serif"/>
          <w:b/>
          <w:smallCaps/>
          <w:sz w:val="24"/>
        </w:rPr>
      </w:pPr>
      <w:bookmarkStart w:id="2194" w:name="cto-20250930xex10d1.htm"/>
      <w:bookmarkStart w:id="2195" w:name="kscto20250930xex10d1"/>
      <w:bookmarkEnd w:id="2194"/>
      <w:bookmarkEnd w:id="2195"/>
      <w:r>
        <w:rPr>
          <w:rFonts w:ascii="Times New Roman;Times;serif" w:hAnsi="Times New Roman;Times;serif"/>
          <w:b/>
          <w:smallCaps/>
          <w:sz w:val="24"/>
        </w:rPr>
        <w:t>Exhibit 10.1</w:t>
      </w:r>
      <w:r>
        <w:br w:type="page"/>
      </w:r>
    </w:p>
    <w:p>
      <w:pPr>
        <w:pStyle w:val="TextBody"/>
        <w:bidi w:val="0"/>
        <w:spacing w:before="0" w:after="0"/>
        <w:ind w:left="0" w:right="0" w:hanging="0"/>
        <w:jc w:val="right"/>
        <w:rPr>
          <w:smallCaps/>
        </w:rPr>
      </w:pPr>
      <w:r>
        <w:rPr>
          <w:smallCaps/>
        </w:rPr>
        <w:t>​</w:t>
      </w:r>
    </w:p>
    <w:p>
      <w:pPr>
        <w:pStyle w:val="TextBody"/>
        <w:bidi w:val="0"/>
        <w:spacing w:before="0" w:after="0"/>
        <w:ind w:left="0" w:right="0" w:hanging="0"/>
        <w:jc w:val="right"/>
        <w:rPr>
          <w:rFonts w:ascii="Times New Roman;Times;serif" w:hAnsi="Times New Roman;Times;serif"/>
          <w:b/>
          <w:i/>
          <w:smallCaps/>
          <w:sz w:val="24"/>
        </w:rPr>
      </w:pPr>
      <w:r>
        <w:rPr>
          <w:rFonts w:ascii="Times New Roman;Times;serif" w:hAnsi="Times New Roman;Times;serif"/>
          <w:b/>
          <w:i/>
          <w:smallCaps/>
          <w:sz w:val="24"/>
        </w:rPr>
        <w:t>Execution Version</w:t>
      </w:r>
    </w:p>
    <w:p>
      <w:pPr>
        <w:pStyle w:val="TextBody"/>
        <w:bidi w:val="0"/>
        <w:spacing w:lineRule="atLeast" w:line="280" w:before="0" w:after="0"/>
        <w:ind w:left="0" w:right="0" w:hanging="0"/>
        <w:jc w:val="center"/>
        <w:rPr>
          <w:rFonts w:ascii="Times New Roman;Times;serif" w:hAnsi="Times New Roman;Times;serif"/>
          <w:b/>
          <w:sz w:val="24"/>
        </w:rPr>
      </w:pPr>
      <w:r>
        <w:rPr>
          <w:rFonts w:ascii="Times New Roman;Times;serif" w:hAnsi="Times New Roman;Times;serif"/>
          <w:b/>
          <w:sz w:val="24"/>
        </w:rPr>
        <w:t>SECOND AMENDMENT TO</w:t>
      </w:r>
    </w:p>
    <w:p>
      <w:pPr>
        <w:pStyle w:val="TextBody"/>
        <w:bidi w:val="0"/>
        <w:spacing w:lineRule="atLeast" w:line="280" w:before="0" w:after="0"/>
        <w:ind w:left="0" w:right="0" w:hanging="0"/>
        <w:jc w:val="center"/>
        <w:rPr>
          <w:rFonts w:ascii="Times New Roman;Times;serif" w:hAnsi="Times New Roman;Times;serif"/>
          <w:b/>
          <w:sz w:val="24"/>
        </w:rPr>
      </w:pPr>
      <w:r>
        <w:rPr>
          <w:rFonts w:ascii="Times New Roman;Times;serif" w:hAnsi="Times New Roman;Times;serif"/>
          <w:b/>
          <w:sz w:val="24"/>
        </w:rPr>
        <w:t>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 xml:space="preserve">This </w:t>
      </w:r>
      <w:r>
        <w:rPr>
          <w:rFonts w:ascii="Times New Roman;Times;serif" w:hAnsi="Times New Roman;Times;serif"/>
          <w:smallCaps/>
          <w:sz w:val="24"/>
        </w:rPr>
        <w:t xml:space="preserve">Second Amendment to Credit Agreement </w:t>
      </w:r>
      <w:r>
        <w:rPr>
          <w:rFonts w:ascii="Times New Roman;Times;serif" w:hAnsi="Times New Roman;Times;serif"/>
          <w:sz w:val="24"/>
        </w:rPr>
        <w:t>(herein, this “</w:t>
      </w:r>
      <w:r>
        <w:rPr>
          <w:rFonts w:ascii="Times New Roman;Times;serif" w:hAnsi="Times New Roman;Times;serif"/>
          <w:i/>
          <w:sz w:val="24"/>
        </w:rPr>
        <w:t>Amendment”</w:t>
      </w:r>
      <w:r>
        <w:rPr>
          <w:rFonts w:ascii="Times New Roman;Times;serif" w:hAnsi="Times New Roman;Times;serif"/>
          <w:sz w:val="24"/>
        </w:rPr>
        <w:t>) is entered into as of September 25, 2025, among CTO Realty Growth, Inc., a Maryland corporation, and together with its successors and assigns (the “</w:t>
      </w:r>
      <w:r>
        <w:rPr>
          <w:rFonts w:ascii="Times New Roman;Times;serif" w:hAnsi="Times New Roman;Times;serif"/>
          <w:i/>
          <w:sz w:val="24"/>
        </w:rPr>
        <w:t>Borrower”</w:t>
      </w:r>
      <w:r>
        <w:rPr>
          <w:rFonts w:ascii="Times New Roman;Times;serif" w:hAnsi="Times New Roman;Times;serif"/>
          <w:sz w:val="24"/>
        </w:rPr>
        <w:t>), the Guarantors party hereto, the Lenders party hereto and KeyBank National Association, as Administrative Agent (the “</w:t>
      </w:r>
      <w:r>
        <w:rPr>
          <w:rFonts w:ascii="Times New Roman;Times;serif" w:hAnsi="Times New Roman;Times;serif"/>
          <w:i/>
          <w:sz w:val="24"/>
        </w:rPr>
        <w:t>Administrative Agent”</w:t>
      </w:r>
      <w:r>
        <w:rPr>
          <w:rFonts w:ascii="Times New Roman;Times;serif" w:hAnsi="Times New Roman;Times;serif"/>
          <w:sz w:val="24"/>
        </w:rPr>
        <w:t>).</w:t>
      </w:r>
    </w:p>
    <w:p>
      <w:pPr>
        <w:pStyle w:val="TextBody"/>
        <w:bidi w:val="0"/>
        <w:spacing w:lineRule="atLeast" w:line="280" w:before="280" w:after="240"/>
        <w:ind w:left="0" w:right="0" w:hanging="0"/>
        <w:jc w:val="center"/>
        <w:rPr>
          <w:rFonts w:ascii="Times New Roman;Times;serif" w:hAnsi="Times New Roman;Times;serif"/>
          <w:b/>
          <w:sz w:val="24"/>
        </w:rPr>
      </w:pPr>
      <w:r>
        <w:rPr>
          <w:rFonts w:ascii="Times New Roman;Times;serif" w:hAnsi="Times New Roman;Times;serif"/>
          <w:b/>
          <w:sz w:val="24"/>
        </w:rPr>
        <w:t>PRELIMINARY STATEMENTS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A.The Borrower, the Guarantors party thereto (the “</w:t>
      </w:r>
      <w:r>
        <w:rPr>
          <w:rFonts w:ascii="Times New Roman;Times;serif" w:hAnsi="Times New Roman;Times;serif"/>
          <w:i/>
          <w:sz w:val="24"/>
        </w:rPr>
        <w:t>Guarantors”</w:t>
      </w:r>
      <w:r>
        <w:rPr>
          <w:rFonts w:ascii="Times New Roman;Times;serif" w:hAnsi="Times New Roman;Times;serif"/>
          <w:sz w:val="24"/>
        </w:rPr>
        <w:t>), the financial institutions party thereto (the “</w:t>
      </w:r>
      <w:r>
        <w:rPr>
          <w:rFonts w:ascii="Times New Roman;Times;serif" w:hAnsi="Times New Roman;Times;serif"/>
          <w:i/>
          <w:sz w:val="24"/>
        </w:rPr>
        <w:t>Lenders”</w:t>
      </w:r>
      <w:r>
        <w:rPr>
          <w:rFonts w:ascii="Times New Roman;Times;serif" w:hAnsi="Times New Roman;Times;serif"/>
          <w:sz w:val="24"/>
        </w:rPr>
        <w:t>), and the Administrative Agent entered into that certain Credit Agreement, dated as of September 30, 2024, as amended on December 20, 2024 pursuant to a certain First Amendment to Credit Agreement and Joinder (as the same may be amended, restated, supplemented or otherwise modified, including by this Amendment, the “</w:t>
      </w:r>
      <w:r>
        <w:rPr>
          <w:rFonts w:ascii="Times New Roman;Times;serif" w:hAnsi="Times New Roman;Times;serif"/>
          <w:i/>
          <w:sz w:val="24"/>
        </w:rPr>
        <w:t>Credit Agreement”</w:t>
      </w:r>
      <w:r>
        <w:rPr>
          <w:rFonts w:ascii="Times New Roman;Times;serif" w:hAnsi="Times New Roman;Times;serif"/>
          <w:sz w:val="24"/>
        </w:rPr>
        <w:t>).  All capitalized terms used herein without definition shall have the same meanings herein as such terms have in the Credit Agreement.</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 xml:space="preserve">B.The Borrower has requested pursuant to </w:t>
      </w:r>
      <w:r>
        <w:rPr>
          <w:rFonts w:ascii="Times New Roman;Times;serif" w:hAnsi="Times New Roman;Times;serif"/>
          <w:i/>
          <w:sz w:val="24"/>
        </w:rPr>
        <w:t>Section 1.15</w:t>
      </w:r>
      <w:r>
        <w:rPr>
          <w:rFonts w:ascii="Times New Roman;Times;serif" w:hAnsi="Times New Roman;Times;serif"/>
          <w:sz w:val="24"/>
        </w:rPr>
        <w:t xml:space="preserve"> of the Credit Agreement that the Lenders agree to increase the 2029 Aggregate Term Facility Amount to $125,000,000 (the “</w:t>
      </w:r>
      <w:r>
        <w:rPr>
          <w:rFonts w:ascii="Times New Roman;Times;serif" w:hAnsi="Times New Roman;Times;serif"/>
          <w:i/>
          <w:sz w:val="24"/>
        </w:rPr>
        <w:t>2029 Term Facility Increase</w:t>
      </w:r>
      <w:r>
        <w:rPr>
          <w:rFonts w:ascii="Times New Roman;Times;serif" w:hAnsi="Times New Roman;Times;serif"/>
          <w:sz w:val="24"/>
        </w:rPr>
        <w:t>”) and provide an Incremental Term Credit Facility in the amount of $125,000,000 (the “</w:t>
      </w:r>
      <w:r>
        <w:rPr>
          <w:rFonts w:ascii="Times New Roman;Times;serif" w:hAnsi="Times New Roman;Times;serif"/>
          <w:i/>
          <w:sz w:val="24"/>
        </w:rPr>
        <w:t>2030 Incremental Term Credit Facility</w:t>
      </w:r>
      <w:r>
        <w:rPr>
          <w:rFonts w:ascii="Times New Roman;Times;serif" w:hAnsi="Times New Roman;Times;serif"/>
          <w:sz w:val="24"/>
        </w:rPr>
        <w:t>”).</w:t>
      </w:r>
    </w:p>
    <w:p>
      <w:pPr>
        <w:pStyle w:val="TextBody"/>
        <w:bidi w:val="0"/>
        <w:spacing w:before="280" w:after="283"/>
        <w:ind w:left="0" w:right="0" w:hanging="0"/>
        <w:jc w:val="both"/>
        <w:rPr>
          <w:rFonts w:ascii="Times New Roman;Times;serif" w:hAnsi="Times New Roman;Times;serif"/>
          <w:sz w:val="24"/>
        </w:rPr>
      </w:pPr>
      <w:r>
        <w:rPr>
          <w:rFonts w:ascii="Times New Roman;Times;serif" w:hAnsi="Times New Roman;Times;serif"/>
          <w:sz w:val="24"/>
        </w:rPr>
        <w:t>C.The Borrower, the Administrative Agent and the Lenders party hereto propose to amend the Credit Agreement to, among other things, provide for the 2029 Term Facility Increase and the 2030 Incremental Term Credit Facility on the terms and conditions set forth in this Amendment and, in connection with the 2030 Incremental Term Credit Facility, the Borrower has requested that Truist Bank, Synovus Bank, and Wells Fargo Bank, National Association (the “</w:t>
      </w:r>
      <w:r>
        <w:rPr>
          <w:rFonts w:ascii="Times New Roman;Times;serif" w:hAnsi="Times New Roman;Times;serif"/>
          <w:i/>
          <w:sz w:val="24"/>
        </w:rPr>
        <w:t>Additional Lender</w:t>
      </w:r>
      <w:r>
        <w:rPr>
          <w:rFonts w:ascii="Times New Roman;Times;serif" w:hAnsi="Times New Roman;Times;serif"/>
          <w:sz w:val="24"/>
        </w:rPr>
        <w:t>s”) be joined as 2030 Term Loan Lenders under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mallCaps/>
          <w:sz w:val="24"/>
        </w:rPr>
        <w:t xml:space="preserve">Now, Therefore, </w:t>
      </w:r>
      <w:r>
        <w:rPr>
          <w:rFonts w:ascii="Times New Roman;Times;serif" w:hAnsi="Times New Roman;Times;serif"/>
          <w:sz w:val="24"/>
        </w:rPr>
        <w:t>for good and valuable consideration, the receipt and sufficiency of which is hereby acknowledged, the parties hereto agree as follows:</w:t>
      </w:r>
      <w:bookmarkStart w:id="2196" w:name="_Hlk208324621"/>
      <w:bookmarkEnd w:id="2196"/>
    </w:p>
    <w:tbl>
      <w:tblPr>
        <w:tblW w:w="5530" w:type="dxa"/>
        <w:jc w:val="left"/>
        <w:tblInd w:w="0" w:type="dxa"/>
        <w:tblLayout w:type="fixed"/>
        <w:tblCellMar>
          <w:top w:w="0" w:type="dxa"/>
          <w:left w:w="0" w:type="dxa"/>
          <w:bottom w:w="0" w:type="dxa"/>
          <w:right w:w="0" w:type="dxa"/>
        </w:tblCellMar>
      </w:tblPr>
      <w:tblGrid>
        <w:gridCol w:w="1295"/>
        <w:gridCol w:w="4235"/>
      </w:tblGrid>
      <w:tr>
        <w:trPr/>
        <w:tc>
          <w:tcPr>
            <w:tcW w:w="1295" w:type="dxa"/>
            <w:tcBorders/>
            <w:vAlign w:val="center"/>
          </w:tcPr>
          <w:p>
            <w:pPr>
              <w:pStyle w:val="TableContents"/>
              <w:bidi w:val="0"/>
              <w:spacing w:before="320" w:after="0"/>
              <w:jc w:val="left"/>
              <w:rPr>
                <w:rFonts w:ascii="Times New Roman;Times;serif" w:hAnsi="Times New Roman;Times;serif"/>
                <w:smallCaps/>
                <w:sz w:val="24"/>
              </w:rPr>
            </w:pPr>
            <w:r>
              <w:rPr>
                <w:rFonts w:ascii="Times New Roman;Times;serif" w:hAnsi="Times New Roman;Times;serif"/>
                <w:smallCaps/>
                <w:sz w:val="24"/>
              </w:rPr>
              <w:t>SECTION 1.</w:t>
            </w:r>
          </w:p>
        </w:tc>
        <w:tc>
          <w:tcPr>
            <w:tcW w:w="4235" w:type="dxa"/>
            <w:tcBorders/>
            <w:vAlign w:val="center"/>
          </w:tcPr>
          <w:p>
            <w:pPr>
              <w:pStyle w:val="TableContents"/>
              <w:bidi w:val="0"/>
              <w:spacing w:before="320" w:after="0"/>
              <w:jc w:val="left"/>
              <w:rPr>
                <w:rFonts w:ascii="Times New Roman;Times;serif" w:hAnsi="Times New Roman;Times;serif"/>
                <w:smallCaps/>
                <w:sz w:val="24"/>
              </w:rPr>
            </w:pPr>
            <w:r>
              <w:rPr>
                <w:rFonts w:ascii="Times New Roman;Times;serif" w:hAnsi="Times New Roman;Times;serif"/>
                <w:smallCaps/>
                <w:sz w:val="24"/>
              </w:rPr>
              <w:t>JOINDER OF ADDITIONAL LENDERS.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1.1.</w:t>
      </w:r>
      <w:r>
        <w:rPr>
          <w:rFonts w:ascii="Times" w:hAnsi="Times"/>
          <w:sz w:val="24"/>
        </w:rPr>
        <w:t>Upon the satisfaction of the conditions precedent set forth in Section 4 below, each Additional Lender agrees to become a 2030 Term Loan Lender pursuant to and in accordance with the Credit Agreement and to be bound by the terms of the Credit Agreement and the other Loan Documents as a 2030 Term Loan Lender thereunder and have the rights and obligations of a 2030 Term Loan Lender thereunder.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1.2.</w:t>
      </w:r>
      <w:r>
        <w:rPr>
          <w:rFonts w:ascii="Times" w:hAnsi="Times"/>
          <w:sz w:val="24"/>
        </w:rPr>
        <w:t xml:space="preserve">Each Additional Lender: </w:t>
      </w:r>
      <w:r>
        <w:rPr>
          <w:rFonts w:ascii="Times New Roman;Times;serif" w:hAnsi="Times New Roman;Times;serif"/>
          <w:sz w:val="24"/>
        </w:rPr>
        <w:t xml:space="preserve">(a) confirms that it has received a copy of the Credit Agreement and such other documents and information as it has deemed appropriate to make its own credit analysis and decision to enter into this Amendment; (b) agrees that it will, independently and without reliance upon the Administrative Agent or any other Lender, and based </w:t>
      </w:r>
    </w:p>
    <w:p>
      <w:pPr>
        <w:pStyle w:val="TextBody"/>
        <w:bidi w:val="0"/>
        <w:spacing w:before="0" w:after="0"/>
        <w:ind w:left="0" w:right="0" w:hanging="0"/>
        <w:jc w:val="left"/>
        <w:rPr>
          <w:rFonts w:ascii="Times New Roman;Times;serif" w:hAnsi="Times New Roman;Times;serif"/>
          <w:sz w:val="18"/>
        </w:rPr>
      </w:pPr>
      <w:bookmarkStart w:id="2197" w:name="_iDocIDField1160136b-dca5-4aa1-a319-2cfb"/>
      <w:bookmarkEnd w:id="2197"/>
      <w:r>
        <w:rPr>
          <w:rFonts w:ascii="Times New Roman;Times;serif" w:hAnsi="Times New Roman;Times;serif"/>
          <w:sz w:val="18"/>
        </w:rPr>
        <w:t>4454638.9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on such documents and information as it shall deem appropriate at the time, continue to make its own credit decisions in taking or not taking action under the Credit Agreement; </w:t>
      </w:r>
      <w:r>
        <w:rPr>
          <w:rFonts w:ascii="Times" w:hAnsi="Times"/>
          <w:sz w:val="24"/>
        </w:rPr>
        <w:t>(c) appoints and authorizes the Administrative Agent to take such action as agent on its behalf and to exercise such powers and discretion under the Credit Agreement and the other Loan Documents as are delegated to the Administrative Agent by the terms thereof, together with such powers and discretion as are reasonably incidental thereto; (d) agrees that it will perform in accordance with their terms all of the obligations that by the terms of the Credit Agreement and the other Loan Documents are required to be performed by it as a 2030 Term Loan Lender; and (e) acknowledges that it has delivered to the Administrative Agent completed and signed copies of any forms that may be required by the United States Internal Revenue Service (together with any additional supporting documentation required pursuant to applicable Treasury Department regulations or such other evidence satisfactory to the Borrower and the Administrative Agent) in order to certify such Additional Lender’s exemption from United States withholding taxes with respect to any payments or distributions made or to be made to it in respect of the Loans or under the Credit Agreement and the other Loan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1.3.</w:t>
      </w:r>
      <w:r>
        <w:rPr>
          <w:rFonts w:ascii="Times" w:hAnsi="Times"/>
          <w:sz w:val="24"/>
        </w:rPr>
        <w:t>Following the execution of this Amendment by all parties hereto, this Amendment will be delivered to the Administrative Agent for acceptance and recording by the Administrative Agent.  Upon the satisfaction of the conditions precedent in Section 4 of this Amendment, each Additional Lender shall be a party to the Credit Agreement and the other Loan Documents and have the rights and obligations of a 2030 Term Loan Lender thereunder.</w:t>
      </w:r>
    </w:p>
    <w:tbl>
      <w:tblPr>
        <w:tblW w:w="4825" w:type="dxa"/>
        <w:jc w:val="left"/>
        <w:tblInd w:w="0" w:type="dxa"/>
        <w:tblLayout w:type="fixed"/>
        <w:tblCellMar>
          <w:top w:w="0" w:type="dxa"/>
          <w:left w:w="0" w:type="dxa"/>
          <w:bottom w:w="0" w:type="dxa"/>
          <w:right w:w="0" w:type="dxa"/>
        </w:tblCellMar>
      </w:tblPr>
      <w:tblGrid>
        <w:gridCol w:w="1295"/>
        <w:gridCol w:w="3530"/>
      </w:tblGrid>
      <w:tr>
        <w:trPr/>
        <w:tc>
          <w:tcPr>
            <w:tcW w:w="1295" w:type="dxa"/>
            <w:tcBorders/>
            <w:vAlign w:val="center"/>
          </w:tcPr>
          <w:p>
            <w:pPr>
              <w:pStyle w:val="TableContents"/>
              <w:bidi w:val="0"/>
              <w:spacing w:before="0" w:after="283"/>
              <w:jc w:val="left"/>
              <w:rPr>
                <w:rFonts w:ascii="Times New Roman;Times;serif" w:hAnsi="Times New Roman;Times;serif"/>
                <w:caps/>
                <w:sz w:val="24"/>
              </w:rPr>
            </w:pPr>
            <w:r>
              <w:rPr>
                <w:rFonts w:ascii="Times New Roman;Times;serif" w:hAnsi="Times New Roman;Times;serif"/>
                <w:caps/>
                <w:sz w:val="24"/>
              </w:rPr>
              <w:t>SECTION 2.</w:t>
            </w:r>
          </w:p>
        </w:tc>
        <w:tc>
          <w:tcPr>
            <w:tcW w:w="3530" w:type="dxa"/>
            <w:tcBorders/>
            <w:vAlign w:val="center"/>
          </w:tcPr>
          <w:p>
            <w:pPr>
              <w:pStyle w:val="TableContents"/>
              <w:bidi w:val="0"/>
              <w:spacing w:before="0" w:after="283"/>
              <w:jc w:val="left"/>
              <w:rPr>
                <w:rFonts w:ascii="Times New Roman;Times;serif" w:hAnsi="Times New Roman;Times;serif"/>
                <w:b w:val="false"/>
                <w:i w:val="false"/>
                <w:caps/>
                <w:sz w:val="24"/>
              </w:rPr>
            </w:pPr>
            <w:bookmarkStart w:id="2198" w:name="_Hlk208323932"/>
            <w:bookmarkEnd w:id="2198"/>
            <w:r>
              <w:rPr>
                <w:rFonts w:ascii="Times New Roman;Times;serif" w:hAnsi="Times New Roman;Times;serif"/>
                <w:b w:val="false"/>
                <w:i w:val="false"/>
                <w:caps/>
                <w:sz w:val="24"/>
              </w:rPr>
              <w:t xml:space="preserve">Increase In Commitments. </w:t>
            </w:r>
          </w:p>
        </w:tc>
      </w:tr>
    </w:tbl>
    <w:p>
      <w:pPr>
        <w:pStyle w:val="TextBody"/>
        <w:bidi w:val="0"/>
        <w:spacing w:before="280" w:after="240"/>
        <w:ind w:left="0" w:right="0" w:firstLine="720"/>
        <w:jc w:val="both"/>
        <w:rPr>
          <w:rFonts w:ascii="Times New Roman;Times;serif" w:hAnsi="Times New Roman;Times;serif"/>
          <w:sz w:val="24"/>
        </w:rPr>
      </w:pPr>
      <w:r>
        <w:rPr>
          <w:rFonts w:ascii="Times New Roman;Times;serif" w:hAnsi="Times New Roman;Times;serif"/>
          <w:sz w:val="24"/>
        </w:rPr>
        <w:t>Subject to the satisfaction of the conditions precedent set forth in Section 4 below:</w:t>
      </w:r>
      <w:bookmarkStart w:id="2199" w:name="_Hlk208323996"/>
      <w:bookmarkEnd w:id="2199"/>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2.1The parties hereto agree and acknowledge that, effective as of the Second Amendment Effective Date and subject to the conditions precedent set forth in </w:t>
      </w:r>
      <w:r>
        <w:rPr>
          <w:rFonts w:ascii="Times New Roman;Times;serif" w:hAnsi="Times New Roman;Times;serif"/>
          <w:i/>
          <w:sz w:val="24"/>
        </w:rPr>
        <w:t>Section 4</w:t>
      </w:r>
      <w:r>
        <w:rPr>
          <w:rFonts w:ascii="Times New Roman;Times;serif" w:hAnsi="Times New Roman;Times;serif"/>
          <w:sz w:val="24"/>
        </w:rPr>
        <w:t xml:space="preserve"> below, the aggregate amount of the 2029 Term Loan Commitments is $125,000,000 and the aggregate amount of the 2030 Term Loan Commitments is $125,000,000.</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2.2By its signature below, each 2029 Term Loan Lender party hereto (each, a “</w:t>
      </w:r>
      <w:r>
        <w:rPr>
          <w:rFonts w:ascii="Times New Roman;Times;serif" w:hAnsi="Times New Roman;Times;serif"/>
          <w:i/>
          <w:sz w:val="24"/>
        </w:rPr>
        <w:t>2029</w:t>
      </w:r>
      <w:r>
        <w:rPr>
          <w:rFonts w:ascii="Times New Roman;Times;serif" w:hAnsi="Times New Roman;Times;serif"/>
          <w:sz w:val="24"/>
        </w:rPr>
        <w:t xml:space="preserve"> </w:t>
      </w:r>
      <w:r>
        <w:rPr>
          <w:rFonts w:ascii="Times New Roman;Times;serif" w:hAnsi="Times New Roman;Times;serif"/>
          <w:i/>
          <w:sz w:val="24"/>
        </w:rPr>
        <w:t>Increasing Term Loan Lender</w:t>
      </w:r>
      <w:r>
        <w:rPr>
          <w:rFonts w:ascii="Times New Roman;Times;serif" w:hAnsi="Times New Roman;Times;serif"/>
          <w:sz w:val="24"/>
        </w:rPr>
        <w:t xml:space="preserve">”) and each Lender party hereto with a 2030 Term Loan Commitment set forth on Schedule I contained in </w:t>
      </w:r>
      <w:r>
        <w:rPr>
          <w:rFonts w:ascii="Times New Roman;Times;serif" w:hAnsi="Times New Roman;Times;serif"/>
          <w:sz w:val="24"/>
          <w:u w:val="single"/>
        </w:rPr>
        <w:t>Annex A</w:t>
      </w:r>
      <w:r>
        <w:rPr>
          <w:rFonts w:ascii="Times New Roman;Times;serif" w:hAnsi="Times New Roman;Times;serif"/>
          <w:sz w:val="24"/>
        </w:rPr>
        <w:t xml:space="preserve"> of this Amendment (each, a “</w:t>
      </w:r>
      <w:r>
        <w:rPr>
          <w:rFonts w:ascii="Times New Roman;Times;serif" w:hAnsi="Times New Roman;Times;serif"/>
          <w:i/>
          <w:sz w:val="24"/>
        </w:rPr>
        <w:t>2030 Term Loan Lender</w:t>
      </w:r>
      <w:r>
        <w:rPr>
          <w:rFonts w:ascii="Times New Roman;Times;serif" w:hAnsi="Times New Roman;Times;serif"/>
          <w:sz w:val="24"/>
        </w:rPr>
        <w:t xml:space="preserve">”) hereby acknowledges, agrees and confirms that on the Second Amendment Effective Date and subject to the conditions precedent set forth in </w:t>
      </w:r>
      <w:r>
        <w:rPr>
          <w:rFonts w:ascii="Times New Roman;Times;serif" w:hAnsi="Times New Roman;Times;serif"/>
          <w:i/>
          <w:sz w:val="24"/>
        </w:rPr>
        <w:t>Section 4</w:t>
      </w:r>
      <w:r>
        <w:rPr>
          <w:rFonts w:ascii="Times New Roman;Times;serif" w:hAnsi="Times New Roman;Times;serif"/>
          <w:sz w:val="24"/>
        </w:rPr>
        <w:t xml:space="preserve"> below, the Commitments for each 2029 Increasing Term Loan Lender and each 2030 Term Loan Lender under the Credit Agreement is set forth on Schedule I contained in </w:t>
      </w:r>
      <w:r>
        <w:rPr>
          <w:rFonts w:ascii="Times New Roman;Times;serif" w:hAnsi="Times New Roman;Times;serif"/>
          <w:sz w:val="24"/>
          <w:u w:val="single"/>
        </w:rPr>
        <w:t>Annex A</w:t>
      </w:r>
      <w:r>
        <w:rPr>
          <w:rFonts w:ascii="Times New Roman;Times;serif" w:hAnsi="Times New Roman;Times;serif"/>
          <w:sz w:val="24"/>
        </w:rPr>
        <w:t xml:space="preserve"> of this Amendment.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2.3The 2029 Increasing Term Loan Lenders, severally and not jointly, hereby agree to make additional 2029 Term Loans to the Borrower in the aggregate principal amount (when added to the 2029 Term Loans funded on the Closing Date) set forth opposite their respective names on Schedule I contained in </w:t>
      </w:r>
      <w:r>
        <w:rPr>
          <w:rFonts w:ascii="Times New Roman;Times;serif" w:hAnsi="Times New Roman;Times;serif"/>
          <w:sz w:val="24"/>
          <w:u w:val="single"/>
        </w:rPr>
        <w:t>Annex A</w:t>
      </w:r>
      <w:r>
        <w:rPr>
          <w:rFonts w:ascii="Times New Roman;Times;serif" w:hAnsi="Times New Roman;Times;serif"/>
          <w:sz w:val="24"/>
        </w:rPr>
        <w:t xml:space="preserve"> of this Amendment on the Second Amendment Effective Date subject to the conditions precedent set forth in </w:t>
      </w:r>
      <w:r>
        <w:rPr>
          <w:rFonts w:ascii="Times New Roman;Times;serif" w:hAnsi="Times New Roman;Times;serif"/>
          <w:i/>
          <w:sz w:val="24"/>
        </w:rPr>
        <w:t>Section 4</w:t>
      </w:r>
      <w:r>
        <w:rPr>
          <w:rFonts w:ascii="Times New Roman;Times;serif" w:hAnsi="Times New Roman;Times;serif"/>
          <w:sz w:val="24"/>
        </w:rPr>
        <w:t xml:space="preserve"> below; </w:t>
      </w:r>
      <w:bookmarkStart w:id="2200" w:name="_Hlk208319490"/>
      <w:bookmarkEnd w:id="2200"/>
      <w:r>
        <w:rPr>
          <w:rFonts w:ascii="Times New Roman;Times;serif" w:hAnsi="Times New Roman;Times;serif"/>
          <w:i/>
          <w:sz w:val="24"/>
        </w:rPr>
        <w:t>provided</w:t>
      </w:r>
      <w:r>
        <w:rPr>
          <w:rFonts w:ascii="Times New Roman;Times;serif" w:hAnsi="Times New Roman;Times;serif"/>
          <w:sz w:val="24"/>
        </w:rPr>
        <w:t xml:space="preserve"> that, after giving effect to such 2029 Term Loans, (i) the aggregate principal amount of the 2029 Term Loans shall not exceed the 2029 Aggregate Term Facility Amount and (ii) the aggregate principal amount of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201" w:name="_iDocIDField291f37dd-2af6-44b8-b600-75e7"/>
      <w:bookmarkEnd w:id="2201"/>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2029 Term Loans and the 2030 Term Loans shall not exceed the Borrowing Base as then computed and determined.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2.4The 2030 Term Loan Lenders, severally and not jointly, hereby agree to make 2030 Term Loans to the Borrower in the principal amount set forth opposite their respective names on Schedule I contained in </w:t>
      </w:r>
      <w:r>
        <w:rPr>
          <w:rFonts w:ascii="Times New Roman;Times;serif" w:hAnsi="Times New Roman;Times;serif"/>
          <w:sz w:val="24"/>
          <w:u w:val="single"/>
        </w:rPr>
        <w:t>Annex A</w:t>
      </w:r>
      <w:r>
        <w:rPr>
          <w:rFonts w:ascii="Times New Roman;Times;serif" w:hAnsi="Times New Roman;Times;serif"/>
          <w:sz w:val="24"/>
        </w:rPr>
        <w:t xml:space="preserve"> of this Amendment on the Second Amendment Effective Date subject to the conditions precedent set forth in </w:t>
      </w:r>
      <w:r>
        <w:rPr>
          <w:rFonts w:ascii="Times New Roman;Times;serif" w:hAnsi="Times New Roman;Times;serif"/>
          <w:i/>
          <w:sz w:val="24"/>
        </w:rPr>
        <w:t>Section 4</w:t>
      </w:r>
      <w:r>
        <w:rPr>
          <w:rFonts w:ascii="Times New Roman;Times;serif" w:hAnsi="Times New Roman;Times;serif"/>
          <w:sz w:val="24"/>
        </w:rPr>
        <w:t xml:space="preserve"> below and the terms of the Credit Agreement; </w:t>
      </w:r>
      <w:r>
        <w:rPr>
          <w:rFonts w:ascii="Times New Roman;Times;serif" w:hAnsi="Times New Roman;Times;serif"/>
          <w:i/>
          <w:sz w:val="24"/>
        </w:rPr>
        <w:t>provided</w:t>
      </w:r>
      <w:r>
        <w:rPr>
          <w:rFonts w:ascii="Times New Roman;Times;serif" w:hAnsi="Times New Roman;Times;serif"/>
          <w:sz w:val="24"/>
        </w:rPr>
        <w:t xml:space="preserve"> that, after giving effect to such 2030 Term Loans, (i) the aggregate principal amount of the 2030 Term Loans shall not exceed the 2030 Aggregate Term Facility Amount and (ii) the aggregate principal amount of the 2029 Term Loans and the 2030 Term Loans shall not exceed the Borrowing Base as then computed and determined.  On the Second Amendment Effective Date subject to the conditions precedent set forth in </w:t>
      </w:r>
      <w:r>
        <w:rPr>
          <w:rFonts w:ascii="Times New Roman;Times;serif" w:hAnsi="Times New Roman;Times;serif"/>
          <w:i/>
          <w:sz w:val="24"/>
        </w:rPr>
        <w:t>Section 4</w:t>
      </w:r>
      <w:r>
        <w:rPr>
          <w:rFonts w:ascii="Times New Roman;Times;serif" w:hAnsi="Times New Roman;Times;serif"/>
          <w:sz w:val="24"/>
        </w:rPr>
        <w:t xml:space="preserve"> below, the 2030 Term Loan Commitments and 2030 Term Loans shall automatically and without further action by any Person constitute, for all purposes of the Credit Agreement and the other Loan Documents, Commitments and Term Loans, respectively.</w:t>
      </w:r>
    </w:p>
    <w:tbl>
      <w:tblPr>
        <w:tblW w:w="6010" w:type="dxa"/>
        <w:jc w:val="left"/>
        <w:tblInd w:w="0" w:type="dxa"/>
        <w:tblLayout w:type="fixed"/>
        <w:tblCellMar>
          <w:top w:w="0" w:type="dxa"/>
          <w:left w:w="0" w:type="dxa"/>
          <w:bottom w:w="0" w:type="dxa"/>
          <w:right w:w="0" w:type="dxa"/>
        </w:tblCellMar>
      </w:tblPr>
      <w:tblGrid>
        <w:gridCol w:w="1295"/>
        <w:gridCol w:w="4715"/>
      </w:tblGrid>
      <w:tr>
        <w:trPr/>
        <w:tc>
          <w:tcPr>
            <w:tcW w:w="1295" w:type="dxa"/>
            <w:tcBorders/>
            <w:vAlign w:val="center"/>
          </w:tcPr>
          <w:p>
            <w:pPr>
              <w:pStyle w:val="TableContents"/>
              <w:bidi w:val="0"/>
              <w:spacing w:before="0" w:after="283"/>
              <w:jc w:val="left"/>
              <w:rPr>
                <w:rFonts w:ascii="Times New Roman;Times;serif" w:hAnsi="Times New Roman;Times;serif"/>
                <w:caps/>
                <w:sz w:val="24"/>
              </w:rPr>
            </w:pPr>
            <w:r>
              <w:rPr>
                <w:rFonts w:ascii="Times New Roman;Times;serif" w:hAnsi="Times New Roman;Times;serif"/>
                <w:caps/>
                <w:sz w:val="24"/>
              </w:rPr>
              <w:t>SECTION 3.</w:t>
            </w:r>
          </w:p>
        </w:tc>
        <w:tc>
          <w:tcPr>
            <w:tcW w:w="4715" w:type="dxa"/>
            <w:tcBorders/>
            <w:vAlign w:val="center"/>
          </w:tcPr>
          <w:p>
            <w:pPr>
              <w:pStyle w:val="TableContents"/>
              <w:bidi w:val="0"/>
              <w:spacing w:before="0" w:after="283"/>
              <w:jc w:val="left"/>
              <w:rPr>
                <w:rFonts w:ascii="Times New Roman;Times;serif" w:hAnsi="Times New Roman;Times;serif"/>
                <w:b w:val="false"/>
                <w:i w:val="false"/>
                <w:caps/>
                <w:sz w:val="24"/>
              </w:rPr>
            </w:pPr>
            <w:r>
              <w:rPr>
                <w:rFonts w:ascii="Times New Roman;Times;serif" w:hAnsi="Times New Roman;Times;serif"/>
                <w:b w:val="false"/>
                <w:i w:val="false"/>
                <w:caps/>
                <w:sz w:val="24"/>
              </w:rPr>
              <w:t>Amendments to Credit Agreement.</w:t>
            </w:r>
          </w:p>
        </w:tc>
      </w:tr>
    </w:tbl>
    <w:p>
      <w:pPr>
        <w:pStyle w:val="TextBody"/>
        <w:bidi w:val="0"/>
        <w:spacing w:before="280" w:after="240"/>
        <w:ind w:left="0" w:right="0" w:firstLine="720"/>
        <w:jc w:val="both"/>
        <w:rPr>
          <w:rFonts w:ascii="Times New Roman;Times;serif" w:hAnsi="Times New Roman;Times;serif"/>
          <w:sz w:val="24"/>
        </w:rPr>
      </w:pPr>
      <w:r>
        <w:rPr>
          <w:rFonts w:ascii="Times New Roman;Times;serif" w:hAnsi="Times New Roman;Times;serif"/>
          <w:sz w:val="24"/>
        </w:rPr>
        <w:t xml:space="preserve">Subject to the satisfaction of the conditions precedent set forth in </w:t>
      </w:r>
      <w:r>
        <w:rPr>
          <w:rFonts w:ascii="Times New Roman;Times;serif" w:hAnsi="Times New Roman;Times;serif"/>
          <w:i/>
          <w:sz w:val="24"/>
        </w:rPr>
        <w:t>Section 4</w:t>
      </w:r>
      <w:r>
        <w:rPr>
          <w:rFonts w:ascii="Times New Roman;Times;serif" w:hAnsi="Times New Roman;Times;serif"/>
          <w:sz w:val="24"/>
        </w:rPr>
        <w:t xml:space="preserve"> below: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3.1The Existing Credit Agreement is hereby amended to delete the stricken text (indicated textually in the same manner as the following example: </w:t>
      </w:r>
      <w:r>
        <w:rPr>
          <w:rFonts w:ascii="Times New Roman;Times;serif" w:hAnsi="Times New Roman;Times;serif"/>
          <w:color w:val="FF0000"/>
          <w:sz w:val="24"/>
        </w:rPr>
        <w:t>stricken text</w:t>
      </w:r>
      <w:r>
        <w:rPr>
          <w:rFonts w:ascii="Times New Roman;Times;serif" w:hAnsi="Times New Roman;Times;serif"/>
          <w:sz w:val="24"/>
        </w:rPr>
        <w:t xml:space="preserve"> or </w:t>
      </w:r>
      <w:r>
        <w:rPr>
          <w:rFonts w:ascii="Times New Roman;Times;serif" w:hAnsi="Times New Roman;Times;serif"/>
          <w:color w:val="70AD47"/>
          <w:sz w:val="24"/>
        </w:rPr>
        <w:t>stricken text</w:t>
      </w:r>
      <w:r>
        <w:rPr>
          <w:rFonts w:ascii="Times New Roman;Times;serif" w:hAnsi="Times New Roman;Times;serif"/>
          <w:sz w:val="24"/>
        </w:rPr>
        <w:t xml:space="preserve">) and to add the double-underlined text (indicated textually in the same manner as the following example: </w:t>
      </w:r>
      <w:r>
        <w:rPr>
          <w:rFonts w:ascii="Times New Roman;Times;serif" w:hAnsi="Times New Roman;Times;serif"/>
          <w:color w:val="4472C4"/>
          <w:sz w:val="24"/>
          <w:u w:val="single"/>
        </w:rPr>
        <w:t>double-underlined text</w:t>
      </w:r>
      <w:r>
        <w:rPr>
          <w:rFonts w:ascii="Times New Roman;Times;serif" w:hAnsi="Times New Roman;Times;serif"/>
          <w:sz w:val="24"/>
        </w:rPr>
        <w:t xml:space="preserve"> or </w:t>
      </w:r>
      <w:r>
        <w:rPr>
          <w:rFonts w:ascii="Times New Roman;Times;serif" w:hAnsi="Times New Roman;Times;serif"/>
          <w:color w:val="70AD47"/>
          <w:sz w:val="24"/>
          <w:u w:val="single"/>
        </w:rPr>
        <w:t>double-underlined text</w:t>
      </w:r>
      <w:r>
        <w:rPr>
          <w:rFonts w:ascii="Times New Roman;Times;serif" w:hAnsi="Times New Roman;Times;serif"/>
          <w:sz w:val="24"/>
        </w:rPr>
        <w:t xml:space="preserve">) as set forth on the pages of the Credit Agreement attached hereto as </w:t>
      </w:r>
      <w:r>
        <w:rPr>
          <w:rFonts w:ascii="Times New Roman;Times;serif" w:hAnsi="Times New Roman;Times;serif"/>
          <w:sz w:val="24"/>
          <w:u w:val="single"/>
        </w:rPr>
        <w:t>Annex A</w:t>
      </w:r>
      <w:r>
        <w:rPr>
          <w:rFonts w:ascii="Times New Roman;Times;serif" w:hAnsi="Times New Roman;Times;serif"/>
          <w:sz w:val="24"/>
        </w:rPr>
        <w:t>.</w:t>
      </w:r>
    </w:p>
    <w:tbl>
      <w:tblPr>
        <w:tblW w:w="4420" w:type="dxa"/>
        <w:jc w:val="left"/>
        <w:tblInd w:w="0" w:type="dxa"/>
        <w:tblLayout w:type="fixed"/>
        <w:tblCellMar>
          <w:top w:w="0" w:type="dxa"/>
          <w:left w:w="0" w:type="dxa"/>
          <w:bottom w:w="0" w:type="dxa"/>
          <w:right w:w="0" w:type="dxa"/>
        </w:tblCellMar>
      </w:tblPr>
      <w:tblGrid>
        <w:gridCol w:w="1295"/>
        <w:gridCol w:w="3125"/>
      </w:tblGrid>
      <w:tr>
        <w:trPr/>
        <w:tc>
          <w:tcPr>
            <w:tcW w:w="1295" w:type="dxa"/>
            <w:tcBorders/>
            <w:vAlign w:val="center"/>
          </w:tcPr>
          <w:p>
            <w:pPr>
              <w:pStyle w:val="TableContents"/>
              <w:bidi w:val="0"/>
              <w:spacing w:before="0" w:after="283"/>
              <w:jc w:val="left"/>
              <w:rPr>
                <w:rFonts w:ascii="Times New Roman;Times;serif" w:hAnsi="Times New Roman;Times;serif"/>
                <w:caps/>
                <w:sz w:val="24"/>
              </w:rPr>
            </w:pPr>
            <w:r>
              <w:rPr>
                <w:rFonts w:ascii="Times New Roman;Times;serif" w:hAnsi="Times New Roman;Times;serif"/>
                <w:caps/>
                <w:sz w:val="24"/>
              </w:rPr>
              <w:t>SECTION 4.</w:t>
            </w:r>
          </w:p>
        </w:tc>
        <w:tc>
          <w:tcPr>
            <w:tcW w:w="3125" w:type="dxa"/>
            <w:tcBorders/>
            <w:vAlign w:val="center"/>
          </w:tcPr>
          <w:p>
            <w:pPr>
              <w:pStyle w:val="TableContents"/>
              <w:bidi w:val="0"/>
              <w:spacing w:before="0" w:after="283"/>
              <w:jc w:val="left"/>
              <w:rPr>
                <w:rFonts w:ascii="Times New Roman;Times;serif" w:hAnsi="Times New Roman;Times;serif"/>
                <w:b w:val="false"/>
                <w:i w:val="false"/>
                <w:caps/>
                <w:sz w:val="24"/>
              </w:rPr>
            </w:pPr>
            <w:r>
              <w:rPr>
                <w:rFonts w:ascii="Times New Roman;Times;serif" w:hAnsi="Times New Roman;Times;serif"/>
                <w:b w:val="false"/>
                <w:i w:val="false"/>
                <w:caps/>
                <w:sz w:val="24"/>
              </w:rPr>
              <w:t xml:space="preserve">Conditions Precedent. </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4.1The Borrower, the Guarantors, the 2029 Increasing Term Loan Lenders, the 2030 Term Loan Lenders, and the Administrative Agent shall have executed and delivered this Amendment to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4.2The Borrower shall have delivered to Administrative Agent, to the extent requested by any 2029 Increasing Term Loan Lender or 2030 Term Loan Lender, a duly executed Note of the Borrower dated the date hereof and otherwise in compliance with the provisions of Section 1.10 of the Credit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4.3The Administrative Agent shall have received copies of resolutions of the Borrower’s and each Material Subsidiary’s Board of Directors (or similar governing body) authorizing the execution, delivery and performance of this Amendment and the consummation of the transactions contemplated hereby.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4.4The Administrative Agent shall have received copies of the Borrower’s and each Material Subsidiary’s articles of incorporation and bylaws (or comparable organizational documents) and any amendments thereto, certified in each instance by its Secretary or Assistant Secretary, or to the extent the same have not been amended since last delivered to the Administrative Agent, a certificate from its Secretary or Assistant Secretary certifying the same.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202" w:name="_iDocIDField291f37dd-2af6-44b8-b600-75e7"/>
      <w:bookmarkEnd w:id="2202"/>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4.5The Administrative Agent shall have received a written opinion of counsel to the Borrower, in form and substance reasonably satisfactory to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4.6The Administrative Agent shall have received copies of a certificate of good standing for the Borrower (dated no earlier than forty-five (45) days prior to the date hereof) from the office of the secretary of the state of its incorporation or organization.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4.7The Borrower shall have delivered to Administrative Agent a Borrowing Base Certificate, together with a Compliance Certificate, each dated as of the date hereof and calculated on a </w:t>
      </w:r>
      <w:r>
        <w:rPr>
          <w:rFonts w:ascii="Times New Roman;Times;serif" w:hAnsi="Times New Roman;Times;serif"/>
          <w:i/>
          <w:sz w:val="24"/>
        </w:rPr>
        <w:t>pro forma</w:t>
      </w:r>
      <w:r>
        <w:rPr>
          <w:rFonts w:ascii="Times New Roman;Times;serif" w:hAnsi="Times New Roman;Times;serif"/>
          <w:sz w:val="24"/>
        </w:rPr>
        <w:t xml:space="preserve"> basis after giving effect to the Incremental Commitments contemplated herein.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4.8The Administrative Agent and each applicable Lender shall have received any documentation or other information reasonably required by the Administrative Agent or such Lender in connection with applicable “know your customer” and anti-money-laundering rules and regulations, including the Patriot 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4.9At least three (3) days prior to the Second Amendment Effective Date, if the Borrower qualifies as a “legal entity customer” under the Beneficial Ownership Regulation, the Borrower shall deliver a Beneficial Ownership Certification in relation to 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4.10The Administrative Agent shall have received the supplemental fee letter, duly executed by the Borrower.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4.11The Administrative Agent and the Arrangers shall have received the fees in respect to the Incremental Commitments described herein agreed to in writing between such parties and the Borrower.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4.12The Administrative Agent shall have received such other agreements, instruments, documents, and certificates as the Administrative Agent may reasonably request, and legal matters incident to the execution and delivery of this Amendment shall be reasonably satisfactory to the Administrative Agent and its counsel.</w:t>
      </w:r>
    </w:p>
    <w:tbl>
      <w:tblPr>
        <w:tblW w:w="3655" w:type="dxa"/>
        <w:jc w:val="left"/>
        <w:tblInd w:w="0" w:type="dxa"/>
        <w:tblLayout w:type="fixed"/>
        <w:tblCellMar>
          <w:top w:w="0" w:type="dxa"/>
          <w:left w:w="0" w:type="dxa"/>
          <w:bottom w:w="0" w:type="dxa"/>
          <w:right w:w="0" w:type="dxa"/>
        </w:tblCellMar>
      </w:tblPr>
      <w:tblGrid>
        <w:gridCol w:w="1295"/>
        <w:gridCol w:w="2360"/>
      </w:tblGrid>
      <w:tr>
        <w:trPr/>
        <w:tc>
          <w:tcPr>
            <w:tcW w:w="1295" w:type="dxa"/>
            <w:tcBorders/>
            <w:vAlign w:val="center"/>
          </w:tcPr>
          <w:p>
            <w:pPr>
              <w:pStyle w:val="TableContents"/>
              <w:bidi w:val="0"/>
              <w:spacing w:before="0" w:after="283"/>
              <w:jc w:val="left"/>
              <w:rPr>
                <w:rFonts w:ascii="Times New Roman;Times;serif" w:hAnsi="Times New Roman;Times;serif"/>
                <w:caps/>
                <w:sz w:val="24"/>
              </w:rPr>
            </w:pPr>
            <w:r>
              <w:rPr>
                <w:rFonts w:ascii="Times New Roman;Times;serif" w:hAnsi="Times New Roman;Times;serif"/>
                <w:caps/>
                <w:sz w:val="24"/>
              </w:rPr>
              <w:t>SECTION 5.</w:t>
            </w:r>
          </w:p>
        </w:tc>
        <w:tc>
          <w:tcPr>
            <w:tcW w:w="2360" w:type="dxa"/>
            <w:tcBorders/>
            <w:vAlign w:val="center"/>
          </w:tcPr>
          <w:p>
            <w:pPr>
              <w:pStyle w:val="TableContents"/>
              <w:bidi w:val="0"/>
              <w:spacing w:before="0" w:after="283"/>
              <w:jc w:val="left"/>
              <w:rPr>
                <w:rFonts w:ascii="Times New Roman;Times;serif" w:hAnsi="Times New Roman;Times;serif"/>
                <w:b w:val="false"/>
                <w:i w:val="false"/>
                <w:caps/>
                <w:sz w:val="24"/>
              </w:rPr>
            </w:pPr>
            <w:r>
              <w:rPr>
                <w:rFonts w:ascii="Times New Roman;Times;serif" w:hAnsi="Times New Roman;Times;serif"/>
                <w:b w:val="false"/>
                <w:i w:val="false"/>
                <w:caps/>
                <w:sz w:val="24"/>
              </w:rPr>
              <w:t>Representations.</w:t>
            </w:r>
          </w:p>
        </w:tc>
      </w:tr>
    </w:tbl>
    <w:p>
      <w:pPr>
        <w:pStyle w:val="TextBody"/>
        <w:bidi w:val="0"/>
        <w:spacing w:before="280" w:after="240"/>
        <w:ind w:left="0" w:right="0" w:firstLine="720"/>
        <w:jc w:val="both"/>
        <w:rPr>
          <w:rFonts w:ascii="Times New Roman;Times;serif" w:hAnsi="Times New Roman;Times;serif"/>
          <w:sz w:val="24"/>
        </w:rPr>
      </w:pPr>
      <w:r>
        <w:rPr>
          <w:rFonts w:ascii="Times New Roman;Times;serif" w:hAnsi="Times New Roman;Times;serif"/>
          <w:sz w:val="24"/>
        </w:rPr>
        <w:t>In order to induce the Administrative Agent and the Lenders to execute and deliver this Amendment, the Borrower hereby represents to the Administrative Agent and the Lenders that (a) after giving effect to this Amendment, the representations and warranties set forth in Section 6 of the Credit Agreement are and shall be and remain true and correct in all material respects (except in the case of a representation or warranty qualified by materiality in which case such representation or warranty shall be true and correct in all respects) as of the date hereof (or, if any such representation and warranty is expressly stated to have been made as of a specific date, as of such specific date) and (b) no Default or Event of Default has occurred and is continuing under the Credit Agreement or shall result after giving effect to this Amendment.</w:t>
      </w:r>
    </w:p>
    <w:tbl>
      <w:tblPr>
        <w:tblW w:w="3415" w:type="dxa"/>
        <w:jc w:val="left"/>
        <w:tblInd w:w="0" w:type="dxa"/>
        <w:tblLayout w:type="fixed"/>
        <w:tblCellMar>
          <w:top w:w="0" w:type="dxa"/>
          <w:left w:w="0" w:type="dxa"/>
          <w:bottom w:w="0" w:type="dxa"/>
          <w:right w:w="0" w:type="dxa"/>
        </w:tblCellMar>
      </w:tblPr>
      <w:tblGrid>
        <w:gridCol w:w="1295"/>
        <w:gridCol w:w="2120"/>
      </w:tblGrid>
      <w:tr>
        <w:trPr/>
        <w:tc>
          <w:tcPr>
            <w:tcW w:w="1295" w:type="dxa"/>
            <w:tcBorders/>
            <w:vAlign w:val="center"/>
          </w:tcPr>
          <w:p>
            <w:pPr>
              <w:pStyle w:val="TableContents"/>
              <w:bidi w:val="0"/>
              <w:spacing w:before="0" w:after="283"/>
              <w:jc w:val="left"/>
              <w:rPr>
                <w:rFonts w:ascii="Times New Roman;Times;serif" w:hAnsi="Times New Roman;Times;serif"/>
                <w:caps/>
                <w:sz w:val="24"/>
              </w:rPr>
            </w:pPr>
            <w:r>
              <w:rPr>
                <w:rFonts w:ascii="Times New Roman;Times;serif" w:hAnsi="Times New Roman;Times;serif"/>
                <w:caps/>
                <w:sz w:val="24"/>
              </w:rPr>
              <w:t>SECTION 6.</w:t>
            </w:r>
          </w:p>
        </w:tc>
        <w:tc>
          <w:tcPr>
            <w:tcW w:w="2120" w:type="dxa"/>
            <w:tcBorders/>
            <w:vAlign w:val="center"/>
          </w:tcPr>
          <w:p>
            <w:pPr>
              <w:pStyle w:val="TableContents"/>
              <w:bidi w:val="0"/>
              <w:spacing w:before="0" w:after="283"/>
              <w:jc w:val="left"/>
              <w:rPr>
                <w:rFonts w:ascii="Times New Roman;Times;serif" w:hAnsi="Times New Roman;Times;serif"/>
                <w:b w:val="false"/>
                <w:i w:val="false"/>
                <w:caps/>
                <w:sz w:val="24"/>
              </w:rPr>
            </w:pPr>
            <w:r>
              <w:rPr>
                <w:rFonts w:ascii="Times New Roman;Times;serif" w:hAnsi="Times New Roman;Times;serif"/>
                <w:b w:val="false"/>
                <w:i w:val="false"/>
                <w:caps/>
                <w:sz w:val="24"/>
              </w:rPr>
              <w:t>Miscellaneous.</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6.1Except as specifically amended herein, the Credit Agreement and the other Loan Documents shall continue in full force and effect in accordance with their original terms.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203" w:name="_iDocIDField291f37dd-2af6-44b8-b600-75e7"/>
      <w:bookmarkEnd w:id="2203"/>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Reference to this specific Amendment need not be made in the Credit Agreement, the Notes, the other Loan Documents, or any other instrument or document executed in connection therewith, or in any certificate, letter or communication issued or made pursuant to or with respect to the Credit Agreement or any other Loan Document, any reference in any of such items to the Credit Agreement and each other Loan Document being sufficient to refer to the Credit Agreement or such Loan Document as amended hereby.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6.2The Borrower agrees to pay all reasonable costs and out-of-pocket expenses of or incurred by the Administrative Agent in connection with the negotiation, preparation, execution and delivery of this Amendment, including the reasonable fees and out-of-pocket expenses of counsel for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6.3Each Guarantor consents to the amendments, modifications and waivers to the Credit Agreement and other Loan Documents as set forth herein and confirms all of its obligations under its Guaranty remain in full force and effect.  Furthermore, each Guarantor acknowledges and agrees that the consent of the Guarantors, or any of them, to any further amendments, modifications or waivers to the Credit Agreement shall not be required as a result of this consent having been obtained.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6.4The Borrower and the Guarantors acknowledge that the Preliminary Statements set forth above are true and correct.  This Amendment is a Loan Document.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executed counterparts of this Amendment by Adobe portable document format (a “PDF”) via e-mail or by facsimile shall be effective as an original.  The words “execution”, “executed”, “signed”, “signature” and words of similar import in or related to this Amendment and the other Loan Documents shall be deemed to include electronic signatures 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  This Amendment, and the rights and the duties of the parties hereto, shall be construed and determined in accordance with the internal laws of the State of New York.</w:t>
      </w:r>
    </w:p>
    <w:p>
      <w:pPr>
        <w:pStyle w:val="TextBody"/>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[Signature Pages Follow]</w:t>
      </w:r>
    </w:p>
    <w:p>
      <w:pPr>
        <w:pStyle w:val="TextBody"/>
        <w:bidi w:val="0"/>
        <w:spacing w:before="280" w:after="283"/>
        <w:ind w:left="0" w:right="0" w:firstLine="72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204" w:name="_iDocIDField291f37dd-2af6-44b8-b600-75e7"/>
      <w:bookmarkEnd w:id="2204"/>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Second Amendment to Credit Agreement is entered into as of the date and year first above written.</w:t>
      </w:r>
    </w:p>
    <w:p>
      <w:pPr>
        <w:pStyle w:val="TextBody"/>
        <w:bidi w:val="0"/>
        <w:spacing w:before="0" w:after="240"/>
        <w:ind w:left="4320" w:right="0" w:hanging="0"/>
        <w:jc w:val="left"/>
        <w:rPr/>
      </w:pPr>
      <w:bookmarkStart w:id="2205" w:name="_Hlk184905994"/>
      <w:bookmarkEnd w:id="2205"/>
      <w:r>
        <w:rPr/>
        <w:t>“</w:t>
      </w:r>
      <w:r>
        <w:rPr>
          <w:rFonts w:ascii="Times New Roman;Times;serif" w:hAnsi="Times New Roman;Times;serif"/>
          <w:sz w:val="24"/>
        </w:rPr>
        <w:t>BORROWER”</w:t>
      </w:r>
    </w:p>
    <w:p>
      <w:pPr>
        <w:pStyle w:val="TextBody"/>
        <w:bidi w:val="0"/>
        <w:spacing w:before="280" w:after="0"/>
        <w:ind w:left="4320" w:right="0" w:hanging="0"/>
        <w:jc w:val="left"/>
        <w:rPr>
          <w:rFonts w:ascii="Times New Roman;Times;serif" w:hAnsi="Times New Roman;Times;serif"/>
          <w:sz w:val="24"/>
        </w:rPr>
      </w:pPr>
      <w:r>
        <w:rPr>
          <w:rFonts w:ascii="Times New Roman;Times;serif" w:hAnsi="Times New Roman;Times;serif"/>
          <w:smallCaps/>
          <w:sz w:val="24"/>
        </w:rPr>
        <w:t xml:space="preserve">CTO Realty Growth, Inc., </w:t>
      </w:r>
      <w:r>
        <w:rPr>
          <w:rFonts w:ascii="Times New Roman;Times;serif" w:hAnsi="Times New Roman;Times;serif"/>
          <w:sz w:val="24"/>
        </w:rPr>
        <w:t>a Maryland corporation</w:t>
      </w:r>
    </w:p>
    <w:p>
      <w:pPr>
        <w:pStyle w:val="TextBody"/>
        <w:bidi w:val="0"/>
        <w:spacing w:before="280" w:after="0"/>
        <w:ind w:left="4320" w:right="0" w:hanging="0"/>
        <w:jc w:val="left"/>
        <w:rPr/>
      </w:pPr>
      <w:r>
        <w:rPr/>
        <w:t>​</w:t>
      </w:r>
    </w:p>
    <w:p>
      <w:pPr>
        <w:pStyle w:val="TextBody"/>
        <w:bidi w:val="0"/>
        <w:spacing w:before="28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Philip Mays</w:t>
      </w:r>
      <w:r>
        <w:rPr>
          <w:rFonts w:ascii="Times New Roman;Times;serif" w:hAnsi="Times New Roman;Times;serif"/>
          <w:sz w:val="24"/>
        </w:rPr>
        <w:t>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w:t>
      </w:r>
      <w:bookmarkStart w:id="2206" w:name="_Hlk210301695"/>
      <w:bookmarkEnd w:id="2206"/>
      <w:r>
        <w:rPr>
          <w:rFonts w:ascii="Times New Roman;Times;serif" w:hAnsi="Times New Roman;Times;serif"/>
          <w:sz w:val="24"/>
        </w:rPr>
        <w:t>Philip Mays</w:t>
      </w:r>
    </w:p>
    <w:tbl>
      <w:tblPr>
        <w:tblW w:w="6288" w:type="dxa"/>
        <w:jc w:val="left"/>
        <w:tblInd w:w="0" w:type="dxa"/>
        <w:tblLayout w:type="fixed"/>
        <w:tblCellMar>
          <w:top w:w="0" w:type="dxa"/>
          <w:left w:w="0" w:type="dxa"/>
          <w:bottom w:w="0" w:type="dxa"/>
          <w:right w:w="0" w:type="dxa"/>
        </w:tblCellMar>
      </w:tblPr>
      <w:tblGrid>
        <w:gridCol w:w="23"/>
        <w:gridCol w:w="515"/>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Title:</w:t>
            </w:r>
          </w:p>
        </w:tc>
        <w:tc>
          <w:tcPr>
            <w:tcW w:w="57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pBdr/>
        <w:bidi w:val="0"/>
        <w:spacing w:before="0" w:after="0"/>
        <w:ind w:left="4680" w:right="0" w:hanging="288"/>
        <w:jc w:val="left"/>
        <w:rPr/>
      </w:pPr>
      <w:r>
        <w:rPr/>
        <w:t>​</w:t>
      </w:r>
    </w:p>
    <w:p>
      <w:pPr>
        <w:pStyle w:val="TextBody"/>
        <w:bidi w:val="0"/>
        <w:spacing w:before="0" w:after="240"/>
        <w:ind w:left="72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[Signature Page to Second Amendment to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Credit Agreement and Joinder –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CTO Realty Growth,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pPr>
      <w:bookmarkStart w:id="2207" w:name="_Hlk184906038"/>
      <w:bookmarkEnd w:id="2207"/>
      <w:r>
        <w:rPr/>
        <w:t>“</w:t>
      </w:r>
      <w:r>
        <w:rPr>
          <w:rFonts w:ascii="Times New Roman;Times;serif" w:hAnsi="Times New Roman;Times;serif"/>
          <w:sz w:val="24"/>
        </w:rPr>
        <w:t>GUARANTORS”</w:t>
      </w:r>
    </w:p>
    <w:p>
      <w:pPr>
        <w:pStyle w:val="TextBody"/>
        <w:bidi w:val="0"/>
        <w:spacing w:before="280" w:after="0"/>
        <w:ind w:left="4320" w:right="0" w:hanging="0"/>
        <w:jc w:val="left"/>
        <w:rPr>
          <w:rFonts w:ascii="Times New Roman;Times;serif" w:hAnsi="Times New Roman;Times;serif"/>
          <w:sz w:val="24"/>
        </w:rPr>
      </w:pPr>
      <w:r>
        <w:rPr>
          <w:rFonts w:ascii="Times New Roman;Times;serif" w:hAnsi="Times New Roman;Times;serif"/>
          <w:smallCaps/>
          <w:sz w:val="24"/>
        </w:rPr>
        <w:t>Indigo Group Inc.,</w:t>
      </w:r>
      <w:r>
        <w:rPr>
          <w:rFonts w:ascii="Times New Roman;Times;serif" w:hAnsi="Times New Roman;Times;serif"/>
          <w:sz w:val="24"/>
        </w:rPr>
        <w:t xml:space="preserve"> a Florida corporation</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bookmarkStart w:id="2208" w:name="_Hlk210301885"/>
      <w:bookmarkEnd w:id="2208"/>
      <w:r>
        <w:rPr>
          <w:rFonts w:ascii="Times New Roman;Times;serif" w:hAnsi="Times New Roman;Times;serif"/>
          <w:sz w:val="24"/>
          <w:u w:val="single"/>
        </w:rPr>
        <w:t>/s/ Philip Mays</w:t>
      </w:r>
      <w:r>
        <w:rPr>
          <w:rFonts w:ascii="Times New Roman;Times;serif" w:hAnsi="Times New Roman;Times;serif"/>
          <w:sz w:val="24"/>
        </w:rPr>
        <w:t>_____________________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w:t>
      </w:r>
      <w:bookmarkStart w:id="2209" w:name="_Hlk210301806"/>
      <w:bookmarkEnd w:id="2209"/>
      <w:r>
        <w:rPr>
          <w:rFonts w:ascii="Times New Roman;Times;serif" w:hAnsi="Times New Roman;Times;serif"/>
          <w:sz w:val="24"/>
        </w:rPr>
        <w:t>Philip Mays</w:t>
      </w:r>
    </w:p>
    <w:tbl>
      <w:tblPr>
        <w:tblW w:w="6288" w:type="dxa"/>
        <w:jc w:val="left"/>
        <w:tblInd w:w="0" w:type="dxa"/>
        <w:tblLayout w:type="fixed"/>
        <w:tblCellMar>
          <w:top w:w="0" w:type="dxa"/>
          <w:left w:w="0" w:type="dxa"/>
          <w:bottom w:w="0" w:type="dxa"/>
          <w:right w:w="0" w:type="dxa"/>
        </w:tblCellMar>
      </w:tblPr>
      <w:tblGrid>
        <w:gridCol w:w="23"/>
        <w:gridCol w:w="515"/>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Title:</w:t>
            </w:r>
          </w:p>
        </w:tc>
        <w:tc>
          <w:tcPr>
            <w:tcW w:w="57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pBdr/>
        <w:bidi w:val="0"/>
        <w:spacing w:before="0" w:after="0"/>
        <w:ind w:left="4320" w:right="0" w:hanging="720"/>
        <w:jc w:val="left"/>
        <w:rPr/>
      </w:pPr>
      <w:r>
        <w:rPr/>
        <w:t>​</w:t>
      </w:r>
    </w:p>
    <w:p>
      <w:pPr>
        <w:pStyle w:val="TextBody"/>
        <w:pBdr/>
        <w:bidi w:val="0"/>
        <w:spacing w:before="0" w:after="0"/>
        <w:ind w:left="4320" w:right="0" w:hanging="720"/>
        <w:jc w:val="left"/>
        <w:rPr/>
      </w:pPr>
      <w:r>
        <w:rPr/>
        <w:t>​</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CTO18 Albuquerque NM LLC</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CTO19 Strand JAX LLC</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CTO20 Crossroads AZ LLC</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CTO20 Perimeter LLC</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CTO20 Perimeter II LLC</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CTO21 Acquisitions II LLC</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CTO21 AL Outparcel LLC</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CTO21 Apex LLC</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CTO21 Buford 1 LLC</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CTO22 Madison Yards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CTO23 </w:t>
      </w:r>
      <w:r>
        <w:rPr>
          <w:rFonts w:ascii="Times New Roman;Times;serif" w:hAnsi="Times New Roman;Times;serif"/>
          <w:smallCaps/>
          <w:sz w:val="24"/>
        </w:rPr>
        <w:t>Rockwall</w:t>
      </w:r>
      <w:r>
        <w:rPr>
          <w:rFonts w:ascii="Times New Roman;Times;serif" w:hAnsi="Times New Roman;Times;serif"/>
          <w:sz w:val="24"/>
        </w:rPr>
        <w:t xml:space="preserve"> LLC</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CTO22 Short Pump LLC</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CTO22 Forsyth LLC</w:t>
      </w:r>
    </w:p>
    <w:p>
      <w:pPr>
        <w:pStyle w:val="TextBody"/>
        <w:bidi w:val="0"/>
        <w:spacing w:before="0" w:after="0"/>
        <w:ind w:left="3600" w:right="0" w:firstLine="720"/>
        <w:jc w:val="left"/>
        <w:rPr>
          <w:rFonts w:ascii="Times New Roman;Times;serif" w:hAnsi="Times New Roman;Times;serif"/>
          <w:sz w:val="24"/>
        </w:rPr>
      </w:pPr>
      <w:bookmarkStart w:id="2210" w:name="_Hlk210302236"/>
      <w:bookmarkEnd w:id="2210"/>
      <w:r>
        <w:rPr>
          <w:rFonts w:ascii="Times New Roman;Times;serif" w:hAnsi="Times New Roman;Times;serif"/>
          <w:sz w:val="24"/>
        </w:rPr>
        <w:t>CTO24 MSTC LLC</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CTO TRS C</w:t>
      </w:r>
      <w:r>
        <w:rPr>
          <w:rFonts w:ascii="Times New Roman;Times;serif" w:hAnsi="Times New Roman;Times;serif"/>
          <w:smallCaps/>
          <w:sz w:val="24"/>
        </w:rPr>
        <w:t>RISP</w:t>
      </w:r>
      <w:r>
        <w:rPr>
          <w:rFonts w:ascii="Times New Roman;Times;serif" w:hAnsi="Times New Roman;Times;serif"/>
          <w:sz w:val="24"/>
        </w:rPr>
        <w:t xml:space="preserve"> 39, LLC</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TOMOKA24 R</w:t>
      </w:r>
      <w:r>
        <w:rPr>
          <w:rFonts w:ascii="Times New Roman;Times;serif" w:hAnsi="Times New Roman;Times;serif"/>
          <w:smallCaps/>
          <w:sz w:val="24"/>
        </w:rPr>
        <w:t>ivana</w:t>
      </w:r>
      <w:r>
        <w:rPr>
          <w:rFonts w:ascii="Times New Roman;Times;serif" w:hAnsi="Times New Roman;Times;serif"/>
          <w:sz w:val="24"/>
        </w:rPr>
        <w:t xml:space="preserve"> LLC</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TOMOKA24 G</w:t>
      </w:r>
      <w:r>
        <w:rPr>
          <w:rFonts w:ascii="Times New Roman;Times;serif" w:hAnsi="Times New Roman;Times;serif"/>
          <w:smallCaps/>
          <w:sz w:val="24"/>
        </w:rPr>
        <w:t>ranada</w:t>
      </w:r>
      <w:r>
        <w:rPr>
          <w:rFonts w:ascii="Times New Roman;Times;serif" w:hAnsi="Times New Roman;Times;serif"/>
          <w:sz w:val="24"/>
        </w:rPr>
        <w:t xml:space="preserve"> LLC</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CTO24 F</w:t>
      </w:r>
      <w:r>
        <w:rPr>
          <w:rFonts w:ascii="Times New Roman;Times;serif" w:hAnsi="Times New Roman;Times;serif"/>
          <w:smallCaps/>
          <w:sz w:val="24"/>
        </w:rPr>
        <w:t>orsyth</w:t>
      </w:r>
      <w:r>
        <w:rPr>
          <w:rFonts w:ascii="Times New Roman;Times;serif" w:hAnsi="Times New Roman;Times;serif"/>
          <w:sz w:val="24"/>
        </w:rPr>
        <w:t xml:space="preserve"> LLC, </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each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360" w:after="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360" w:after="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Philip Mays</w:t>
      </w:r>
      <w:r>
        <w:rPr>
          <w:rFonts w:ascii="Times New Roman;Times;serif" w:hAnsi="Times New Roman;Times;serif"/>
          <w:sz w:val="24"/>
        </w:rPr>
        <w:t>_____________________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Name:Philip Mays</w:t>
      </w:r>
    </w:p>
    <w:tbl>
      <w:tblPr>
        <w:tblW w:w="6288" w:type="dxa"/>
        <w:jc w:val="left"/>
        <w:tblInd w:w="0" w:type="dxa"/>
        <w:tblLayout w:type="fixed"/>
        <w:tblCellMar>
          <w:top w:w="0" w:type="dxa"/>
          <w:left w:w="0" w:type="dxa"/>
          <w:bottom w:w="0" w:type="dxa"/>
          <w:right w:w="0" w:type="dxa"/>
        </w:tblCellMar>
      </w:tblPr>
      <w:tblGrid>
        <w:gridCol w:w="23"/>
        <w:gridCol w:w="515"/>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575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[Signature Page to Second Amendment to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Credit Agreement and Joinder –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CTO Realty Growth,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mallCaps/>
          <w:sz w:val="24"/>
        </w:rPr>
        <w:t xml:space="preserve">Indigo Group Ltd., </w:t>
      </w:r>
      <w:r>
        <w:rPr>
          <w:rFonts w:ascii="Times New Roman;Times;serif" w:hAnsi="Times New Roman;Times;serif"/>
          <w:sz w:val="24"/>
        </w:rPr>
        <w:t>a Florida limited partnership</w:t>
      </w:r>
    </w:p>
    <w:tbl>
      <w:tblPr>
        <w:tblW w:w="6153" w:type="dxa"/>
        <w:jc w:val="left"/>
        <w:tblInd w:w="0" w:type="dxa"/>
        <w:tblLayout w:type="fixed"/>
        <w:tblCellMar>
          <w:top w:w="0" w:type="dxa"/>
          <w:left w:w="0" w:type="dxa"/>
          <w:bottom w:w="0" w:type="dxa"/>
          <w:right w:w="0" w:type="dxa"/>
        </w:tblCellMar>
      </w:tblPr>
      <w:tblGrid>
        <w:gridCol w:w="23"/>
        <w:gridCol w:w="365"/>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By:</w:t>
            </w:r>
          </w:p>
        </w:tc>
        <w:tc>
          <w:tcPr>
            <w:tcW w:w="576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Indigo Group, Inc., a Florida corporation, its General Partner</w:t>
            </w:r>
          </w:p>
        </w:tc>
      </w:tr>
    </w:tbl>
    <w:p>
      <w:pPr>
        <w:pStyle w:val="TextBody"/>
        <w:bidi w:val="0"/>
        <w:spacing w:before="640" w:after="0"/>
        <w:ind w:left="4320" w:right="0" w:hanging="0"/>
        <w:jc w:val="left"/>
        <w:rPr>
          <w:rFonts w:ascii="Times New Roman;Times;serif" w:hAnsi="Times New Roman;Times;serif"/>
          <w:sz w:val="24"/>
        </w:rPr>
      </w:pPr>
      <w:bookmarkStart w:id="2211" w:name="_Hlk210302172"/>
      <w:bookmarkEnd w:id="2211"/>
      <w:r>
        <w:rPr>
          <w:rFonts w:ascii="Times New Roman;Times;serif" w:hAnsi="Times New Roman;Times;serif"/>
          <w:sz w:val="24"/>
        </w:rPr>
        <w:t>By:</w:t>
      </w:r>
      <w:r>
        <w:rPr>
          <w:rFonts w:ascii="Times New Roman;Times;serif" w:hAnsi="Times New Roman;Times;serif"/>
          <w:sz w:val="24"/>
          <w:u w:val="single"/>
        </w:rPr>
        <w:t>/s/ Philip Mays</w:t>
      </w:r>
      <w:r>
        <w:rPr>
          <w:rFonts w:ascii="Times New Roman;Times;serif" w:hAnsi="Times New Roman;Times;serif"/>
          <w:sz w:val="24"/>
        </w:rPr>
        <w:t>_____________________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Name:Philip Mays</w:t>
      </w:r>
    </w:p>
    <w:tbl>
      <w:tblPr>
        <w:tblW w:w="6288" w:type="dxa"/>
        <w:jc w:val="left"/>
        <w:tblInd w:w="0" w:type="dxa"/>
        <w:tblLayout w:type="fixed"/>
        <w:tblCellMar>
          <w:top w:w="0" w:type="dxa"/>
          <w:left w:w="0" w:type="dxa"/>
          <w:bottom w:w="0" w:type="dxa"/>
          <w:right w:w="0" w:type="dxa"/>
        </w:tblCellMar>
      </w:tblPr>
      <w:tblGrid>
        <w:gridCol w:w="23"/>
        <w:gridCol w:w="515"/>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Title:</w:t>
            </w:r>
          </w:p>
        </w:tc>
        <w:tc>
          <w:tcPr>
            <w:tcW w:w="57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360" w:after="0"/>
        <w:ind w:left="0" w:right="0" w:hanging="0"/>
        <w:jc w:val="left"/>
        <w:rPr/>
      </w:pPr>
      <w:r>
        <w:rPr/>
        <w:t>​</w:t>
      </w:r>
    </w:p>
    <w:p>
      <w:pPr>
        <w:pStyle w:val="TextBody"/>
        <w:bidi w:val="0"/>
        <w:spacing w:before="280" w:after="240"/>
        <w:ind w:left="4320" w:right="0" w:hanging="0"/>
        <w:jc w:val="left"/>
        <w:rPr>
          <w:rFonts w:ascii="Times New Roman;Times;serif" w:hAnsi="Times New Roman;Times;serif"/>
          <w:sz w:val="24"/>
        </w:rPr>
      </w:pPr>
      <w:r>
        <w:rPr>
          <w:rFonts w:ascii="Times New Roman;Times;serif" w:hAnsi="Times New Roman;Times;serif"/>
          <w:smallCaps/>
          <w:sz w:val="24"/>
        </w:rPr>
        <w:t xml:space="preserve">Daytona JV LLC, </w:t>
      </w:r>
      <w:r>
        <w:rPr>
          <w:rFonts w:ascii="Times New Roman;Times;serif" w:hAnsi="Times New Roman;Times;serif"/>
          <w:sz w:val="24"/>
        </w:rPr>
        <w:t>a Florida limited liability company</w:t>
      </w:r>
    </w:p>
    <w:tbl>
      <w:tblPr>
        <w:tblW w:w="8448" w:type="dxa"/>
        <w:jc w:val="left"/>
        <w:tblInd w:w="0" w:type="dxa"/>
        <w:tblLayout w:type="fixed"/>
        <w:tblCellMar>
          <w:top w:w="0" w:type="dxa"/>
          <w:left w:w="0" w:type="dxa"/>
          <w:bottom w:w="0" w:type="dxa"/>
          <w:right w:w="0" w:type="dxa"/>
        </w:tblCellMar>
      </w:tblPr>
      <w:tblGrid>
        <w:gridCol w:w="23"/>
        <w:gridCol w:w="365"/>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806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LHC15 Atlantic DB JV LLC, a Delaware limited liability company, its sole manager</w:t>
            </w:r>
          </w:p>
        </w:tc>
      </w:tr>
    </w:tbl>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Philip Mays</w:t>
      </w:r>
      <w:r>
        <w:rPr>
          <w:rFonts w:ascii="Times New Roman;Times;serif" w:hAnsi="Times New Roman;Times;serif"/>
          <w:sz w:val="24"/>
        </w:rPr>
        <w:t>_____________________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Name:Philip Mays</w:t>
      </w:r>
    </w:p>
    <w:tbl>
      <w:tblPr>
        <w:tblW w:w="6288" w:type="dxa"/>
        <w:jc w:val="left"/>
        <w:tblInd w:w="0" w:type="dxa"/>
        <w:tblLayout w:type="fixed"/>
        <w:tblCellMar>
          <w:top w:w="0" w:type="dxa"/>
          <w:left w:w="0" w:type="dxa"/>
          <w:bottom w:w="0" w:type="dxa"/>
          <w:right w:w="0" w:type="dxa"/>
        </w:tblCellMar>
      </w:tblPr>
      <w:tblGrid>
        <w:gridCol w:w="23"/>
        <w:gridCol w:w="515"/>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Title:</w:t>
            </w:r>
          </w:p>
        </w:tc>
        <w:tc>
          <w:tcPr>
            <w:tcW w:w="57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pBdr/>
        <w:bidi w:val="0"/>
        <w:spacing w:before="0" w:after="0"/>
        <w:ind w:left="4320" w:right="0" w:hanging="720"/>
        <w:jc w:val="left"/>
        <w:rPr/>
      </w:pPr>
      <w:r>
        <w:rPr/>
        <w:t>​</w:t>
      </w:r>
    </w:p>
    <w:p>
      <w:pPr>
        <w:pStyle w:val="TextBody"/>
        <w:pBdr/>
        <w:bidi w:val="0"/>
        <w:spacing w:before="0" w:after="0"/>
        <w:ind w:left="4320" w:right="0" w:hanging="72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mallCaps/>
          <w:sz w:val="24"/>
        </w:rPr>
        <w:t xml:space="preserve">IGI20 Crossroads AZ LLC, </w:t>
      </w:r>
      <w:r>
        <w:rPr>
          <w:rFonts w:ascii="Times New Roman;Times;serif" w:hAnsi="Times New Roman;Times;serif"/>
          <w:sz w:val="24"/>
        </w:rPr>
        <w:t>a Delaware limited liability company</w:t>
      </w:r>
    </w:p>
    <w:tbl>
      <w:tblPr>
        <w:tblW w:w="5808" w:type="dxa"/>
        <w:jc w:val="left"/>
        <w:tblInd w:w="0" w:type="dxa"/>
        <w:tblLayout w:type="fixed"/>
        <w:tblCellMar>
          <w:top w:w="0" w:type="dxa"/>
          <w:left w:w="0" w:type="dxa"/>
          <w:bottom w:w="0" w:type="dxa"/>
          <w:right w:w="0" w:type="dxa"/>
        </w:tblCellMar>
      </w:tblPr>
      <w:tblGrid>
        <w:gridCol w:w="23"/>
        <w:gridCol w:w="365"/>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By:</w:t>
            </w:r>
          </w:p>
        </w:tc>
        <w:tc>
          <w:tcPr>
            <w:tcW w:w="542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Indigo Group Inc., a Florida corporation, its sole member</w:t>
            </w:r>
          </w:p>
        </w:tc>
      </w:tr>
    </w:tbl>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Philip Mays</w:t>
      </w:r>
      <w:r>
        <w:rPr>
          <w:rFonts w:ascii="Times New Roman;Times;serif" w:hAnsi="Times New Roman;Times;serif"/>
          <w:sz w:val="24"/>
        </w:rPr>
        <w:t>_____________________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Name:Philip Mays</w:t>
      </w:r>
    </w:p>
    <w:tbl>
      <w:tblPr>
        <w:tblW w:w="6288" w:type="dxa"/>
        <w:jc w:val="left"/>
        <w:tblInd w:w="0" w:type="dxa"/>
        <w:tblLayout w:type="fixed"/>
        <w:tblCellMar>
          <w:top w:w="0" w:type="dxa"/>
          <w:left w:w="0" w:type="dxa"/>
          <w:bottom w:w="0" w:type="dxa"/>
          <w:right w:w="0" w:type="dxa"/>
        </w:tblCellMar>
      </w:tblPr>
      <w:tblGrid>
        <w:gridCol w:w="23"/>
        <w:gridCol w:w="515"/>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Title:</w:t>
            </w:r>
          </w:p>
        </w:tc>
        <w:tc>
          <w:tcPr>
            <w:tcW w:w="57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[Signature Page to Second Amendment to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Credit Agreement and Joinder –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CTO Realty Growth,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smallCaps/>
        </w:rPr>
      </w:pPr>
      <w:r>
        <w:rPr>
          <w:smallCaps/>
        </w:rPr>
        <w:t>​</w:t>
      </w:r>
    </w:p>
    <w:p>
      <w:pPr>
        <w:pStyle w:val="TextBody"/>
        <w:bidi w:val="0"/>
        <w:spacing w:before="0" w:after="0"/>
        <w:ind w:left="4320" w:right="0" w:hanging="0"/>
        <w:jc w:val="left"/>
        <w:rPr>
          <w:smallCaps/>
        </w:rPr>
      </w:pPr>
      <w:r>
        <w:rPr>
          <w:smallCaps/>
        </w:rPr>
        <w:t>​</w:t>
      </w:r>
    </w:p>
    <w:p>
      <w:pPr>
        <w:pStyle w:val="TextBody"/>
        <w:bidi w:val="0"/>
        <w:spacing w:before="0" w:after="0"/>
        <w:ind w:left="4320" w:right="0" w:hanging="0"/>
        <w:jc w:val="left"/>
        <w:rPr>
          <w:smallCaps/>
        </w:rPr>
      </w:pPr>
      <w:r>
        <w:rPr>
          <w:smallCaps/>
        </w:rPr>
        <w:t>​</w:t>
      </w:r>
    </w:p>
    <w:p>
      <w:pPr>
        <w:pStyle w:val="TextBody"/>
        <w:bidi w:val="0"/>
        <w:spacing w:before="0" w:after="0"/>
        <w:ind w:left="4320" w:right="0" w:hanging="0"/>
        <w:jc w:val="left"/>
        <w:rPr>
          <w:smallCaps/>
        </w:rPr>
      </w:pPr>
      <w:r>
        <w:rPr>
          <w:smallCaps/>
        </w:rPr>
        <w:t>​</w:t>
      </w:r>
    </w:p>
    <w:p>
      <w:pPr>
        <w:pStyle w:val="TextBody"/>
        <w:bidi w:val="0"/>
        <w:spacing w:before="0" w:after="0"/>
        <w:ind w:left="4320" w:right="0" w:hanging="0"/>
        <w:jc w:val="left"/>
        <w:rPr>
          <w:smallCaps/>
        </w:rPr>
      </w:pPr>
      <w:r>
        <w:rPr>
          <w:smallCaps/>
        </w:rPr>
        <w:t>​</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CTO25 MAIN STREET LLC</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CTO24 BRANDON LLC</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 xml:space="preserve">CTO24 MILLENIA LLC </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CTO24 CAROLINA LLC</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 xml:space="preserve">TOMOKA25 ASHLEY PARK LLC, each </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360" w:after="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360" w:after="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Philip Mays</w:t>
      </w:r>
      <w:r>
        <w:rPr>
          <w:rFonts w:ascii="Times New Roman;Times;serif" w:hAnsi="Times New Roman;Times;serif"/>
          <w:sz w:val="24"/>
        </w:rPr>
        <w:t>_____________________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Name:Philip Mays</w:t>
      </w:r>
    </w:p>
    <w:tbl>
      <w:tblPr>
        <w:tblW w:w="6288" w:type="dxa"/>
        <w:jc w:val="left"/>
        <w:tblInd w:w="0" w:type="dxa"/>
        <w:tblLayout w:type="fixed"/>
        <w:tblCellMar>
          <w:top w:w="0" w:type="dxa"/>
          <w:left w:w="0" w:type="dxa"/>
          <w:bottom w:w="0" w:type="dxa"/>
          <w:right w:w="0" w:type="dxa"/>
        </w:tblCellMar>
      </w:tblPr>
      <w:tblGrid>
        <w:gridCol w:w="23"/>
        <w:gridCol w:w="515"/>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575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Senior Vice President, Chief Financial Officer and Treasurer</w:t>
            </w:r>
          </w:p>
        </w:tc>
      </w:tr>
    </w:tbl>
    <w:p>
      <w:pPr>
        <w:pStyle w:val="TextBody"/>
        <w:bidi w:val="0"/>
        <w:spacing w:before="0" w:after="0"/>
        <w:ind w:left="4320" w:right="0" w:hanging="0"/>
        <w:jc w:val="left"/>
        <w:rPr>
          <w:smallCaps/>
        </w:rPr>
      </w:pPr>
      <w:r>
        <w:rPr>
          <w:smallCaps/>
        </w:rPr>
        <w:t>​</w:t>
      </w:r>
    </w:p>
    <w:p>
      <w:pPr>
        <w:pStyle w:val="TextBody"/>
        <w:bidi w:val="0"/>
        <w:spacing w:before="0" w:after="0"/>
        <w:ind w:left="4320" w:right="0" w:hanging="0"/>
        <w:jc w:val="left"/>
        <w:rPr>
          <w:smallCaps/>
        </w:rPr>
      </w:pPr>
      <w:r>
        <w:rPr>
          <w:smallCaps/>
        </w:rPr>
        <w:t>​</w:t>
      </w:r>
    </w:p>
    <w:p>
      <w:pPr>
        <w:pStyle w:val="TextBody"/>
        <w:bidi w:val="0"/>
        <w:spacing w:before="0" w:after="0"/>
        <w:ind w:left="4320" w:right="0" w:hanging="0"/>
        <w:jc w:val="left"/>
        <w:rPr>
          <w:smallCaps/>
        </w:rPr>
      </w:pPr>
      <w:r>
        <w:rPr>
          <w:smallCaps/>
        </w:rPr>
        <w:t>​</w:t>
      </w:r>
    </w:p>
    <w:p>
      <w:pPr>
        <w:pStyle w:val="TextBody"/>
        <w:bidi w:val="0"/>
        <w:spacing w:before="0" w:after="0"/>
        <w:ind w:left="540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[Signature Page to Second Amendment to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Credit Agreement and Joinder –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CTO Realty Growth,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smallCaps/>
        </w:rPr>
      </w:pPr>
      <w:r>
        <w:rPr>
          <w:smallCaps/>
        </w:rPr>
        <w:t>​</w:t>
      </w:r>
    </w:p>
    <w:p>
      <w:pPr>
        <w:pStyle w:val="TextBody"/>
        <w:bidi w:val="0"/>
        <w:spacing w:before="400" w:after="240"/>
        <w:ind w:left="4320" w:right="0" w:hanging="0"/>
        <w:jc w:val="left"/>
        <w:rPr>
          <w:rFonts w:ascii="Times New Roman;Times;serif" w:hAnsi="Times New Roman;Times;serif"/>
          <w:sz w:val="24"/>
        </w:rPr>
      </w:pPr>
      <w:r>
        <w:rPr>
          <w:rFonts w:ascii="Times New Roman;Times;serif" w:hAnsi="Times New Roman;Times;serif"/>
          <w:smallCaps/>
          <w:sz w:val="24"/>
        </w:rPr>
        <w:t>A</w:t>
      </w:r>
      <w:r>
        <w:rPr>
          <w:rFonts w:ascii="Times New Roman;Times;serif" w:hAnsi="Times New Roman;Times;serif"/>
          <w:sz w:val="24"/>
        </w:rPr>
        <w:t>ccepted and Agreed to:</w:t>
      </w:r>
    </w:p>
    <w:p>
      <w:pPr>
        <w:pStyle w:val="TextBody"/>
        <w:bidi w:val="0"/>
        <w:spacing w:before="0" w:after="240"/>
        <w:ind w:left="4320" w:right="0" w:hanging="0"/>
        <w:jc w:val="left"/>
        <w:rPr/>
      </w:pPr>
      <w:r>
        <w:rPr/>
        <w:t>“</w:t>
      </w:r>
      <w:r>
        <w:rPr>
          <w:rFonts w:ascii="Times New Roman;Times;serif" w:hAnsi="Times New Roman;Times;serif"/>
          <w:sz w:val="24"/>
        </w:rPr>
        <w:t>ADMINISTRATIVE AGENT”</w:t>
      </w:r>
    </w:p>
    <w:p>
      <w:pPr>
        <w:pStyle w:val="TextBody"/>
        <w:bidi w:val="0"/>
        <w:spacing w:before="280" w:after="240"/>
        <w:ind w:left="4320" w:right="0" w:hanging="0"/>
        <w:jc w:val="left"/>
        <w:rPr>
          <w:rFonts w:ascii="Times New Roman;Times;serif" w:hAnsi="Times New Roman;Times;serif"/>
          <w:sz w:val="24"/>
        </w:rPr>
      </w:pPr>
      <w:r>
        <w:rPr>
          <w:rFonts w:ascii="Times New Roman;Times;serif" w:hAnsi="Times New Roman;Times;serif"/>
          <w:smallCaps/>
          <w:sz w:val="24"/>
        </w:rPr>
        <w:t xml:space="preserve">KeyBank National Association, </w:t>
      </w:r>
      <w:r>
        <w:rPr>
          <w:rFonts w:ascii="Times New Roman;Times;serif" w:hAnsi="Times New Roman;Times;serif"/>
          <w:sz w:val="24"/>
        </w:rPr>
        <w:t>as Administrative Agent</w:t>
      </w:r>
    </w:p>
    <w:p>
      <w:pPr>
        <w:pStyle w:val="TextBody"/>
        <w:bidi w:val="0"/>
        <w:spacing w:before="280" w:after="240"/>
        <w:ind w:left="432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Tom Schmitt</w:t>
      </w:r>
      <w:r>
        <w:rPr>
          <w:rFonts w:ascii="Times New Roman;Times;serif" w:hAnsi="Times New Roman;Times;serif"/>
          <w:sz w:val="24"/>
        </w:rPr>
        <w:t>_______________________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Name:Tom Schmitt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Title:Senior Vice President</w:t>
      </w:r>
    </w:p>
    <w:p>
      <w:pPr>
        <w:pStyle w:val="TextBody"/>
        <w:bidi w:val="0"/>
        <w:spacing w:before="0" w:after="240"/>
        <w:ind w:left="4320" w:right="0" w:hanging="0"/>
        <w:jc w:val="left"/>
        <w:rPr/>
      </w:pPr>
      <w:r>
        <w:rPr/>
        <w:t>“</w:t>
      </w:r>
      <w:r>
        <w:rPr>
          <w:rFonts w:ascii="Times New Roman;Times;serif" w:hAnsi="Times New Roman;Times;serif"/>
          <w:sz w:val="24"/>
        </w:rPr>
        <w:t>LENDERS”</w:t>
      </w:r>
    </w:p>
    <w:p>
      <w:pPr>
        <w:pStyle w:val="TextBody"/>
        <w:bidi w:val="0"/>
        <w:spacing w:before="280" w:after="0"/>
        <w:ind w:left="4320" w:right="0" w:hanging="0"/>
        <w:jc w:val="left"/>
        <w:rPr>
          <w:rFonts w:ascii="Times New Roman;Times;serif" w:hAnsi="Times New Roman;Times;serif"/>
          <w:sz w:val="24"/>
        </w:rPr>
      </w:pPr>
      <w:r>
        <w:rPr>
          <w:rFonts w:ascii="Times New Roman;Times;serif" w:hAnsi="Times New Roman;Times;serif"/>
          <w:smallCaps/>
          <w:sz w:val="24"/>
        </w:rPr>
        <w:t xml:space="preserve">KeyBank National Association, </w:t>
      </w:r>
      <w:r>
        <w:rPr>
          <w:rFonts w:ascii="Times New Roman;Times;serif" w:hAnsi="Times New Roman;Times;serif"/>
          <w:sz w:val="24"/>
        </w:rPr>
        <w:t>as a Lender</w:t>
      </w:r>
    </w:p>
    <w:p>
      <w:pPr>
        <w:pStyle w:val="TextBody"/>
        <w:bidi w:val="0"/>
        <w:spacing w:before="280" w:after="0"/>
        <w:ind w:left="4320" w:right="0" w:hanging="0"/>
        <w:jc w:val="left"/>
        <w:rPr/>
      </w:pPr>
      <w:r>
        <w:rPr/>
        <w:t>​</w:t>
      </w:r>
    </w:p>
    <w:p>
      <w:pPr>
        <w:pStyle w:val="TextBody"/>
        <w:bidi w:val="0"/>
        <w:spacing w:before="280" w:after="0"/>
        <w:ind w:left="432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Tom Schmitt</w:t>
      </w:r>
      <w:r>
        <w:rPr>
          <w:rFonts w:ascii="Times New Roman;Times;serif" w:hAnsi="Times New Roman;Times;serif"/>
          <w:sz w:val="24"/>
        </w:rPr>
        <w:t>_______________________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Name:Tom Schmitt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Title:Senior Vice President</w:t>
      </w:r>
    </w:p>
    <w:p>
      <w:pPr>
        <w:pStyle w:val="TextBody"/>
        <w:bidi w:val="0"/>
        <w:spacing w:before="280" w:after="0"/>
        <w:ind w:left="4680" w:right="0" w:hanging="0"/>
        <w:jc w:val="left"/>
        <w:rPr/>
      </w:pPr>
      <w:r>
        <w:rPr/>
        <w:t>​</w:t>
      </w:r>
    </w:p>
    <w:p>
      <w:pPr>
        <w:pStyle w:val="TextBody"/>
        <w:bidi w:val="0"/>
        <w:spacing w:before="0" w:after="0"/>
        <w:ind w:left="468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[Signature Page to Second Amendment to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Credit Agreement –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CTO Realty Growth,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smallCaps/>
        </w:rPr>
      </w:pPr>
      <w:r>
        <w:rPr>
          <w:smallCaps/>
        </w:rPr>
        <w:t>​</w:t>
      </w:r>
    </w:p>
    <w:p>
      <w:pPr>
        <w:pStyle w:val="TextBody"/>
        <w:bidi w:val="0"/>
        <w:spacing w:before="280" w:after="0"/>
        <w:ind w:left="4320" w:right="0" w:hanging="0"/>
        <w:jc w:val="left"/>
        <w:rPr>
          <w:rFonts w:ascii="Times New Roman;Times;serif" w:hAnsi="Times New Roman;Times;serif"/>
          <w:sz w:val="24"/>
        </w:rPr>
      </w:pPr>
      <w:r>
        <w:rPr>
          <w:rFonts w:ascii="Times New Roman;Times;serif" w:hAnsi="Times New Roman;Times;serif"/>
          <w:smallCaps/>
          <w:sz w:val="24"/>
        </w:rPr>
        <w:t>PNC Bank, National Association</w:t>
      </w:r>
      <w:r>
        <w:rPr>
          <w:rFonts w:ascii="Times New Roman;Times;serif" w:hAnsi="Times New Roman;Times;serif"/>
          <w:sz w:val="24"/>
        </w:rPr>
        <w:t>, as a Lender</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Andrew T. White</w:t>
      </w:r>
      <w:r>
        <w:rPr>
          <w:rFonts w:ascii="Times New Roman;Times;serif" w:hAnsi="Times New Roman;Times;serif"/>
          <w:sz w:val="24"/>
        </w:rPr>
        <w:t>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w:t>
      </w:r>
      <w:bookmarkStart w:id="2212" w:name="_Hlk210302391"/>
      <w:bookmarkEnd w:id="2212"/>
      <w:r>
        <w:rPr>
          <w:rFonts w:ascii="Times New Roman;Times;serif" w:hAnsi="Times New Roman;Times;serif"/>
          <w:sz w:val="24"/>
        </w:rPr>
        <w:t>Andrew T. White</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Title:Senior Vice President</w:t>
      </w:r>
    </w:p>
    <w:p>
      <w:pPr>
        <w:pStyle w:val="TextBody"/>
        <w:pBdr/>
        <w:bidi w:val="0"/>
        <w:spacing w:before="0" w:after="0"/>
        <w:ind w:left="4680" w:right="0" w:hanging="23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[Signature Page to Second Amendment to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Credit Agreement –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CTO Realty Growth,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80" w:after="0"/>
        <w:ind w:left="4320" w:right="0" w:hanging="0"/>
        <w:jc w:val="left"/>
        <w:rPr>
          <w:rFonts w:ascii="Times New Roman;Times;serif" w:hAnsi="Times New Roman;Times;serif"/>
          <w:sz w:val="24"/>
        </w:rPr>
      </w:pPr>
      <w:r>
        <w:rPr>
          <w:rFonts w:ascii="Times New Roman;Times;serif" w:hAnsi="Times New Roman;Times;serif"/>
          <w:smallCaps/>
          <w:sz w:val="24"/>
        </w:rPr>
        <w:t>Raymond James Bank</w:t>
      </w:r>
      <w:r>
        <w:rPr>
          <w:rFonts w:ascii="Times New Roman;Times;serif" w:hAnsi="Times New Roman;Times;serif"/>
          <w:sz w:val="24"/>
        </w:rPr>
        <w:t>, as a Lender</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Alexander Sierra</w:t>
      </w:r>
      <w:r>
        <w:rPr>
          <w:rFonts w:ascii="Times New Roman;Times;serif" w:hAnsi="Times New Roman;Times;serif"/>
          <w:sz w:val="24"/>
        </w:rPr>
        <w:t>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w:t>
      </w:r>
      <w:bookmarkStart w:id="2213" w:name="_Hlk210302419"/>
      <w:bookmarkEnd w:id="2213"/>
      <w:r>
        <w:rPr>
          <w:rFonts w:ascii="Times New Roman;Times;serif" w:hAnsi="Times New Roman;Times;serif"/>
          <w:sz w:val="24"/>
        </w:rPr>
        <w:t>Alexander Sierra</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Title:SVP</w:t>
      </w:r>
    </w:p>
    <w:p>
      <w:pPr>
        <w:pStyle w:val="TextBody"/>
        <w:pBdr/>
        <w:bidi w:val="0"/>
        <w:spacing w:before="0" w:after="0"/>
        <w:ind w:left="4680" w:right="0" w:hanging="230"/>
        <w:jc w:val="left"/>
        <w:rPr>
          <w:smallCaps/>
        </w:rPr>
      </w:pPr>
      <w:r>
        <w:rPr>
          <w:smallCaps/>
        </w:rPr>
        <w:t>​</w:t>
      </w:r>
    </w:p>
    <w:p>
      <w:pPr>
        <w:pStyle w:val="TextBody"/>
        <w:pBdr/>
        <w:bidi w:val="0"/>
        <w:spacing w:before="0" w:after="0"/>
        <w:ind w:left="4680" w:right="0" w:hanging="230"/>
        <w:jc w:val="left"/>
        <w:rPr>
          <w:smallCaps/>
        </w:rPr>
      </w:pPr>
      <w:r>
        <w:rPr>
          <w:smallCaps/>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[Signature Page to Second Amendment to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Credit Agreement –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CTO Realty Growth,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mallCaps/>
          <w:sz w:val="24"/>
        </w:rPr>
        <w:t>Regions Bank</w:t>
      </w:r>
      <w:r>
        <w:rPr>
          <w:rFonts w:ascii="Times New Roman;Times;serif" w:hAnsi="Times New Roman;Times;serif"/>
          <w:sz w:val="24"/>
        </w:rPr>
        <w:t>, as a Lender</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Ghi Gavin</w:t>
      </w:r>
      <w:r>
        <w:rPr>
          <w:rFonts w:ascii="Times New Roman;Times;serif" w:hAnsi="Times New Roman;Times;serif"/>
          <w:sz w:val="24"/>
        </w:rPr>
        <w:t>______________________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w:t>
      </w:r>
      <w:bookmarkStart w:id="2214" w:name="_Hlk210302447"/>
      <w:bookmarkEnd w:id="2214"/>
      <w:r>
        <w:rPr>
          <w:rFonts w:ascii="Times New Roman;Times;serif" w:hAnsi="Times New Roman;Times;serif"/>
          <w:sz w:val="24"/>
        </w:rPr>
        <w:t>Ghi Gavin</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Title:Senior Vice President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[Signature Page to Second Amendment to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Credit Agreement –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CTO Realty Growth,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mallCaps/>
          <w:sz w:val="24"/>
        </w:rPr>
        <w:t>Truist Bank</w:t>
      </w:r>
      <w:r>
        <w:rPr>
          <w:rFonts w:ascii="Times New Roman;Times;serif" w:hAnsi="Times New Roman;Times;serif"/>
          <w:sz w:val="24"/>
        </w:rPr>
        <w:t>, as a Lender</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Ryan Almond</w:t>
      </w:r>
      <w:r>
        <w:rPr>
          <w:rFonts w:ascii="Times New Roman;Times;serif" w:hAnsi="Times New Roman;Times;serif"/>
          <w:sz w:val="24"/>
        </w:rPr>
        <w:t>_____________________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w:t>
      </w:r>
      <w:bookmarkStart w:id="2215" w:name="_Hlk210302476"/>
      <w:bookmarkEnd w:id="2215"/>
      <w:r>
        <w:rPr>
          <w:rFonts w:ascii="Times New Roman;Times;serif" w:hAnsi="Times New Roman;Times;serif"/>
          <w:sz w:val="24"/>
        </w:rPr>
        <w:t>Ryan Almond</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Title:Director</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[Signature Page to Second Amendment to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Credit Agreement and Joinder –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CTO Realty Growth,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mallCaps/>
          <w:sz w:val="24"/>
        </w:rPr>
        <w:t>Synovus Bank</w:t>
      </w:r>
      <w:r>
        <w:rPr>
          <w:rFonts w:ascii="Times New Roman;Times;serif" w:hAnsi="Times New Roman;Times;serif"/>
          <w:sz w:val="24"/>
        </w:rPr>
        <w:t>, as a Lender</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Zachary Braun</w:t>
      </w:r>
      <w:r>
        <w:rPr>
          <w:rFonts w:ascii="Times New Roman;Times;serif" w:hAnsi="Times New Roman;Times;serif"/>
          <w:sz w:val="24"/>
        </w:rPr>
        <w:t>____________________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w:t>
      </w:r>
      <w:bookmarkStart w:id="2216" w:name="_Hlk210302516"/>
      <w:bookmarkEnd w:id="2216"/>
      <w:r>
        <w:rPr>
          <w:rFonts w:ascii="Times New Roman;Times;serif" w:hAnsi="Times New Roman;Times;serif"/>
          <w:sz w:val="24"/>
        </w:rPr>
        <w:t>Zachary Braun</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Title:Director</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[Signature Page to Second Amendment to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Credit Agreement and Joinder –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CTO Realty Growth,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mallCaps/>
          <w:sz w:val="24"/>
        </w:rPr>
        <w:t>Wells Fargo Bank</w:t>
      </w:r>
      <w:r>
        <w:rPr>
          <w:rFonts w:ascii="Times New Roman;Times;serif" w:hAnsi="Times New Roman;Times;serif"/>
          <w:sz w:val="24"/>
        </w:rPr>
        <w:t xml:space="preserve">, </w:t>
      </w:r>
      <w:r>
        <w:rPr>
          <w:rFonts w:ascii="Times New Roman;Times;serif" w:hAnsi="Times New Roman;Times;serif"/>
          <w:smallCaps/>
          <w:sz w:val="24"/>
        </w:rPr>
        <w:t>National Association</w:t>
      </w:r>
      <w:r>
        <w:rPr>
          <w:rFonts w:ascii="Times New Roman;Times;serif" w:hAnsi="Times New Roman;Times;serif"/>
          <w:sz w:val="24"/>
        </w:rPr>
        <w:t xml:space="preserve"> as a Lender</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 Bryan Gregory</w:t>
      </w:r>
      <w:r>
        <w:rPr>
          <w:rFonts w:ascii="Times New Roman;Times;serif" w:hAnsi="Times New Roman;Times;serif"/>
          <w:sz w:val="24"/>
        </w:rPr>
        <w:t>_________________</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w:t>
      </w:r>
      <w:bookmarkStart w:id="2217" w:name="_Hlk210302555"/>
      <w:bookmarkEnd w:id="2217"/>
      <w:r>
        <w:rPr>
          <w:rFonts w:ascii="Times New Roman;Times;serif" w:hAnsi="Times New Roman;Times;serif"/>
          <w:sz w:val="24"/>
        </w:rPr>
        <w:t>D. Bryan Gregory</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Title:Managing Director</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[Signature Page to Second Amendment to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 xml:space="preserve">Credit Agreement and Joinder – </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CTO Realty Growth, Inc.]</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4"/>
        </w:rPr>
      </w:pPr>
      <w:r>
        <w:rPr>
          <w:rFonts w:ascii="Times New Roman;Times;serif" w:hAnsi="Times New Roman;Times;serif"/>
          <w:b/>
          <w:sz w:val="24"/>
        </w:rPr>
        <w:t xml:space="preserve">CONFORMED THROUGH </w:t>
      </w:r>
      <w:bookmarkStart w:id="2218" w:name="_cp_change_1278"/>
      <w:bookmarkEnd w:id="2218"/>
      <w:r>
        <w:rPr>
          <w:rFonts w:ascii="Times New Roman;Times;serif" w:hAnsi="Times New Roman;Times;serif"/>
          <w:b/>
          <w:color w:val="FF0000"/>
          <w:sz w:val="24"/>
        </w:rPr>
        <w:t>FIRST</w:t>
      </w:r>
      <w:bookmarkStart w:id="2219" w:name="_cp_change_1279"/>
      <w:bookmarkEnd w:id="2219"/>
      <w:r>
        <w:rPr>
          <w:rFonts w:ascii="Times New Roman;Times;serif" w:hAnsi="Times New Roman;Times;serif"/>
          <w:b/>
          <w:color w:val="0000FF"/>
          <w:sz w:val="24"/>
        </w:rPr>
        <w:t>SECOND</w:t>
      </w:r>
      <w:r>
        <w:rPr>
          <w:rFonts w:ascii="Times New Roman;Times;serif" w:hAnsi="Times New Roman;Times;serif"/>
          <w:sz w:val="24"/>
        </w:rPr>
        <w:t xml:space="preserve"> </w:t>
      </w:r>
      <w:r>
        <w:rPr>
          <w:rFonts w:ascii="Times New Roman;Times;serif" w:hAnsi="Times New Roman;Times;serif"/>
          <w:b/>
          <w:sz w:val="24"/>
        </w:rPr>
        <w:t>AMENDMENT</w:t>
      </w:r>
    </w:p>
    <w:p>
      <w:pPr>
        <w:pStyle w:val="TextBody"/>
        <w:bidi w:val="0"/>
        <w:spacing w:before="0" w:after="0"/>
        <w:ind w:left="0" w:right="0" w:hanging="0"/>
        <w:jc w:val="right"/>
        <w:rPr>
          <w:rFonts w:ascii="Times New Roman;Times;serif" w:hAnsi="Times New Roman;Times;serif"/>
          <w:sz w:val="24"/>
        </w:rPr>
      </w:pPr>
      <w:r>
        <w:rPr>
          <w:rFonts w:ascii="Times New Roman;Times;serif" w:hAnsi="Times New Roman;Times;serif"/>
          <w:b/>
          <w:sz w:val="24"/>
        </w:rPr>
        <w:t xml:space="preserve">Dated </w:t>
      </w:r>
      <w:bookmarkStart w:id="2220" w:name="_cp_change_1280"/>
      <w:bookmarkEnd w:id="2220"/>
      <w:r>
        <w:rPr>
          <w:rFonts w:ascii="Times New Roman;Times;serif" w:hAnsi="Times New Roman;Times;serif"/>
          <w:b/>
          <w:color w:val="FF0000"/>
          <w:sz w:val="24"/>
        </w:rPr>
        <w:t>December 20, 2024</w:t>
      </w:r>
      <w:bookmarkStart w:id="2221" w:name="_cp_change_1281"/>
      <w:bookmarkEnd w:id="2221"/>
      <w:r>
        <w:rPr>
          <w:rFonts w:ascii="Times New Roman;Times;serif" w:hAnsi="Times New Roman;Times;serif"/>
          <w:b/>
          <w:color w:val="0000FF"/>
          <w:sz w:val="24"/>
        </w:rPr>
        <w:t>September 25, 2025</w:t>
      </w:r>
    </w:p>
    <w:p>
      <w:pPr>
        <w:pStyle w:val="TextBody"/>
        <w:bidi w:val="0"/>
        <w:spacing w:lineRule="atLeast" w:line="280" w:before="0" w:after="0"/>
        <w:ind w:left="0" w:right="0" w:hanging="0"/>
        <w:jc w:val="center"/>
        <w:rPr>
          <w:rFonts w:ascii="Times" w:hAnsi="Times"/>
          <w:b/>
          <w:sz w:val="24"/>
        </w:rPr>
      </w:pPr>
      <w:r>
        <w:rPr>
          <w:rFonts w:ascii="Times" w:hAnsi="Times"/>
          <w:b/>
          <w:sz w:val="24"/>
        </w:rPr>
        <w:t>ANNEX A TO SECOND AMENDMENT TO</w:t>
      </w:r>
    </w:p>
    <w:p>
      <w:pPr>
        <w:pStyle w:val="TextBody"/>
        <w:bidi w:val="0"/>
        <w:spacing w:lineRule="atLeast" w:line="280" w:before="0" w:after="0"/>
        <w:ind w:left="0" w:right="0" w:hanging="0"/>
        <w:jc w:val="center"/>
        <w:rPr>
          <w:rFonts w:ascii="Times" w:hAnsi="Times"/>
          <w:b/>
          <w:sz w:val="24"/>
        </w:rPr>
      </w:pPr>
      <w:r>
        <w:rPr>
          <w:rFonts w:ascii="Times" w:hAnsi="Times"/>
          <w:b/>
          <w:sz w:val="24"/>
        </w:rPr>
        <w:t>CREDIT AGREEMENT</w:t>
      </w:r>
    </w:p>
    <w:p>
      <w:pPr>
        <w:pStyle w:val="TextBody"/>
        <w:bidi w:val="0"/>
        <w:spacing w:lineRule="atLeast" w:line="280" w:before="280" w:after="283"/>
        <w:ind w:left="0" w:right="0" w:hanging="0"/>
        <w:jc w:val="center"/>
        <w:rPr/>
      </w:pPr>
      <w:r>
        <w:rPr/>
        <w:t>​</w:t>
      </w:r>
    </w:p>
    <w:p>
      <w:pPr>
        <w:pStyle w:val="TextBody"/>
        <w:pBdr>
          <w:bottom w:val="double" w:sz="6" w:space="1" w:color="000000"/>
        </w:pBdr>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Credit Agreement</w:t>
      </w:r>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Dated as of September 30, 2024</w:t>
      </w:r>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among</w:t>
      </w:r>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CTO Realty Growth, Inc.,</w:t>
        <w:br/>
        <w:t>​</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The Guarantors From Time to Time Parties Hereto,</w:t>
      </w:r>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The Lenders From Time to Time Parties Hereto,</w:t>
      </w:r>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KeyBank National Association,</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as Administrative Agent,</w:t>
      </w:r>
    </w:p>
    <w:p>
      <w:pPr>
        <w:pStyle w:val="TextBody"/>
        <w:pBdr>
          <w:bottom w:val="double" w:sz="6" w:space="1" w:color="000000"/>
        </w:pBdr>
        <w:bidi w:val="0"/>
        <w:spacing w:before="0" w:after="0"/>
        <w:ind w:left="0" w:right="0" w:hanging="0"/>
        <w:jc w:val="left"/>
        <w:rPr>
          <w:smallCaps/>
        </w:rPr>
      </w:pPr>
      <w:r>
        <w:rPr>
          <w:smallCaps/>
        </w:rPr>
        <w:t>​</w:t>
      </w:r>
    </w:p>
    <w:p>
      <w:pPr>
        <w:pStyle w:val="TextBody"/>
        <w:bidi w:val="0"/>
        <w:spacing w:before="0" w:after="0"/>
        <w:ind w:left="0" w:right="0" w:hanging="0"/>
        <w:jc w:val="left"/>
        <w:rPr>
          <w:smallCaps/>
        </w:rPr>
      </w:pPr>
      <w:r>
        <w:rPr>
          <w:smallCaps/>
        </w:rPr>
        <w:t>​</w:t>
      </w:r>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KeyBank Capital Markets Inc., PNC Capital Markets LLC, and Regions Capital Markets,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mallCaps/>
          <w:sz w:val="24"/>
        </w:rPr>
        <w:t>as Joint Lead Arrangers</w:t>
      </w:r>
      <w:bookmarkStart w:id="2222" w:name="_cp_change_0"/>
      <w:bookmarkEnd w:id="2222"/>
      <w:r>
        <w:rPr>
          <w:rFonts w:ascii="Times New Roman;Times;serif" w:hAnsi="Times New Roman;Times;serif"/>
          <w:smallCaps/>
          <w:color w:val="0000FF"/>
          <w:sz w:val="24"/>
          <w:u w:val="single"/>
        </w:rPr>
        <w:t xml:space="preserve"> for the 2029 Term Loan Facility</w:t>
      </w:r>
    </w:p>
    <w:p>
      <w:pPr>
        <w:pStyle w:val="TextBody"/>
        <w:bidi w:val="0"/>
        <w:spacing w:before="240" w:after="0"/>
        <w:ind w:left="0" w:right="0" w:hanging="0"/>
        <w:jc w:val="center"/>
        <w:rPr>
          <w:rFonts w:ascii="Times New Roman;Times;serif" w:hAnsi="Times New Roman;Times;serif"/>
          <w:smallCaps/>
          <w:color w:val="0000FF"/>
          <w:sz w:val="24"/>
          <w:u w:val="single"/>
        </w:rPr>
      </w:pPr>
      <w:bookmarkStart w:id="2223" w:name="_cp_change_2"/>
      <w:bookmarkEnd w:id="2223"/>
      <w:r>
        <w:rPr>
          <w:rFonts w:ascii="Times New Roman;Times;serif" w:hAnsi="Times New Roman;Times;serif"/>
          <w:smallCaps/>
          <w:color w:val="0000FF"/>
          <w:sz w:val="24"/>
          <w:u w:val="single"/>
        </w:rPr>
        <w:t>KeyBank Capital Markets Inc., PNC Capital Markets LLC, Regions Capital Markets, and Truist Securities, Inc.</w:t>
      </w:r>
      <w:bookmarkStart w:id="2224" w:name="_cp_change_1"/>
      <w:bookmarkEnd w:id="2224"/>
    </w:p>
    <w:p>
      <w:pPr>
        <w:pStyle w:val="TextBody"/>
        <w:bidi w:val="0"/>
        <w:spacing w:before="0" w:after="0"/>
        <w:ind w:left="0" w:right="0" w:hanging="0"/>
        <w:jc w:val="center"/>
        <w:rPr>
          <w:rFonts w:ascii="Times New Roman;Times;serif" w:hAnsi="Times New Roman;Times;serif"/>
          <w:smallCaps/>
          <w:color w:val="0000FF"/>
          <w:sz w:val="24"/>
          <w:u w:val="single"/>
        </w:rPr>
      </w:pPr>
      <w:bookmarkStart w:id="2225" w:name="_cp_change_4"/>
      <w:bookmarkEnd w:id="2225"/>
      <w:r>
        <w:rPr>
          <w:rFonts w:ascii="Times New Roman;Times;serif" w:hAnsi="Times New Roman;Times;serif"/>
          <w:smallCaps/>
          <w:color w:val="0000FF"/>
          <w:sz w:val="24"/>
          <w:u w:val="single"/>
        </w:rPr>
        <w:t>as Joint Lead Arrangers for the 2030 Term Loan Facility</w:t>
      </w:r>
      <w:bookmarkStart w:id="2226" w:name="_cp_change_3"/>
      <w:bookmarkEnd w:id="2226"/>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PNC Bank, National Association and Regions Bank,</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mallCaps/>
          <w:sz w:val="24"/>
        </w:rPr>
        <w:t>as Syndication Agents</w:t>
      </w:r>
      <w:bookmarkStart w:id="2227" w:name="_cp_change_5"/>
      <w:bookmarkEnd w:id="2227"/>
      <w:r>
        <w:rPr>
          <w:rFonts w:ascii="Times New Roman;Times;serif" w:hAnsi="Times New Roman;Times;serif"/>
          <w:smallCaps/>
          <w:color w:val="0000FF"/>
          <w:sz w:val="24"/>
          <w:u w:val="single"/>
        </w:rPr>
        <w:t xml:space="preserve"> for the 2029 Term Loan Facility</w:t>
      </w:r>
    </w:p>
    <w:p>
      <w:pPr>
        <w:pStyle w:val="TextBody"/>
        <w:bidi w:val="0"/>
        <w:spacing w:before="240" w:after="0"/>
        <w:ind w:left="0" w:right="0" w:hanging="0"/>
        <w:jc w:val="center"/>
        <w:rPr>
          <w:rFonts w:ascii="Times New Roman;Times;serif" w:hAnsi="Times New Roman;Times;serif"/>
          <w:sz w:val="24"/>
        </w:rPr>
      </w:pPr>
      <w:bookmarkStart w:id="2228" w:name="_cp_change_6"/>
      <w:bookmarkEnd w:id="2228"/>
      <w:r>
        <w:rPr>
          <w:rFonts w:ascii="Times New Roman;Times;serif" w:hAnsi="Times New Roman;Times;serif"/>
          <w:smallCaps/>
          <w:color w:val="FF0000"/>
          <w:sz w:val="24"/>
        </w:rPr>
        <w:t>KeyBank</w:t>
      </w:r>
      <w:bookmarkStart w:id="2229" w:name="_cp_change_7"/>
      <w:bookmarkEnd w:id="2229"/>
      <w:r>
        <w:rPr>
          <w:rFonts w:ascii="Times New Roman;Times;serif" w:hAnsi="Times New Roman;Times;serif"/>
          <w:smallCaps/>
          <w:color w:val="0000FF"/>
          <w:sz w:val="24"/>
          <w:u w:val="single"/>
        </w:rPr>
        <w:t>PNC Bank,</w:t>
      </w:r>
      <w:r>
        <w:rPr>
          <w:rFonts w:ascii="Times New Roman;Times;serif" w:hAnsi="Times New Roman;Times;serif"/>
          <w:smallCaps/>
          <w:sz w:val="24"/>
        </w:rPr>
        <w:t xml:space="preserve"> National Association,</w:t>
      </w:r>
      <w:bookmarkStart w:id="2230" w:name="_cp_change_8"/>
      <w:bookmarkEnd w:id="2230"/>
      <w:r>
        <w:rPr>
          <w:rFonts w:ascii="Times New Roman;Times;serif" w:hAnsi="Times New Roman;Times;serif"/>
          <w:smallCaps/>
          <w:color w:val="0000FF"/>
          <w:sz w:val="24"/>
          <w:u w:val="single"/>
        </w:rPr>
        <w:t xml:space="preserve"> Regions Bank, and Truist Bank,</w:t>
      </w:r>
    </w:p>
    <w:p>
      <w:pPr>
        <w:pStyle w:val="TextBody"/>
        <w:bidi w:val="0"/>
        <w:spacing w:before="0" w:after="0"/>
        <w:ind w:left="0" w:right="0" w:hanging="0"/>
        <w:jc w:val="center"/>
        <w:rPr>
          <w:rFonts w:ascii="Times New Roman;Times;serif" w:hAnsi="Times New Roman;Times;serif"/>
          <w:smallCaps/>
          <w:color w:val="FF0000"/>
          <w:sz w:val="24"/>
        </w:rPr>
      </w:pPr>
      <w:bookmarkStart w:id="2231" w:name="_cp_change_10"/>
      <w:bookmarkEnd w:id="2231"/>
      <w:r>
        <w:rPr>
          <w:rFonts w:ascii="Times New Roman;Times;serif" w:hAnsi="Times New Roman;Times;serif"/>
          <w:smallCaps/>
          <w:color w:val="FF0000"/>
          <w:sz w:val="24"/>
        </w:rPr>
        <w:t>as Sustainability Structuring Agent</w:t>
      </w:r>
      <w:bookmarkStart w:id="2232" w:name="_cp_change_9"/>
      <w:bookmarkEnd w:id="2232"/>
    </w:p>
    <w:p>
      <w:pPr>
        <w:pStyle w:val="TextBody"/>
        <w:bidi w:val="0"/>
        <w:spacing w:before="0" w:after="0"/>
        <w:ind w:left="0" w:right="0" w:hanging="0"/>
        <w:jc w:val="center"/>
        <w:rPr>
          <w:rFonts w:ascii="Times New Roman;Times;serif" w:hAnsi="Times New Roman;Times;serif"/>
          <w:smallCaps/>
          <w:color w:val="0000FF"/>
          <w:sz w:val="24"/>
          <w:u w:val="single"/>
        </w:rPr>
      </w:pPr>
      <w:bookmarkStart w:id="2233" w:name="_cp_change_12"/>
      <w:bookmarkEnd w:id="2233"/>
      <w:r>
        <w:rPr>
          <w:rFonts w:ascii="Times New Roman;Times;serif" w:hAnsi="Times New Roman;Times;serif"/>
          <w:smallCaps/>
          <w:color w:val="0000FF"/>
          <w:sz w:val="24"/>
          <w:u w:val="single"/>
        </w:rPr>
        <w:t>as Syndication Agents for the 2030 Term Loan Facility</w:t>
      </w:r>
      <w:bookmarkStart w:id="2234" w:name="_cp_change_11"/>
      <w:bookmarkEnd w:id="2234"/>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KeyBanc Capital Markets Inc.,</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as Sole Book Runner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80" w:after="283"/>
        <w:ind w:left="0" w:right="0" w:firstLine="720"/>
        <w:jc w:val="both"/>
        <w:rPr/>
      </w:pPr>
      <w:r>
        <w:rPr/>
        <w:t>​</w:t>
      </w:r>
    </w:p>
    <w:p>
      <w:pPr>
        <w:pStyle w:val="TextBody"/>
        <w:bidi w:val="0"/>
        <w:spacing w:before="0" w:after="0"/>
        <w:ind w:left="0" w:right="0" w:hanging="0"/>
        <w:jc w:val="left"/>
        <w:rPr/>
      </w:pPr>
      <w:bookmarkStart w:id="2235" w:name="_cp_change_1285"/>
      <w:bookmarkStart w:id="2236" w:name="_iDocIDFieldd1edc34e-1970-4938-a8b8-1792"/>
      <w:bookmarkEnd w:id="2235"/>
      <w:bookmarkEnd w:id="2236"/>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Table of Contents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1.The Credit Facility</w:t>
      </w:r>
      <w:r>
        <w:rPr>
          <w:rFonts w:ascii="Times New Roman;Times;serif" w:hAnsi="Times New Roman;Times;serif"/>
          <w:b w:val="false"/>
          <w:i w:val="false"/>
          <w:caps w:val="false"/>
          <w:smallCaps w:val="false"/>
          <w:sz w:val="24"/>
          <w:shd w:fill="FFFFFF" w:val="clear"/>
        </w:rPr>
        <w:t>1</w:t>
      </w:r>
      <w:r>
        <mc:AlternateContent>
          <mc:Choice Requires="wps">
            <w:drawing>
              <wp:anchor behindDoc="0" distT="0" distB="0" distL="0" distR="0" simplePos="0" locked="0" layoutInCell="1" allowOverlap="1" relativeHeight="542">
                <wp:simplePos x="0" y="0"/>
                <wp:positionH relativeFrom="page">
                  <wp:posOffset>0</wp:posOffset>
                </wp:positionH>
                <wp:positionV relativeFrom="line">
                  <wp:posOffset>635</wp:posOffset>
                </wp:positionV>
                <wp:extent cx="6480175" cy="175895"/>
                <wp:effectExtent l="0" t="0" r="0" b="0"/>
                <wp:wrapNone/>
                <wp:docPr id="541" name="Frame5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1.1.Reserved</w:t>
      </w:r>
      <w:r>
        <w:rPr>
          <w:rFonts w:ascii="Times New Roman;Times;serif" w:hAnsi="Times New Roman;Times;serif"/>
          <w:b w:val="false"/>
          <w:i w:val="false"/>
          <w:caps w:val="false"/>
          <w:smallCaps w:val="false"/>
          <w:sz w:val="24"/>
          <w:shd w:fill="FFFFFF" w:val="clear"/>
        </w:rPr>
        <w:t>1</w:t>
      </w:r>
      <w:r>
        <mc:AlternateContent>
          <mc:Choice Requires="wps">
            <w:drawing>
              <wp:anchor behindDoc="0" distT="0" distB="0" distL="0" distR="0" simplePos="0" locked="0" layoutInCell="1" allowOverlap="1" relativeHeight="543">
                <wp:simplePos x="0" y="0"/>
                <wp:positionH relativeFrom="page">
                  <wp:posOffset>0</wp:posOffset>
                </wp:positionH>
                <wp:positionV relativeFrom="line">
                  <wp:posOffset>635</wp:posOffset>
                </wp:positionV>
                <wp:extent cx="6480175" cy="175895"/>
                <wp:effectExtent l="0" t="0" r="0" b="0"/>
                <wp:wrapNone/>
                <wp:docPr id="542" name="Frame5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 xml:space="preserve">Section 1.2.The </w:t>
      </w:r>
      <w:r>
        <w:rPr>
          <w:rFonts w:ascii="Times New Roman;Times;serif" w:hAnsi="Times New Roman;Times;serif"/>
          <w:b w:val="false"/>
          <w:i w:val="false"/>
          <w:caps w:val="false"/>
          <w:smallCaps w:val="false"/>
          <w:color w:val="FF0000"/>
          <w:sz w:val="24"/>
          <w:u w:val="single"/>
          <w:shd w:fill="FFFFFF" w:val="clear"/>
        </w:rPr>
        <w:t xml:space="preserve">2029 </w:t>
      </w:r>
      <w:r>
        <w:rPr>
          <w:rFonts w:ascii="Times New Roman;Times;serif" w:hAnsi="Times New Roman;Times;serif"/>
          <w:b w:val="false"/>
          <w:i w:val="false"/>
          <w:caps w:val="false"/>
          <w:smallCaps w:val="false"/>
          <w:color w:val="0000FF"/>
          <w:sz w:val="24"/>
          <w:u w:val="single"/>
          <w:shd w:fill="FFFFFF" w:val="clear"/>
        </w:rPr>
        <w:t xml:space="preserve">Term </w:t>
      </w:r>
      <w:r>
        <w:rPr>
          <w:rFonts w:ascii="Times New Roman;Times;serif" w:hAnsi="Times New Roman;Times;serif"/>
          <w:b w:val="false"/>
          <w:i w:val="false"/>
          <w:caps w:val="false"/>
          <w:smallCaps w:val="false"/>
          <w:color w:val="FF0000"/>
          <w:sz w:val="24"/>
          <w:u w:val="single"/>
          <w:shd w:fill="FFFFFF" w:val="clear"/>
        </w:rPr>
        <w:t>Loan</w:t>
      </w:r>
      <w:r>
        <w:rPr>
          <w:rFonts w:ascii="Times New Roman;Times;serif" w:hAnsi="Times New Roman;Times;serif"/>
          <w:b w:val="false"/>
          <w:i w:val="false"/>
          <w:caps w:val="false"/>
          <w:smallCaps w:val="false"/>
          <w:color w:val="0000FF"/>
          <w:sz w:val="24"/>
          <w:u w:val="single"/>
          <w:shd w:fill="FFFFFF" w:val="clear"/>
        </w:rPr>
        <w:t>Loans</w:t>
      </w:r>
      <w:r>
        <w:rPr>
          <w:rFonts w:ascii="Times New Roman;Times;serif" w:hAnsi="Times New Roman;Times;serif"/>
          <w:b w:val="false"/>
          <w:i w:val="false"/>
          <w:caps w:val="false"/>
          <w:smallCaps w:val="false"/>
          <w:sz w:val="24"/>
          <w:shd w:fill="FFFFFF" w:val="clear"/>
        </w:rPr>
        <w:t>1</w:t>
      </w:r>
      <w:r>
        <mc:AlternateContent>
          <mc:Choice Requires="wps">
            <w:drawing>
              <wp:anchor behindDoc="0" distT="0" distB="0" distL="0" distR="0" simplePos="0" locked="0" layoutInCell="1" allowOverlap="1" relativeHeight="544">
                <wp:simplePos x="0" y="0"/>
                <wp:positionH relativeFrom="page">
                  <wp:posOffset>0</wp:posOffset>
                </wp:positionH>
                <wp:positionV relativeFrom="line">
                  <wp:posOffset>635</wp:posOffset>
                </wp:positionV>
                <wp:extent cx="6480175" cy="175895"/>
                <wp:effectExtent l="0" t="0" r="0" b="0"/>
                <wp:wrapNone/>
                <wp:docPr id="543" name="Frame5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1.3.Reserved</w:t>
      </w:r>
      <w:r>
        <w:rPr>
          <w:rFonts w:ascii="Times New Roman;Times;serif" w:hAnsi="Times New Roman;Times;serif"/>
          <w:b w:val="false"/>
          <w:i w:val="false"/>
          <w:caps w:val="false"/>
          <w:smallCaps w:val="false"/>
          <w:color w:val="FF0000"/>
          <w:sz w:val="24"/>
          <w:shd w:fill="FFFFFF" w:val="clear"/>
        </w:rPr>
        <w:t>1</w:t>
      </w:r>
      <w:r>
        <w:rPr>
          <w:rFonts w:ascii="Times New Roman;Times;serif" w:hAnsi="Times New Roman;Times;serif"/>
          <w:b w:val="false"/>
          <w:i w:val="false"/>
          <w:caps w:val="false"/>
          <w:smallCaps w:val="false"/>
          <w:color w:val="0000FF"/>
          <w:sz w:val="24"/>
          <w:u w:val="single"/>
          <w:shd w:fill="FFFFFF" w:val="clear"/>
        </w:rPr>
        <w:t>2</w:t>
      </w:r>
      <w:r>
        <mc:AlternateContent>
          <mc:Choice Requires="wps">
            <w:drawing>
              <wp:anchor behindDoc="0" distT="0" distB="0" distL="0" distR="0" simplePos="0" locked="0" layoutInCell="1" allowOverlap="1" relativeHeight="545">
                <wp:simplePos x="0" y="0"/>
                <wp:positionH relativeFrom="page">
                  <wp:posOffset>0</wp:posOffset>
                </wp:positionH>
                <wp:positionV relativeFrom="line">
                  <wp:posOffset>635</wp:posOffset>
                </wp:positionV>
                <wp:extent cx="6480175" cy="175895"/>
                <wp:effectExtent l="0" t="0" r="0" b="0"/>
                <wp:wrapNone/>
                <wp:docPr id="544" name="Frame5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1.4.Applicable Interest Rates</w:t>
      </w:r>
      <w:r>
        <w:rPr>
          <w:rFonts w:ascii="Times New Roman;Times;serif" w:hAnsi="Times New Roman;Times;serif"/>
          <w:b w:val="false"/>
          <w:i w:val="false"/>
          <w:caps w:val="false"/>
          <w:smallCaps w:val="false"/>
          <w:sz w:val="24"/>
          <w:shd w:fill="FFFFFF" w:val="clear"/>
        </w:rPr>
        <w:t>2</w:t>
      </w:r>
      <w:r>
        <mc:AlternateContent>
          <mc:Choice Requires="wps">
            <w:drawing>
              <wp:anchor behindDoc="0" distT="0" distB="0" distL="0" distR="0" simplePos="0" locked="0" layoutInCell="1" allowOverlap="1" relativeHeight="546">
                <wp:simplePos x="0" y="0"/>
                <wp:positionH relativeFrom="page">
                  <wp:posOffset>0</wp:posOffset>
                </wp:positionH>
                <wp:positionV relativeFrom="line">
                  <wp:posOffset>635</wp:posOffset>
                </wp:positionV>
                <wp:extent cx="6480175" cy="175895"/>
                <wp:effectExtent l="0" t="0" r="0" b="0"/>
                <wp:wrapNone/>
                <wp:docPr id="545" name="Frame5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1.5.Minimum Borrowing Amounts; Maximum Term SOFR Rate Loans</w:t>
      </w:r>
      <w:r>
        <w:rPr>
          <w:rFonts w:ascii="Times New Roman;Times;serif" w:hAnsi="Times New Roman;Times;serif"/>
          <w:b w:val="false"/>
          <w:i w:val="false"/>
          <w:caps w:val="false"/>
          <w:smallCaps w:val="false"/>
          <w:color w:val="FF0000"/>
          <w:sz w:val="24"/>
          <w:shd w:fill="FFFFFF" w:val="clear"/>
        </w:rPr>
        <w:t>2</w:t>
      </w:r>
      <w:r>
        <w:rPr>
          <w:rFonts w:ascii="Times New Roman;Times;serif" w:hAnsi="Times New Roman;Times;serif"/>
          <w:b w:val="false"/>
          <w:i w:val="false"/>
          <w:caps w:val="false"/>
          <w:smallCaps w:val="false"/>
          <w:color w:val="0000FF"/>
          <w:sz w:val="24"/>
          <w:u w:val="single"/>
          <w:shd w:fill="FFFFFF" w:val="clear"/>
        </w:rPr>
        <w:t>3</w:t>
      </w:r>
      <w:r>
        <mc:AlternateContent>
          <mc:Choice Requires="wps">
            <w:drawing>
              <wp:anchor behindDoc="0" distT="0" distB="0" distL="0" distR="0" simplePos="0" locked="0" layoutInCell="1" allowOverlap="1" relativeHeight="547">
                <wp:simplePos x="0" y="0"/>
                <wp:positionH relativeFrom="page">
                  <wp:posOffset>0</wp:posOffset>
                </wp:positionH>
                <wp:positionV relativeFrom="line">
                  <wp:posOffset>635</wp:posOffset>
                </wp:positionV>
                <wp:extent cx="6480175" cy="175895"/>
                <wp:effectExtent l="0" t="0" r="0" b="0"/>
                <wp:wrapNone/>
                <wp:docPr id="546" name="Frame5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1.6.Manner of Borrowing Loans and Designating Applicable Interest Rates</w:t>
      </w:r>
      <w:r>
        <w:rPr>
          <w:rFonts w:ascii="Times New Roman;Times;serif" w:hAnsi="Times New Roman;Times;serif"/>
          <w:b w:val="false"/>
          <w:i w:val="false"/>
          <w:caps w:val="false"/>
          <w:smallCaps w:val="false"/>
          <w:sz w:val="24"/>
          <w:shd w:fill="FFFFFF" w:val="clear"/>
        </w:rPr>
        <w:t>3</w:t>
      </w:r>
      <w:r>
        <mc:AlternateContent>
          <mc:Choice Requires="wps">
            <w:drawing>
              <wp:anchor behindDoc="0" distT="0" distB="0" distL="0" distR="0" simplePos="0" locked="0" layoutInCell="1" allowOverlap="1" relativeHeight="548">
                <wp:simplePos x="0" y="0"/>
                <wp:positionH relativeFrom="page">
                  <wp:posOffset>0</wp:posOffset>
                </wp:positionH>
                <wp:positionV relativeFrom="line">
                  <wp:posOffset>635</wp:posOffset>
                </wp:positionV>
                <wp:extent cx="6480175" cy="175895"/>
                <wp:effectExtent l="0" t="0" r="0" b="0"/>
                <wp:wrapNone/>
                <wp:docPr id="547" name="Frame5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1.7.Maturity of Loans</w:t>
      </w:r>
      <w:r>
        <w:rPr>
          <w:rFonts w:ascii="Times New Roman;Times;serif" w:hAnsi="Times New Roman;Times;serif"/>
          <w:b w:val="false"/>
          <w:i w:val="false"/>
          <w:caps w:val="false"/>
          <w:smallCaps w:val="false"/>
          <w:sz w:val="24"/>
          <w:shd w:fill="FFFFFF" w:val="clear"/>
        </w:rPr>
        <w:t>5</w:t>
      </w:r>
      <w:r>
        <mc:AlternateContent>
          <mc:Choice Requires="wps">
            <w:drawing>
              <wp:anchor behindDoc="0" distT="0" distB="0" distL="0" distR="0" simplePos="0" locked="0" layoutInCell="1" allowOverlap="1" relativeHeight="549">
                <wp:simplePos x="0" y="0"/>
                <wp:positionH relativeFrom="page">
                  <wp:posOffset>0</wp:posOffset>
                </wp:positionH>
                <wp:positionV relativeFrom="line">
                  <wp:posOffset>635</wp:posOffset>
                </wp:positionV>
                <wp:extent cx="6480175" cy="175895"/>
                <wp:effectExtent l="0" t="0" r="0" b="0"/>
                <wp:wrapNone/>
                <wp:docPr id="548" name="Frame5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1.8.Prepayments</w:t>
      </w:r>
      <w:r>
        <w:rPr>
          <w:rFonts w:ascii="Times New Roman;Times;serif" w:hAnsi="Times New Roman;Times;serif"/>
          <w:b w:val="false"/>
          <w:i w:val="false"/>
          <w:caps w:val="false"/>
          <w:smallCaps w:val="false"/>
          <w:sz w:val="24"/>
          <w:shd w:fill="FFFFFF" w:val="clear"/>
        </w:rPr>
        <w:t>5</w:t>
      </w:r>
      <w:r>
        <mc:AlternateContent>
          <mc:Choice Requires="wps">
            <w:drawing>
              <wp:anchor behindDoc="0" distT="0" distB="0" distL="0" distR="0" simplePos="0" locked="0" layoutInCell="1" allowOverlap="1" relativeHeight="550">
                <wp:simplePos x="0" y="0"/>
                <wp:positionH relativeFrom="page">
                  <wp:posOffset>0</wp:posOffset>
                </wp:positionH>
                <wp:positionV relativeFrom="line">
                  <wp:posOffset>635</wp:posOffset>
                </wp:positionV>
                <wp:extent cx="6480175" cy="175895"/>
                <wp:effectExtent l="0" t="0" r="0" b="0"/>
                <wp:wrapNone/>
                <wp:docPr id="549" name="Frame5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1.9.Default Rate</w:t>
      </w:r>
      <w:r>
        <w:rPr>
          <w:rFonts w:ascii="Times New Roman;Times;serif" w:hAnsi="Times New Roman;Times;serif"/>
          <w:b w:val="false"/>
          <w:i w:val="false"/>
          <w:caps w:val="false"/>
          <w:smallCaps w:val="false"/>
          <w:sz w:val="24"/>
          <w:shd w:fill="FFFFFF" w:val="clear"/>
        </w:rPr>
        <w:t>6</w:t>
      </w:r>
      <w:r>
        <mc:AlternateContent>
          <mc:Choice Requires="wps">
            <w:drawing>
              <wp:anchor behindDoc="0" distT="0" distB="0" distL="0" distR="0" simplePos="0" locked="0" layoutInCell="1" allowOverlap="1" relativeHeight="551">
                <wp:simplePos x="0" y="0"/>
                <wp:positionH relativeFrom="page">
                  <wp:posOffset>0</wp:posOffset>
                </wp:positionH>
                <wp:positionV relativeFrom="line">
                  <wp:posOffset>635</wp:posOffset>
                </wp:positionV>
                <wp:extent cx="6480175" cy="175895"/>
                <wp:effectExtent l="0" t="0" r="0" b="0"/>
                <wp:wrapNone/>
                <wp:docPr id="550" name="Frame5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1.10.Evidence of Indebtedness</w:t>
      </w:r>
      <w:r>
        <w:rPr>
          <w:rFonts w:ascii="Times New Roman;Times;serif" w:hAnsi="Times New Roman;Times;serif"/>
          <w:b w:val="false"/>
          <w:i w:val="false"/>
          <w:caps w:val="false"/>
          <w:smallCaps w:val="false"/>
          <w:color w:val="FF0000"/>
          <w:sz w:val="24"/>
          <w:shd w:fill="FFFFFF" w:val="clear"/>
        </w:rPr>
        <w:t>6</w:t>
      </w:r>
      <w:r>
        <w:rPr>
          <w:rFonts w:ascii="Times New Roman;Times;serif" w:hAnsi="Times New Roman;Times;serif"/>
          <w:b w:val="false"/>
          <w:i w:val="false"/>
          <w:caps w:val="false"/>
          <w:smallCaps w:val="false"/>
          <w:color w:val="0000FF"/>
          <w:sz w:val="24"/>
          <w:u w:val="single"/>
          <w:shd w:fill="FFFFFF" w:val="clear"/>
        </w:rPr>
        <w:t>7</w:t>
      </w:r>
      <w:r>
        <mc:AlternateContent>
          <mc:Choice Requires="wps">
            <w:drawing>
              <wp:anchor behindDoc="0" distT="0" distB="0" distL="0" distR="0" simplePos="0" locked="0" layoutInCell="1" allowOverlap="1" relativeHeight="552">
                <wp:simplePos x="0" y="0"/>
                <wp:positionH relativeFrom="page">
                  <wp:posOffset>0</wp:posOffset>
                </wp:positionH>
                <wp:positionV relativeFrom="line">
                  <wp:posOffset>635</wp:posOffset>
                </wp:positionV>
                <wp:extent cx="6480175" cy="175895"/>
                <wp:effectExtent l="0" t="0" r="0" b="0"/>
                <wp:wrapNone/>
                <wp:docPr id="551" name="Frame5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1.11.Funding Indemnity</w:t>
      </w:r>
      <w:r>
        <w:rPr>
          <w:rFonts w:ascii="Times New Roman;Times;serif" w:hAnsi="Times New Roman;Times;serif"/>
          <w:b w:val="false"/>
          <w:i w:val="false"/>
          <w:caps w:val="false"/>
          <w:smallCaps w:val="false"/>
          <w:sz w:val="24"/>
          <w:shd w:fill="FFFFFF" w:val="clear"/>
        </w:rPr>
        <w:t>7</w:t>
      </w:r>
      <w:r>
        <mc:AlternateContent>
          <mc:Choice Requires="wps">
            <w:drawing>
              <wp:anchor behindDoc="0" distT="0" distB="0" distL="0" distR="0" simplePos="0" locked="0" layoutInCell="1" allowOverlap="1" relativeHeight="553">
                <wp:simplePos x="0" y="0"/>
                <wp:positionH relativeFrom="page">
                  <wp:posOffset>0</wp:posOffset>
                </wp:positionH>
                <wp:positionV relativeFrom="line">
                  <wp:posOffset>635</wp:posOffset>
                </wp:positionV>
                <wp:extent cx="6480175" cy="175895"/>
                <wp:effectExtent l="0" t="0" r="0" b="0"/>
                <wp:wrapNone/>
                <wp:docPr id="552" name="Frame5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1.12.Reserved</w:t>
      </w:r>
      <w:r>
        <w:rPr>
          <w:rFonts w:ascii="Times New Roman;Times;serif" w:hAnsi="Times New Roman;Times;serif"/>
          <w:b w:val="false"/>
          <w:i w:val="false"/>
          <w:caps w:val="false"/>
          <w:smallCaps w:val="false"/>
          <w:color w:val="FF0000"/>
          <w:sz w:val="24"/>
          <w:shd w:fill="FFFFFF" w:val="clear"/>
        </w:rPr>
        <w:t>7</w:t>
      </w:r>
      <w:r>
        <w:rPr>
          <w:rFonts w:ascii="Times New Roman;Times;serif" w:hAnsi="Times New Roman;Times;serif"/>
          <w:b w:val="false"/>
          <w:i w:val="false"/>
          <w:caps w:val="false"/>
          <w:smallCaps w:val="false"/>
          <w:color w:val="0000FF"/>
          <w:sz w:val="24"/>
          <w:u w:val="single"/>
          <w:shd w:fill="FFFFFF" w:val="clear"/>
        </w:rPr>
        <w:t>8</w:t>
      </w:r>
      <w:r>
        <mc:AlternateContent>
          <mc:Choice Requires="wps">
            <w:drawing>
              <wp:anchor behindDoc="0" distT="0" distB="0" distL="0" distR="0" simplePos="0" locked="0" layoutInCell="1" allowOverlap="1" relativeHeight="554">
                <wp:simplePos x="0" y="0"/>
                <wp:positionH relativeFrom="page">
                  <wp:posOffset>0</wp:posOffset>
                </wp:positionH>
                <wp:positionV relativeFrom="line">
                  <wp:posOffset>635</wp:posOffset>
                </wp:positionV>
                <wp:extent cx="6480175" cy="175895"/>
                <wp:effectExtent l="0" t="0" r="0" b="0"/>
                <wp:wrapNone/>
                <wp:docPr id="553" name="Frame5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1.13.Substitution of Lenders</w:t>
      </w:r>
      <w:r>
        <w:rPr>
          <w:rFonts w:ascii="Times New Roman;Times;serif" w:hAnsi="Times New Roman;Times;serif"/>
          <w:b w:val="false"/>
          <w:i w:val="false"/>
          <w:caps w:val="false"/>
          <w:smallCaps w:val="false"/>
          <w:color w:val="FF0000"/>
          <w:sz w:val="24"/>
          <w:shd w:fill="FFFFFF" w:val="clear"/>
        </w:rPr>
        <w:t>7</w:t>
      </w:r>
      <w:r>
        <w:rPr>
          <w:rFonts w:ascii="Times New Roman;Times;serif" w:hAnsi="Times New Roman;Times;serif"/>
          <w:b w:val="false"/>
          <w:i w:val="false"/>
          <w:caps w:val="false"/>
          <w:smallCaps w:val="false"/>
          <w:color w:val="0000FF"/>
          <w:sz w:val="24"/>
          <w:u w:val="single"/>
          <w:shd w:fill="FFFFFF" w:val="clear"/>
        </w:rPr>
        <w:t>8</w:t>
      </w:r>
      <w:r>
        <mc:AlternateContent>
          <mc:Choice Requires="wps">
            <w:drawing>
              <wp:anchor behindDoc="0" distT="0" distB="0" distL="0" distR="0" simplePos="0" locked="0" layoutInCell="1" allowOverlap="1" relativeHeight="555">
                <wp:simplePos x="0" y="0"/>
                <wp:positionH relativeFrom="page">
                  <wp:posOffset>0</wp:posOffset>
                </wp:positionH>
                <wp:positionV relativeFrom="line">
                  <wp:posOffset>635</wp:posOffset>
                </wp:positionV>
                <wp:extent cx="6480175" cy="175895"/>
                <wp:effectExtent l="0" t="0" r="0" b="0"/>
                <wp:wrapNone/>
                <wp:docPr id="554" name="Frame5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1.14.Defaulting Lenders</w:t>
      </w:r>
      <w:r>
        <w:rPr>
          <w:rFonts w:ascii="Times New Roman;Times;serif" w:hAnsi="Times New Roman;Times;serif"/>
          <w:b w:val="false"/>
          <w:i w:val="false"/>
          <w:caps w:val="false"/>
          <w:smallCaps w:val="false"/>
          <w:sz w:val="24"/>
          <w:shd w:fill="FFFFFF" w:val="clear"/>
        </w:rPr>
        <w:t>8</w:t>
      </w:r>
      <w:r>
        <mc:AlternateContent>
          <mc:Choice Requires="wps">
            <w:drawing>
              <wp:anchor behindDoc="0" distT="0" distB="0" distL="0" distR="0" simplePos="0" locked="0" layoutInCell="1" allowOverlap="1" relativeHeight="556">
                <wp:simplePos x="0" y="0"/>
                <wp:positionH relativeFrom="page">
                  <wp:posOffset>0</wp:posOffset>
                </wp:positionH>
                <wp:positionV relativeFrom="line">
                  <wp:posOffset>635</wp:posOffset>
                </wp:positionV>
                <wp:extent cx="6480175" cy="175895"/>
                <wp:effectExtent l="0" t="0" r="0" b="0"/>
                <wp:wrapNone/>
                <wp:docPr id="555" name="Frame5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1.15.Increase in Commitments and Incremental Commitments</w:t>
      </w:r>
      <w:r>
        <w:rPr>
          <w:rFonts w:ascii="Times New Roman;Times;serif" w:hAnsi="Times New Roman;Times;serif"/>
          <w:b w:val="false"/>
          <w:i w:val="false"/>
          <w:caps w:val="false"/>
          <w:smallCaps w:val="false"/>
          <w:color w:val="FF0000"/>
          <w:sz w:val="24"/>
          <w:shd w:fill="FFFFFF" w:val="clear"/>
        </w:rPr>
        <w:t>8</w:t>
      </w:r>
      <w:r>
        <w:rPr>
          <w:rFonts w:ascii="Times New Roman;Times;serif" w:hAnsi="Times New Roman;Times;serif"/>
          <w:b w:val="false"/>
          <w:i w:val="false"/>
          <w:caps w:val="false"/>
          <w:smallCaps w:val="false"/>
          <w:color w:val="0000FF"/>
          <w:sz w:val="24"/>
          <w:u w:val="single"/>
          <w:shd w:fill="FFFFFF" w:val="clear"/>
        </w:rPr>
        <w:t>9</w:t>
      </w:r>
      <w:r>
        <mc:AlternateContent>
          <mc:Choice Requires="wps">
            <w:drawing>
              <wp:anchor behindDoc="0" distT="0" distB="0" distL="0" distR="0" simplePos="0" locked="0" layoutInCell="1" allowOverlap="1" relativeHeight="557">
                <wp:simplePos x="0" y="0"/>
                <wp:positionH relativeFrom="page">
                  <wp:posOffset>0</wp:posOffset>
                </wp:positionH>
                <wp:positionV relativeFrom="line">
                  <wp:posOffset>635</wp:posOffset>
                </wp:positionV>
                <wp:extent cx="6480175" cy="175895"/>
                <wp:effectExtent l="0" t="0" r="0" b="0"/>
                <wp:wrapNone/>
                <wp:docPr id="556" name="Frame5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1.16.Reserved</w:t>
      </w:r>
      <w:r>
        <w:rPr>
          <w:rFonts w:ascii="Times New Roman;Times;serif" w:hAnsi="Times New Roman;Times;serif"/>
          <w:b w:val="false"/>
          <w:i w:val="false"/>
          <w:caps w:val="false"/>
          <w:smallCaps w:val="false"/>
          <w:color w:val="FF0000"/>
          <w:sz w:val="24"/>
          <w:shd w:fill="FFFFFF" w:val="clear"/>
        </w:rPr>
        <w:t>10</w:t>
      </w:r>
      <w:r>
        <w:rPr>
          <w:rFonts w:ascii="Times New Roman;Times;serif" w:hAnsi="Times New Roman;Times;serif"/>
          <w:b w:val="false"/>
          <w:i w:val="false"/>
          <w:caps w:val="false"/>
          <w:smallCaps w:val="false"/>
          <w:color w:val="0000FF"/>
          <w:sz w:val="24"/>
          <w:u w:val="single"/>
          <w:shd w:fill="FFFFFF" w:val="clear"/>
        </w:rPr>
        <w:t>11</w:t>
      </w:r>
      <w:r>
        <mc:AlternateContent>
          <mc:Choice Requires="wps">
            <w:drawing>
              <wp:anchor behindDoc="0" distT="0" distB="0" distL="0" distR="0" simplePos="0" locked="0" layoutInCell="1" allowOverlap="1" relativeHeight="558">
                <wp:simplePos x="0" y="0"/>
                <wp:positionH relativeFrom="page">
                  <wp:posOffset>0</wp:posOffset>
                </wp:positionH>
                <wp:positionV relativeFrom="line">
                  <wp:posOffset>635</wp:posOffset>
                </wp:positionV>
                <wp:extent cx="6480175" cy="175895"/>
                <wp:effectExtent l="0" t="0" r="0" b="0"/>
                <wp:wrapNone/>
                <wp:docPr id="557" name="Frame5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1.17.Reserved</w:t>
      </w:r>
      <w:r>
        <w:rPr>
          <w:rFonts w:ascii="Times New Roman;Times;serif" w:hAnsi="Times New Roman;Times;serif"/>
          <w:b w:val="false"/>
          <w:i w:val="false"/>
          <w:caps w:val="false"/>
          <w:smallCaps w:val="false"/>
          <w:color w:val="FF0000"/>
          <w:sz w:val="24"/>
          <w:shd w:fill="FFFFFF" w:val="clear"/>
        </w:rPr>
        <w:t>10</w:t>
      </w:r>
      <w:r>
        <w:rPr>
          <w:rFonts w:ascii="Times New Roman;Times;serif" w:hAnsi="Times New Roman;Times;serif"/>
          <w:b w:val="false"/>
          <w:i w:val="false"/>
          <w:caps w:val="false"/>
          <w:smallCaps w:val="false"/>
          <w:color w:val="0000FF"/>
          <w:sz w:val="24"/>
          <w:u w:val="single"/>
          <w:shd w:fill="FFFFFF" w:val="clear"/>
        </w:rPr>
        <w:t>11</w:t>
      </w:r>
      <w:r>
        <mc:AlternateContent>
          <mc:Choice Requires="wps">
            <w:drawing>
              <wp:anchor behindDoc="0" distT="0" distB="0" distL="0" distR="0" simplePos="0" locked="0" layoutInCell="1" allowOverlap="1" relativeHeight="559">
                <wp:simplePos x="0" y="0"/>
                <wp:positionH relativeFrom="page">
                  <wp:posOffset>0</wp:posOffset>
                </wp:positionH>
                <wp:positionV relativeFrom="line">
                  <wp:posOffset>635</wp:posOffset>
                </wp:positionV>
                <wp:extent cx="6480175" cy="175895"/>
                <wp:effectExtent l="0" t="0" r="0" b="0"/>
                <wp:wrapNone/>
                <wp:docPr id="558" name="Frame5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1.18.</w:t>
      </w:r>
      <w:r>
        <w:rPr>
          <w:rFonts w:ascii="Times New Roman;Times;serif" w:hAnsi="Times New Roman;Times;serif"/>
          <w:b w:val="false"/>
          <w:i w:val="false"/>
          <w:caps w:val="false"/>
          <w:smallCaps w:val="false"/>
          <w:color w:val="FF0000"/>
          <w:sz w:val="24"/>
          <w:u w:val="single"/>
          <w:shd w:fill="FFFFFF" w:val="clear"/>
        </w:rPr>
        <w:t>ESG Amendment</w:t>
      </w:r>
      <w:r>
        <w:rPr>
          <w:rFonts w:ascii="Times New Roman;Times;serif" w:hAnsi="Times New Roman;Times;serif"/>
          <w:b w:val="false"/>
          <w:i w:val="false"/>
          <w:caps w:val="false"/>
          <w:smallCaps w:val="false"/>
          <w:color w:val="FF0000"/>
          <w:sz w:val="24"/>
          <w:shd w:fill="FFFFFF" w:val="clear"/>
        </w:rPr>
        <w:t>10</w:t>
      </w:r>
      <w:r>
        <w:rPr>
          <w:rFonts w:ascii="Times New Roman;Times;serif" w:hAnsi="Times New Roman;Times;serif"/>
          <w:b w:val="false"/>
          <w:i w:val="false"/>
          <w:caps w:val="false"/>
          <w:smallCaps w:val="false"/>
          <w:color w:val="0000FF"/>
          <w:sz w:val="24"/>
          <w:u w:val="single"/>
          <w:shd w:fill="FFFFFF" w:val="clear"/>
        </w:rPr>
        <w:t>Reserved</w:t>
      </w:r>
      <w:r>
        <w:rPr>
          <w:rFonts w:ascii="Times New Roman;Times;serif" w:hAnsi="Times New Roman;Times;serif"/>
          <w:sz w:val="24"/>
          <w:shd w:fill="FFFFFF" w:val="clear"/>
        </w:rPr>
        <w:tab/>
      </w:r>
      <w:r>
        <w:rPr>
          <w:rFonts w:ascii="Times New Roman;Times;serif" w:hAnsi="Times New Roman;Times;serif"/>
          <w:b w:val="false"/>
          <w:i w:val="false"/>
          <w:caps w:val="false"/>
          <w:smallCaps w:val="false"/>
          <w:color w:val="0000FF"/>
          <w:sz w:val="24"/>
          <w:u w:val="single"/>
          <w:shd w:fill="FFFFFF" w:val="clear"/>
        </w:rPr>
        <w:t>11</w:t>
      </w:r>
      <w:r>
        <mc:AlternateContent>
          <mc:Choice Requires="wps">
            <w:drawing>
              <wp:anchor behindDoc="0" distT="0" distB="0" distL="0" distR="0" simplePos="0" locked="0" layoutInCell="1" allowOverlap="1" relativeHeight="560">
                <wp:simplePos x="0" y="0"/>
                <wp:positionH relativeFrom="page">
                  <wp:posOffset>0</wp:posOffset>
                </wp:positionH>
                <wp:positionV relativeFrom="line">
                  <wp:posOffset>635</wp:posOffset>
                </wp:positionV>
                <wp:extent cx="6480175" cy="175895"/>
                <wp:effectExtent l="0" t="0" r="0" b="0"/>
                <wp:wrapNone/>
                <wp:docPr id="559" name="Frame5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2.Fees</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561">
                <wp:simplePos x="0" y="0"/>
                <wp:positionH relativeFrom="page">
                  <wp:posOffset>0</wp:posOffset>
                </wp:positionH>
                <wp:positionV relativeFrom="line">
                  <wp:posOffset>635</wp:posOffset>
                </wp:positionV>
                <wp:extent cx="6480175" cy="175895"/>
                <wp:effectExtent l="0" t="0" r="0" b="0"/>
                <wp:wrapNone/>
                <wp:docPr id="560" name="Frame5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2.1.Fees</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562">
                <wp:simplePos x="0" y="0"/>
                <wp:positionH relativeFrom="page">
                  <wp:posOffset>0</wp:posOffset>
                </wp:positionH>
                <wp:positionV relativeFrom="line">
                  <wp:posOffset>635</wp:posOffset>
                </wp:positionV>
                <wp:extent cx="6480175" cy="175895"/>
                <wp:effectExtent l="0" t="0" r="0" b="0"/>
                <wp:wrapNone/>
                <wp:docPr id="561" name="Frame5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3.Place and Application of Payments</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563">
                <wp:simplePos x="0" y="0"/>
                <wp:positionH relativeFrom="page">
                  <wp:posOffset>0</wp:posOffset>
                </wp:positionH>
                <wp:positionV relativeFrom="line">
                  <wp:posOffset>635</wp:posOffset>
                </wp:positionV>
                <wp:extent cx="6480175" cy="175895"/>
                <wp:effectExtent l="0" t="0" r="0" b="0"/>
                <wp:wrapNone/>
                <wp:docPr id="562" name="Frame5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3.1.Place and Application of Payments</w:t>
      </w:r>
      <w:r>
        <w:rPr>
          <w:rFonts w:ascii="Times New Roman;Times;serif" w:hAnsi="Times New Roman;Times;serif"/>
          <w:b w:val="false"/>
          <w:i w:val="false"/>
          <w:caps w:val="false"/>
          <w:smallCaps w:val="false"/>
          <w:sz w:val="24"/>
          <w:shd w:fill="FFFFFF" w:val="clear"/>
        </w:rPr>
        <w:t>11</w:t>
      </w:r>
      <w:r>
        <mc:AlternateContent>
          <mc:Choice Requires="wps">
            <w:drawing>
              <wp:anchor behindDoc="0" distT="0" distB="0" distL="0" distR="0" simplePos="0" locked="0" layoutInCell="1" allowOverlap="1" relativeHeight="564">
                <wp:simplePos x="0" y="0"/>
                <wp:positionH relativeFrom="page">
                  <wp:posOffset>0</wp:posOffset>
                </wp:positionH>
                <wp:positionV relativeFrom="line">
                  <wp:posOffset>635</wp:posOffset>
                </wp:positionV>
                <wp:extent cx="6480175" cy="175895"/>
                <wp:effectExtent l="0" t="0" r="0" b="0"/>
                <wp:wrapNone/>
                <wp:docPr id="563" name="Frame5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4.Guaranties</w:t>
      </w:r>
      <w:r>
        <w:rPr>
          <w:rFonts w:ascii="Times New Roman;Times;serif" w:hAnsi="Times New Roman;Times;serif"/>
          <w:b w:val="false"/>
          <w:i w:val="false"/>
          <w:caps w:val="false"/>
          <w:smallCaps w:val="false"/>
          <w:sz w:val="24"/>
          <w:shd w:fill="FFFFFF" w:val="clear"/>
        </w:rPr>
        <w:t>12</w:t>
      </w:r>
      <w:r>
        <mc:AlternateContent>
          <mc:Choice Requires="wps">
            <w:drawing>
              <wp:anchor behindDoc="0" distT="0" distB="0" distL="0" distR="0" simplePos="0" locked="0" layoutInCell="1" allowOverlap="1" relativeHeight="565">
                <wp:simplePos x="0" y="0"/>
                <wp:positionH relativeFrom="page">
                  <wp:posOffset>0</wp:posOffset>
                </wp:positionH>
                <wp:positionV relativeFrom="line">
                  <wp:posOffset>635</wp:posOffset>
                </wp:positionV>
                <wp:extent cx="6480175" cy="175895"/>
                <wp:effectExtent l="0" t="0" r="0" b="0"/>
                <wp:wrapNone/>
                <wp:docPr id="564" name="Frame5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4.1.Guaranties</w:t>
      </w:r>
      <w:r>
        <w:rPr>
          <w:rFonts w:ascii="Times New Roman;Times;serif" w:hAnsi="Times New Roman;Times;serif"/>
          <w:b w:val="false"/>
          <w:i w:val="false"/>
          <w:caps w:val="false"/>
          <w:smallCaps w:val="false"/>
          <w:sz w:val="24"/>
          <w:shd w:fill="FFFFFF" w:val="clear"/>
        </w:rPr>
        <w:t>12</w:t>
      </w:r>
      <w:r>
        <mc:AlternateContent>
          <mc:Choice Requires="wps">
            <w:drawing>
              <wp:anchor behindDoc="0" distT="0" distB="0" distL="0" distR="0" simplePos="0" locked="0" layoutInCell="1" allowOverlap="1" relativeHeight="566">
                <wp:simplePos x="0" y="0"/>
                <wp:positionH relativeFrom="page">
                  <wp:posOffset>0</wp:posOffset>
                </wp:positionH>
                <wp:positionV relativeFrom="line">
                  <wp:posOffset>635</wp:posOffset>
                </wp:positionV>
                <wp:extent cx="6480175" cy="175895"/>
                <wp:effectExtent l="0" t="0" r="0" b="0"/>
                <wp:wrapNone/>
                <wp:docPr id="565" name="Frame5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4.2.Further Assurances</w:t>
      </w:r>
      <w:r>
        <w:rPr>
          <w:rFonts w:ascii="Times New Roman;Times;serif" w:hAnsi="Times New Roman;Times;serif"/>
          <w:b w:val="false"/>
          <w:i w:val="false"/>
          <w:caps w:val="false"/>
          <w:smallCaps w:val="false"/>
          <w:color w:val="FF0000"/>
          <w:sz w:val="24"/>
          <w:shd w:fill="FFFFFF" w:val="clear"/>
        </w:rPr>
        <w:t>13</w:t>
      </w:r>
      <w:r>
        <w:rPr>
          <w:rFonts w:ascii="Times New Roman;Times;serif" w:hAnsi="Times New Roman;Times;serif"/>
          <w:b w:val="false"/>
          <w:i w:val="false"/>
          <w:caps w:val="false"/>
          <w:smallCaps w:val="false"/>
          <w:color w:val="0000FF"/>
          <w:sz w:val="24"/>
          <w:u w:val="single"/>
          <w:shd w:fill="FFFFFF" w:val="clear"/>
        </w:rPr>
        <w:t>12</w:t>
      </w:r>
      <w:r>
        <mc:AlternateContent>
          <mc:Choice Requires="wps">
            <w:drawing>
              <wp:anchor behindDoc="0" distT="0" distB="0" distL="0" distR="0" simplePos="0" locked="0" layoutInCell="1" allowOverlap="1" relativeHeight="567">
                <wp:simplePos x="0" y="0"/>
                <wp:positionH relativeFrom="page">
                  <wp:posOffset>0</wp:posOffset>
                </wp:positionH>
                <wp:positionV relativeFrom="line">
                  <wp:posOffset>635</wp:posOffset>
                </wp:positionV>
                <wp:extent cx="6480175" cy="175895"/>
                <wp:effectExtent l="0" t="0" r="0" b="0"/>
                <wp:wrapNone/>
                <wp:docPr id="566" name="Frame5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5.Definitions; Interpretation</w:t>
      </w:r>
      <w:r>
        <w:rPr>
          <w:rFonts w:ascii="Times New Roman;Times;serif" w:hAnsi="Times New Roman;Times;serif"/>
          <w:b w:val="false"/>
          <w:i w:val="false"/>
          <w:caps w:val="false"/>
          <w:smallCaps w:val="false"/>
          <w:color w:val="FF0000"/>
          <w:sz w:val="24"/>
          <w:shd w:fill="FFFFFF" w:val="clear"/>
        </w:rPr>
        <w:t>13</w:t>
      </w:r>
      <w:r>
        <w:rPr>
          <w:rFonts w:ascii="Times New Roman;Times;serif" w:hAnsi="Times New Roman;Times;serif"/>
          <w:b w:val="false"/>
          <w:i w:val="false"/>
          <w:caps w:val="false"/>
          <w:smallCaps w:val="false"/>
          <w:color w:val="0000FF"/>
          <w:sz w:val="24"/>
          <w:u w:val="single"/>
          <w:shd w:fill="FFFFFF" w:val="clear"/>
        </w:rPr>
        <w:t>12</w:t>
      </w:r>
      <w:r>
        <mc:AlternateContent>
          <mc:Choice Requires="wps">
            <w:drawing>
              <wp:anchor behindDoc="0" distT="0" distB="0" distL="0" distR="0" simplePos="0" locked="0" layoutInCell="1" allowOverlap="1" relativeHeight="568">
                <wp:simplePos x="0" y="0"/>
                <wp:positionH relativeFrom="page">
                  <wp:posOffset>0</wp:posOffset>
                </wp:positionH>
                <wp:positionV relativeFrom="line">
                  <wp:posOffset>635</wp:posOffset>
                </wp:positionV>
                <wp:extent cx="6480175" cy="175895"/>
                <wp:effectExtent l="0" t="0" r="0" b="0"/>
                <wp:wrapNone/>
                <wp:docPr id="567" name="Frame5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5.1.Definitions</w:t>
      </w:r>
      <w:r>
        <w:rPr>
          <w:rFonts w:ascii="Times New Roman;Times;serif" w:hAnsi="Times New Roman;Times;serif"/>
          <w:b w:val="false"/>
          <w:i w:val="false"/>
          <w:caps w:val="false"/>
          <w:smallCaps w:val="false"/>
          <w:sz w:val="24"/>
          <w:shd w:fill="FFFFFF" w:val="clear"/>
        </w:rPr>
        <w:t>13</w:t>
      </w:r>
      <w:r>
        <mc:AlternateContent>
          <mc:Choice Requires="wps">
            <w:drawing>
              <wp:anchor behindDoc="0" distT="0" distB="0" distL="0" distR="0" simplePos="0" locked="0" layoutInCell="1" allowOverlap="1" relativeHeight="569">
                <wp:simplePos x="0" y="0"/>
                <wp:positionH relativeFrom="page">
                  <wp:posOffset>0</wp:posOffset>
                </wp:positionH>
                <wp:positionV relativeFrom="line">
                  <wp:posOffset>635</wp:posOffset>
                </wp:positionV>
                <wp:extent cx="6480175" cy="175895"/>
                <wp:effectExtent l="0" t="0" r="0" b="0"/>
                <wp:wrapNone/>
                <wp:docPr id="568" name="Frame5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5.2.Interpretation</w:t>
      </w:r>
      <w:r>
        <w:rPr>
          <w:rFonts w:ascii="Times New Roman;Times;serif" w:hAnsi="Times New Roman;Times;serif"/>
          <w:b w:val="false"/>
          <w:i w:val="false"/>
          <w:caps w:val="false"/>
          <w:smallCaps w:val="false"/>
          <w:color w:val="FF0000"/>
          <w:sz w:val="24"/>
          <w:shd w:fill="FFFFFF" w:val="clear"/>
        </w:rPr>
        <w:t>47</w:t>
      </w:r>
      <w:r>
        <w:rPr>
          <w:rFonts w:ascii="Times New Roman;Times;serif" w:hAnsi="Times New Roman;Times;serif"/>
          <w:b w:val="false"/>
          <w:i w:val="false"/>
          <w:caps w:val="false"/>
          <w:smallCaps w:val="false"/>
          <w:color w:val="0000FF"/>
          <w:sz w:val="24"/>
          <w:u w:val="single"/>
          <w:shd w:fill="FFFFFF" w:val="clear"/>
        </w:rPr>
        <w:t>50</w:t>
      </w:r>
      <w:r>
        <mc:AlternateContent>
          <mc:Choice Requires="wps">
            <w:drawing>
              <wp:anchor behindDoc="0" distT="0" distB="0" distL="0" distR="0" simplePos="0" locked="0" layoutInCell="1" allowOverlap="1" relativeHeight="570">
                <wp:simplePos x="0" y="0"/>
                <wp:positionH relativeFrom="page">
                  <wp:posOffset>0</wp:posOffset>
                </wp:positionH>
                <wp:positionV relativeFrom="line">
                  <wp:posOffset>635</wp:posOffset>
                </wp:positionV>
                <wp:extent cx="6480175" cy="175895"/>
                <wp:effectExtent l="0" t="0" r="0" b="0"/>
                <wp:wrapNone/>
                <wp:docPr id="569" name="Frame5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5.3.Change in Accounting Principles</w:t>
      </w:r>
      <w:r>
        <w:rPr>
          <w:rFonts w:ascii="Times New Roman;Times;serif" w:hAnsi="Times New Roman;Times;serif"/>
          <w:b w:val="false"/>
          <w:i w:val="false"/>
          <w:caps w:val="false"/>
          <w:smallCaps w:val="false"/>
          <w:color w:val="FF0000"/>
          <w:sz w:val="24"/>
          <w:shd w:fill="FFFFFF" w:val="clear"/>
        </w:rPr>
        <w:t>47</w:t>
      </w:r>
      <w:r>
        <w:rPr>
          <w:rFonts w:ascii="Times New Roman;Times;serif" w:hAnsi="Times New Roman;Times;serif"/>
          <w:b w:val="false"/>
          <w:i w:val="false"/>
          <w:caps w:val="false"/>
          <w:smallCaps w:val="false"/>
          <w:color w:val="0000FF"/>
          <w:sz w:val="24"/>
          <w:u w:val="single"/>
          <w:shd w:fill="FFFFFF" w:val="clear"/>
        </w:rPr>
        <w:t>50</w:t>
      </w:r>
      <w:r>
        <mc:AlternateContent>
          <mc:Choice Requires="wps">
            <w:drawing>
              <wp:anchor behindDoc="0" distT="0" distB="0" distL="0" distR="0" simplePos="0" locked="0" layoutInCell="1" allowOverlap="1" relativeHeight="571">
                <wp:simplePos x="0" y="0"/>
                <wp:positionH relativeFrom="page">
                  <wp:posOffset>0</wp:posOffset>
                </wp:positionH>
                <wp:positionV relativeFrom="line">
                  <wp:posOffset>635</wp:posOffset>
                </wp:positionV>
                <wp:extent cx="6480175" cy="175895"/>
                <wp:effectExtent l="0" t="0" r="0" b="0"/>
                <wp:wrapNone/>
                <wp:docPr id="570" name="Frame5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5.4.Divisions</w:t>
      </w:r>
      <w:r>
        <w:rPr>
          <w:rFonts w:ascii="Times New Roman;Times;serif" w:hAnsi="Times New Roman;Times;serif"/>
          <w:b w:val="false"/>
          <w:i w:val="false"/>
          <w:caps w:val="false"/>
          <w:smallCaps w:val="false"/>
          <w:color w:val="FF0000"/>
          <w:sz w:val="24"/>
          <w:shd w:fill="FFFFFF" w:val="clear"/>
        </w:rPr>
        <w:t>47</w:t>
      </w:r>
      <w:r>
        <w:rPr>
          <w:rFonts w:ascii="Times New Roman;Times;serif" w:hAnsi="Times New Roman;Times;serif"/>
          <w:b w:val="false"/>
          <w:i w:val="false"/>
          <w:caps w:val="false"/>
          <w:smallCaps w:val="false"/>
          <w:color w:val="0000FF"/>
          <w:sz w:val="24"/>
          <w:u w:val="single"/>
          <w:shd w:fill="FFFFFF" w:val="clear"/>
        </w:rPr>
        <w:t>50</w:t>
      </w:r>
      <w:r>
        <mc:AlternateContent>
          <mc:Choice Requires="wps">
            <w:drawing>
              <wp:anchor behindDoc="0" distT="0" distB="0" distL="0" distR="0" simplePos="0" locked="0" layoutInCell="1" allowOverlap="1" relativeHeight="572">
                <wp:simplePos x="0" y="0"/>
                <wp:positionH relativeFrom="page">
                  <wp:posOffset>0</wp:posOffset>
                </wp:positionH>
                <wp:positionV relativeFrom="line">
                  <wp:posOffset>635</wp:posOffset>
                </wp:positionV>
                <wp:extent cx="6480175" cy="175895"/>
                <wp:effectExtent l="0" t="0" r="0" b="0"/>
                <wp:wrapNone/>
                <wp:docPr id="571" name="Frame5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5.5.Interest Rates</w:t>
      </w:r>
      <w:r>
        <w:rPr>
          <w:rFonts w:ascii="Times New Roman;Times;serif" w:hAnsi="Times New Roman;Times;serif"/>
          <w:b w:val="false"/>
          <w:i w:val="false"/>
          <w:caps w:val="false"/>
          <w:smallCaps w:val="false"/>
          <w:color w:val="FF0000"/>
          <w:sz w:val="24"/>
          <w:shd w:fill="FFFFFF" w:val="clear"/>
        </w:rPr>
        <w:t>48</w:t>
      </w:r>
      <w:r>
        <w:rPr>
          <w:rFonts w:ascii="Times New Roman;Times;serif" w:hAnsi="Times New Roman;Times;serif"/>
          <w:b w:val="false"/>
          <w:i w:val="false"/>
          <w:caps w:val="false"/>
          <w:smallCaps w:val="false"/>
          <w:color w:val="0000FF"/>
          <w:sz w:val="24"/>
          <w:u w:val="single"/>
          <w:shd w:fill="FFFFFF" w:val="clear"/>
        </w:rPr>
        <w:t>51</w:t>
      </w:r>
      <w:r>
        <mc:AlternateContent>
          <mc:Choice Requires="wps">
            <w:drawing>
              <wp:anchor behindDoc="0" distT="0" distB="0" distL="0" distR="0" simplePos="0" locked="0" layoutInCell="1" allowOverlap="1" relativeHeight="573">
                <wp:simplePos x="0" y="0"/>
                <wp:positionH relativeFrom="page">
                  <wp:posOffset>0</wp:posOffset>
                </wp:positionH>
                <wp:positionV relativeFrom="line">
                  <wp:posOffset>635</wp:posOffset>
                </wp:positionV>
                <wp:extent cx="6480175" cy="175895"/>
                <wp:effectExtent l="0" t="0" r="0" b="0"/>
                <wp:wrapNone/>
                <wp:docPr id="572" name="Frame5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6.Representations and Warranties</w:t>
      </w:r>
      <w:r>
        <w:rPr>
          <w:rFonts w:ascii="Times New Roman;Times;serif" w:hAnsi="Times New Roman;Times;serif"/>
          <w:b w:val="false"/>
          <w:i w:val="false"/>
          <w:caps w:val="false"/>
          <w:smallCaps w:val="false"/>
          <w:color w:val="FF0000"/>
          <w:sz w:val="24"/>
          <w:shd w:fill="FFFFFF" w:val="clear"/>
        </w:rPr>
        <w:t>48</w:t>
      </w:r>
      <w:r>
        <w:rPr>
          <w:rFonts w:ascii="Times New Roman;Times;serif" w:hAnsi="Times New Roman;Times;serif"/>
          <w:b w:val="false"/>
          <w:i w:val="false"/>
          <w:caps w:val="false"/>
          <w:smallCaps w:val="false"/>
          <w:color w:val="0000FF"/>
          <w:sz w:val="24"/>
          <w:u w:val="single"/>
          <w:shd w:fill="FFFFFF" w:val="clear"/>
        </w:rPr>
        <w:t>51</w:t>
      </w:r>
      <w:r>
        <mc:AlternateContent>
          <mc:Choice Requires="wps">
            <w:drawing>
              <wp:anchor behindDoc="0" distT="0" distB="0" distL="0" distR="0" simplePos="0" locked="0" layoutInCell="1" allowOverlap="1" relativeHeight="574">
                <wp:simplePos x="0" y="0"/>
                <wp:positionH relativeFrom="page">
                  <wp:posOffset>0</wp:posOffset>
                </wp:positionH>
                <wp:positionV relativeFrom="line">
                  <wp:posOffset>635</wp:posOffset>
                </wp:positionV>
                <wp:extent cx="6480175" cy="175895"/>
                <wp:effectExtent l="0" t="0" r="0" b="0"/>
                <wp:wrapNone/>
                <wp:docPr id="573" name="Frame5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6.1.Organization and Qualification</w:t>
      </w:r>
      <w:r>
        <w:rPr>
          <w:rFonts w:ascii="Times New Roman;Times;serif" w:hAnsi="Times New Roman;Times;serif"/>
          <w:b w:val="false"/>
          <w:i w:val="false"/>
          <w:caps w:val="false"/>
          <w:smallCaps w:val="false"/>
          <w:color w:val="FF0000"/>
          <w:sz w:val="24"/>
          <w:shd w:fill="FFFFFF" w:val="clear"/>
        </w:rPr>
        <w:t>48</w:t>
      </w:r>
      <w:r>
        <w:rPr>
          <w:rFonts w:ascii="Times New Roman;Times;serif" w:hAnsi="Times New Roman;Times;serif"/>
          <w:b w:val="false"/>
          <w:i w:val="false"/>
          <w:caps w:val="false"/>
          <w:smallCaps w:val="false"/>
          <w:color w:val="0000FF"/>
          <w:sz w:val="24"/>
          <w:u w:val="single"/>
          <w:shd w:fill="FFFFFF" w:val="clear"/>
        </w:rPr>
        <w:t>51</w:t>
      </w:r>
      <w:r>
        <mc:AlternateContent>
          <mc:Choice Requires="wps">
            <w:drawing>
              <wp:anchor behindDoc="0" distT="0" distB="0" distL="0" distR="0" simplePos="0" locked="0" layoutInCell="1" allowOverlap="1" relativeHeight="575">
                <wp:simplePos x="0" y="0"/>
                <wp:positionH relativeFrom="page">
                  <wp:posOffset>0</wp:posOffset>
                </wp:positionH>
                <wp:positionV relativeFrom="line">
                  <wp:posOffset>635</wp:posOffset>
                </wp:positionV>
                <wp:extent cx="6480175" cy="175895"/>
                <wp:effectExtent l="0" t="0" r="0" b="0"/>
                <wp:wrapNone/>
                <wp:docPr id="574" name="Frame5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6.2.Subsidiaries</w:t>
      </w:r>
      <w:r>
        <w:rPr>
          <w:rFonts w:ascii="Times New Roman;Times;serif" w:hAnsi="Times New Roman;Times;serif"/>
          <w:b w:val="false"/>
          <w:i w:val="false"/>
          <w:caps w:val="false"/>
          <w:smallCaps w:val="false"/>
          <w:color w:val="FF0000"/>
          <w:sz w:val="24"/>
          <w:shd w:fill="FFFFFF" w:val="clear"/>
        </w:rPr>
        <w:t>49</w:t>
      </w:r>
      <w:r>
        <w:rPr>
          <w:rFonts w:ascii="Times New Roman;Times;serif" w:hAnsi="Times New Roman;Times;serif"/>
          <w:b w:val="false"/>
          <w:i w:val="false"/>
          <w:caps w:val="false"/>
          <w:smallCaps w:val="false"/>
          <w:color w:val="0000FF"/>
          <w:sz w:val="24"/>
          <w:u w:val="single"/>
          <w:shd w:fill="FFFFFF" w:val="clear"/>
        </w:rPr>
        <w:t>52</w:t>
      </w:r>
      <w:r>
        <mc:AlternateContent>
          <mc:Choice Requires="wps">
            <w:drawing>
              <wp:anchor behindDoc="0" distT="0" distB="0" distL="0" distR="0" simplePos="0" locked="0" layoutInCell="1" allowOverlap="1" relativeHeight="576">
                <wp:simplePos x="0" y="0"/>
                <wp:positionH relativeFrom="page">
                  <wp:posOffset>0</wp:posOffset>
                </wp:positionH>
                <wp:positionV relativeFrom="line">
                  <wp:posOffset>635</wp:posOffset>
                </wp:positionV>
                <wp:extent cx="6480175" cy="175895"/>
                <wp:effectExtent l="0" t="0" r="0" b="0"/>
                <wp:wrapNone/>
                <wp:docPr id="575" name="Frame5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6.3.Authority and Validity of Obligations</w:t>
      </w:r>
      <w:r>
        <w:rPr>
          <w:rFonts w:ascii="Times New Roman;Times;serif" w:hAnsi="Times New Roman;Times;serif"/>
          <w:b w:val="false"/>
          <w:i w:val="false"/>
          <w:caps w:val="false"/>
          <w:smallCaps w:val="false"/>
          <w:color w:val="FF0000"/>
          <w:sz w:val="24"/>
          <w:shd w:fill="FFFFFF" w:val="clear"/>
        </w:rPr>
        <w:t>49</w:t>
      </w:r>
      <w:r>
        <w:rPr>
          <w:rFonts w:ascii="Times New Roman;Times;serif" w:hAnsi="Times New Roman;Times;serif"/>
          <w:b w:val="false"/>
          <w:i w:val="false"/>
          <w:caps w:val="false"/>
          <w:smallCaps w:val="false"/>
          <w:color w:val="0000FF"/>
          <w:sz w:val="24"/>
          <w:u w:val="single"/>
          <w:shd w:fill="FFFFFF" w:val="clear"/>
        </w:rPr>
        <w:t>52</w:t>
      </w:r>
      <w:r>
        <mc:AlternateContent>
          <mc:Choice Requires="wps">
            <w:drawing>
              <wp:anchor behindDoc="0" distT="0" distB="0" distL="0" distR="0" simplePos="0" locked="0" layoutInCell="1" allowOverlap="1" relativeHeight="577">
                <wp:simplePos x="0" y="0"/>
                <wp:positionH relativeFrom="page">
                  <wp:posOffset>0</wp:posOffset>
                </wp:positionH>
                <wp:positionV relativeFrom="line">
                  <wp:posOffset>635</wp:posOffset>
                </wp:positionV>
                <wp:extent cx="6480175" cy="175895"/>
                <wp:effectExtent l="0" t="0" r="0" b="0"/>
                <wp:wrapNone/>
                <wp:docPr id="576" name="Frame5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6.4.Use of Proceeds; Margin Stock</w:t>
      </w:r>
      <w:r>
        <w:rPr>
          <w:rFonts w:ascii="Times New Roman;Times;serif" w:hAnsi="Times New Roman;Times;serif"/>
          <w:b w:val="false"/>
          <w:i w:val="false"/>
          <w:caps w:val="false"/>
          <w:smallCaps w:val="false"/>
          <w:color w:val="FF0000"/>
          <w:sz w:val="24"/>
          <w:shd w:fill="FFFFFF" w:val="clear"/>
        </w:rPr>
        <w:t>50</w:t>
      </w:r>
      <w:r>
        <w:rPr>
          <w:rFonts w:ascii="Times New Roman;Times;serif" w:hAnsi="Times New Roman;Times;serif"/>
          <w:b w:val="false"/>
          <w:i w:val="false"/>
          <w:caps w:val="false"/>
          <w:smallCaps w:val="false"/>
          <w:color w:val="0000FF"/>
          <w:sz w:val="24"/>
          <w:u w:val="single"/>
          <w:shd w:fill="FFFFFF" w:val="clear"/>
        </w:rPr>
        <w:t>53</w:t>
      </w:r>
      <w:r>
        <mc:AlternateContent>
          <mc:Choice Requires="wps">
            <w:drawing>
              <wp:anchor behindDoc="0" distT="0" distB="0" distL="0" distR="0" simplePos="0" locked="0" layoutInCell="1" allowOverlap="1" relativeHeight="578">
                <wp:simplePos x="0" y="0"/>
                <wp:positionH relativeFrom="page">
                  <wp:posOffset>0</wp:posOffset>
                </wp:positionH>
                <wp:positionV relativeFrom="line">
                  <wp:posOffset>635</wp:posOffset>
                </wp:positionV>
                <wp:extent cx="6480175" cy="175895"/>
                <wp:effectExtent l="0" t="0" r="0" b="0"/>
                <wp:wrapNone/>
                <wp:docPr id="577" name="Frame5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6.5.Financial Reports</w:t>
      </w:r>
      <w:r>
        <w:rPr>
          <w:rFonts w:ascii="Times New Roman;Times;serif" w:hAnsi="Times New Roman;Times;serif"/>
          <w:b w:val="false"/>
          <w:i w:val="false"/>
          <w:caps w:val="false"/>
          <w:smallCaps w:val="false"/>
          <w:color w:val="FF0000"/>
          <w:sz w:val="24"/>
          <w:shd w:fill="FFFFFF" w:val="clear"/>
        </w:rPr>
        <w:t>50</w:t>
      </w:r>
      <w:r>
        <w:rPr>
          <w:rFonts w:ascii="Times New Roman;Times;serif" w:hAnsi="Times New Roman;Times;serif"/>
          <w:b w:val="false"/>
          <w:i w:val="false"/>
          <w:caps w:val="false"/>
          <w:smallCaps w:val="false"/>
          <w:color w:val="0000FF"/>
          <w:sz w:val="24"/>
          <w:u w:val="single"/>
          <w:shd w:fill="FFFFFF" w:val="clear"/>
        </w:rPr>
        <w:t>53</w:t>
      </w:r>
      <w:r>
        <mc:AlternateContent>
          <mc:Choice Requires="wps">
            <w:drawing>
              <wp:anchor behindDoc="0" distT="0" distB="0" distL="0" distR="0" simplePos="0" locked="0" layoutInCell="1" allowOverlap="1" relativeHeight="579">
                <wp:simplePos x="0" y="0"/>
                <wp:positionH relativeFrom="page">
                  <wp:posOffset>0</wp:posOffset>
                </wp:positionH>
                <wp:positionV relativeFrom="line">
                  <wp:posOffset>635</wp:posOffset>
                </wp:positionV>
                <wp:extent cx="6480175" cy="175895"/>
                <wp:effectExtent l="0" t="0" r="0" b="0"/>
                <wp:wrapNone/>
                <wp:docPr id="578" name="Frame5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6.6.No Material Adverse Effect</w:t>
      </w:r>
      <w:r>
        <w:rPr>
          <w:rFonts w:ascii="Times New Roman;Times;serif" w:hAnsi="Times New Roman;Times;serif"/>
          <w:b w:val="false"/>
          <w:i w:val="false"/>
          <w:caps w:val="false"/>
          <w:smallCaps w:val="false"/>
          <w:color w:val="FF0000"/>
          <w:sz w:val="24"/>
          <w:shd w:fill="FFFFFF" w:val="clear"/>
        </w:rPr>
        <w:t>50</w:t>
      </w:r>
      <w:r>
        <w:rPr>
          <w:rFonts w:ascii="Times New Roman;Times;serif" w:hAnsi="Times New Roman;Times;serif"/>
          <w:b w:val="false"/>
          <w:i w:val="false"/>
          <w:caps w:val="false"/>
          <w:smallCaps w:val="false"/>
          <w:color w:val="0000FF"/>
          <w:sz w:val="24"/>
          <w:u w:val="single"/>
          <w:shd w:fill="FFFFFF" w:val="clear"/>
        </w:rPr>
        <w:t>53</w:t>
      </w:r>
      <w:r>
        <mc:AlternateContent>
          <mc:Choice Requires="wps">
            <w:drawing>
              <wp:anchor behindDoc="0" distT="0" distB="0" distL="0" distR="0" simplePos="0" locked="0" layoutInCell="1" allowOverlap="1" relativeHeight="580">
                <wp:simplePos x="0" y="0"/>
                <wp:positionH relativeFrom="page">
                  <wp:posOffset>0</wp:posOffset>
                </wp:positionH>
                <wp:positionV relativeFrom="line">
                  <wp:posOffset>635</wp:posOffset>
                </wp:positionV>
                <wp:extent cx="6480175" cy="175895"/>
                <wp:effectExtent l="0" t="0" r="0" b="0"/>
                <wp:wrapNone/>
                <wp:docPr id="579" name="Frame5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6.7.Full Disclosure</w:t>
      </w:r>
      <w:r>
        <w:rPr>
          <w:rFonts w:ascii="Times New Roman;Times;serif" w:hAnsi="Times New Roman;Times;serif"/>
          <w:b w:val="false"/>
          <w:i w:val="false"/>
          <w:caps w:val="false"/>
          <w:smallCaps w:val="false"/>
          <w:color w:val="FF0000"/>
          <w:sz w:val="24"/>
          <w:shd w:fill="FFFFFF" w:val="clear"/>
        </w:rPr>
        <w:t>50</w:t>
      </w:r>
      <w:r>
        <w:rPr>
          <w:rFonts w:ascii="Times New Roman;Times;serif" w:hAnsi="Times New Roman;Times;serif"/>
          <w:b w:val="false"/>
          <w:i w:val="false"/>
          <w:caps w:val="false"/>
          <w:smallCaps w:val="false"/>
          <w:color w:val="0000FF"/>
          <w:sz w:val="24"/>
          <w:u w:val="single"/>
          <w:shd w:fill="FFFFFF" w:val="clear"/>
        </w:rPr>
        <w:t>53</w:t>
      </w:r>
      <w:r>
        <mc:AlternateContent>
          <mc:Choice Requires="wps">
            <w:drawing>
              <wp:anchor behindDoc="0" distT="0" distB="0" distL="0" distR="0" simplePos="0" locked="0" layoutInCell="1" allowOverlap="1" relativeHeight="581">
                <wp:simplePos x="0" y="0"/>
                <wp:positionH relativeFrom="page">
                  <wp:posOffset>0</wp:posOffset>
                </wp:positionH>
                <wp:positionV relativeFrom="line">
                  <wp:posOffset>635</wp:posOffset>
                </wp:positionV>
                <wp:extent cx="6480175" cy="175895"/>
                <wp:effectExtent l="0" t="0" r="0" b="0"/>
                <wp:wrapNone/>
                <wp:docPr id="580" name="Frame5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6.8.Trademarks, Franchises, and Licenses</w:t>
      </w:r>
      <w:r>
        <w:rPr>
          <w:rFonts w:ascii="Times New Roman;Times;serif" w:hAnsi="Times New Roman;Times;serif"/>
          <w:b w:val="false"/>
          <w:i w:val="false"/>
          <w:caps w:val="false"/>
          <w:smallCaps w:val="false"/>
          <w:color w:val="FF0000"/>
          <w:sz w:val="24"/>
          <w:shd w:fill="FFFFFF" w:val="clear"/>
        </w:rPr>
        <w:t>51</w:t>
      </w:r>
      <w:r>
        <w:rPr>
          <w:rFonts w:ascii="Times New Roman;Times;serif" w:hAnsi="Times New Roman;Times;serif"/>
          <w:b w:val="false"/>
          <w:i w:val="false"/>
          <w:caps w:val="false"/>
          <w:smallCaps w:val="false"/>
          <w:color w:val="0000FF"/>
          <w:sz w:val="24"/>
          <w:u w:val="single"/>
          <w:shd w:fill="FFFFFF" w:val="clear"/>
        </w:rPr>
        <w:t>54</w:t>
      </w:r>
      <w:r>
        <mc:AlternateContent>
          <mc:Choice Requires="wps">
            <w:drawing>
              <wp:anchor behindDoc="0" distT="0" distB="0" distL="0" distR="0" simplePos="0" locked="0" layoutInCell="1" allowOverlap="1" relativeHeight="582">
                <wp:simplePos x="0" y="0"/>
                <wp:positionH relativeFrom="page">
                  <wp:posOffset>0</wp:posOffset>
                </wp:positionH>
                <wp:positionV relativeFrom="line">
                  <wp:posOffset>635</wp:posOffset>
                </wp:positionV>
                <wp:extent cx="6480175" cy="175895"/>
                <wp:effectExtent l="0" t="0" r="0" b="0"/>
                <wp:wrapNone/>
                <wp:docPr id="581" name="Frame5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6.9.Governmental Authority and Licensing</w:t>
      </w:r>
      <w:r>
        <w:rPr>
          <w:rFonts w:ascii="Times New Roman;Times;serif" w:hAnsi="Times New Roman;Times;serif"/>
          <w:b w:val="false"/>
          <w:i w:val="false"/>
          <w:caps w:val="false"/>
          <w:smallCaps w:val="false"/>
          <w:color w:val="FF0000"/>
          <w:sz w:val="24"/>
          <w:shd w:fill="FFFFFF" w:val="clear"/>
        </w:rPr>
        <w:t>51</w:t>
      </w:r>
      <w:r>
        <w:rPr>
          <w:rFonts w:ascii="Times New Roman;Times;serif" w:hAnsi="Times New Roman;Times;serif"/>
          <w:b w:val="false"/>
          <w:i w:val="false"/>
          <w:caps w:val="false"/>
          <w:smallCaps w:val="false"/>
          <w:color w:val="0000FF"/>
          <w:sz w:val="24"/>
          <w:u w:val="single"/>
          <w:shd w:fill="FFFFFF" w:val="clear"/>
        </w:rPr>
        <w:t>54</w:t>
      </w:r>
      <w:r>
        <mc:AlternateContent>
          <mc:Choice Requires="wps">
            <w:drawing>
              <wp:anchor behindDoc="0" distT="0" distB="0" distL="0" distR="0" simplePos="0" locked="0" layoutInCell="1" allowOverlap="1" relativeHeight="583">
                <wp:simplePos x="0" y="0"/>
                <wp:positionH relativeFrom="page">
                  <wp:posOffset>0</wp:posOffset>
                </wp:positionH>
                <wp:positionV relativeFrom="line">
                  <wp:posOffset>635</wp:posOffset>
                </wp:positionV>
                <wp:extent cx="6480175" cy="175895"/>
                <wp:effectExtent l="0" t="0" r="0" b="0"/>
                <wp:wrapNone/>
                <wp:docPr id="582" name="Frame5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6.10.Good Title</w:t>
      </w:r>
      <w:r>
        <w:rPr>
          <w:rFonts w:ascii="Times New Roman;Times;serif" w:hAnsi="Times New Roman;Times;serif"/>
          <w:b w:val="false"/>
          <w:i w:val="false"/>
          <w:caps w:val="false"/>
          <w:smallCaps w:val="false"/>
          <w:color w:val="FF0000"/>
          <w:sz w:val="24"/>
          <w:shd w:fill="FFFFFF" w:val="clear"/>
        </w:rPr>
        <w:t>51</w:t>
      </w:r>
      <w:r>
        <w:rPr>
          <w:rFonts w:ascii="Times New Roman;Times;serif" w:hAnsi="Times New Roman;Times;serif"/>
          <w:b w:val="false"/>
          <w:i w:val="false"/>
          <w:caps w:val="false"/>
          <w:smallCaps w:val="false"/>
          <w:color w:val="0000FF"/>
          <w:sz w:val="24"/>
          <w:u w:val="single"/>
          <w:shd w:fill="FFFFFF" w:val="clear"/>
        </w:rPr>
        <w:t>54</w:t>
      </w:r>
      <w:r>
        <mc:AlternateContent>
          <mc:Choice Requires="wps">
            <w:drawing>
              <wp:anchor behindDoc="0" distT="0" distB="0" distL="0" distR="0" simplePos="0" locked="0" layoutInCell="1" allowOverlap="1" relativeHeight="584">
                <wp:simplePos x="0" y="0"/>
                <wp:positionH relativeFrom="page">
                  <wp:posOffset>0</wp:posOffset>
                </wp:positionH>
                <wp:positionV relativeFrom="line">
                  <wp:posOffset>635</wp:posOffset>
                </wp:positionV>
                <wp:extent cx="6480175" cy="175895"/>
                <wp:effectExtent l="0" t="0" r="0" b="0"/>
                <wp:wrapNone/>
                <wp:docPr id="583" name="Frame5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6.11.Litigation and Other Controversies</w:t>
      </w:r>
      <w:r>
        <w:rPr>
          <w:rFonts w:ascii="Times New Roman;Times;serif" w:hAnsi="Times New Roman;Times;serif"/>
          <w:b w:val="false"/>
          <w:i w:val="false"/>
          <w:caps w:val="false"/>
          <w:smallCaps w:val="false"/>
          <w:color w:val="FF0000"/>
          <w:sz w:val="24"/>
          <w:shd w:fill="FFFFFF" w:val="clear"/>
        </w:rPr>
        <w:t>51</w:t>
      </w:r>
      <w:r>
        <w:rPr>
          <w:rFonts w:ascii="Times New Roman;Times;serif" w:hAnsi="Times New Roman;Times;serif"/>
          <w:b w:val="false"/>
          <w:i w:val="false"/>
          <w:caps w:val="false"/>
          <w:smallCaps w:val="false"/>
          <w:color w:val="0000FF"/>
          <w:sz w:val="24"/>
          <w:u w:val="single"/>
          <w:shd w:fill="FFFFFF" w:val="clear"/>
        </w:rPr>
        <w:t>54</w:t>
      </w:r>
      <w:r>
        <mc:AlternateContent>
          <mc:Choice Requires="wps">
            <w:drawing>
              <wp:anchor behindDoc="0" distT="0" distB="0" distL="0" distR="0" simplePos="0" locked="0" layoutInCell="1" allowOverlap="1" relativeHeight="585">
                <wp:simplePos x="0" y="0"/>
                <wp:positionH relativeFrom="page">
                  <wp:posOffset>0</wp:posOffset>
                </wp:positionH>
                <wp:positionV relativeFrom="line">
                  <wp:posOffset>635</wp:posOffset>
                </wp:positionV>
                <wp:extent cx="6480175" cy="175895"/>
                <wp:effectExtent l="0" t="0" r="0" b="0"/>
                <wp:wrapNone/>
                <wp:docPr id="584" name="Frame5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6.12.Taxes</w:t>
      </w:r>
      <w:r>
        <w:rPr>
          <w:rFonts w:ascii="Times New Roman;Times;serif" w:hAnsi="Times New Roman;Times;serif"/>
          <w:b w:val="false"/>
          <w:i w:val="false"/>
          <w:caps w:val="false"/>
          <w:smallCaps w:val="false"/>
          <w:color w:val="FF0000"/>
          <w:sz w:val="24"/>
          <w:shd w:fill="FFFFFF" w:val="clear"/>
        </w:rPr>
        <w:t>51</w:t>
      </w:r>
      <w:r>
        <w:rPr>
          <w:rFonts w:ascii="Times New Roman;Times;serif" w:hAnsi="Times New Roman;Times;serif"/>
          <w:b w:val="false"/>
          <w:i w:val="false"/>
          <w:caps w:val="false"/>
          <w:smallCaps w:val="false"/>
          <w:color w:val="0000FF"/>
          <w:sz w:val="24"/>
          <w:u w:val="single"/>
          <w:shd w:fill="FFFFFF" w:val="clear"/>
        </w:rPr>
        <w:t>54</w:t>
      </w:r>
      <w:r>
        <mc:AlternateContent>
          <mc:Choice Requires="wps">
            <w:drawing>
              <wp:anchor behindDoc="0" distT="0" distB="0" distL="0" distR="0" simplePos="0" locked="0" layoutInCell="1" allowOverlap="1" relativeHeight="586">
                <wp:simplePos x="0" y="0"/>
                <wp:positionH relativeFrom="page">
                  <wp:posOffset>0</wp:posOffset>
                </wp:positionH>
                <wp:positionV relativeFrom="line">
                  <wp:posOffset>635</wp:posOffset>
                </wp:positionV>
                <wp:extent cx="6480175" cy="175895"/>
                <wp:effectExtent l="0" t="0" r="0" b="0"/>
                <wp:wrapNone/>
                <wp:docPr id="585" name="Frame5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6.13.Approvals</w:t>
      </w:r>
      <w:r>
        <w:rPr>
          <w:rFonts w:ascii="Times New Roman;Times;serif" w:hAnsi="Times New Roman;Times;serif"/>
          <w:b w:val="false"/>
          <w:i w:val="false"/>
          <w:caps w:val="false"/>
          <w:smallCaps w:val="false"/>
          <w:color w:val="FF0000"/>
          <w:sz w:val="24"/>
          <w:shd w:fill="FFFFFF" w:val="clear"/>
        </w:rPr>
        <w:t>52</w:t>
      </w:r>
      <w:r>
        <w:rPr>
          <w:rFonts w:ascii="Times New Roman;Times;serif" w:hAnsi="Times New Roman;Times;serif"/>
          <w:b w:val="false"/>
          <w:i w:val="false"/>
          <w:caps w:val="false"/>
          <w:smallCaps w:val="false"/>
          <w:color w:val="0000FF"/>
          <w:sz w:val="24"/>
          <w:u w:val="single"/>
          <w:shd w:fill="FFFFFF" w:val="clear"/>
        </w:rPr>
        <w:t>54</w:t>
      </w:r>
      <w:r>
        <mc:AlternateContent>
          <mc:Choice Requires="wps">
            <w:drawing>
              <wp:anchor behindDoc="0" distT="0" distB="0" distL="0" distR="0" simplePos="0" locked="0" layoutInCell="1" allowOverlap="1" relativeHeight="587">
                <wp:simplePos x="0" y="0"/>
                <wp:positionH relativeFrom="page">
                  <wp:posOffset>0</wp:posOffset>
                </wp:positionH>
                <wp:positionV relativeFrom="line">
                  <wp:posOffset>635</wp:posOffset>
                </wp:positionV>
                <wp:extent cx="6480175" cy="175895"/>
                <wp:effectExtent l="0" t="0" r="0" b="0"/>
                <wp:wrapNone/>
                <wp:docPr id="586" name="Frame5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6.14.Affiliate Transactions</w:t>
      </w:r>
      <w:r>
        <w:rPr>
          <w:rFonts w:ascii="Times New Roman;Times;serif" w:hAnsi="Times New Roman;Times;serif"/>
          <w:b w:val="false"/>
          <w:i w:val="false"/>
          <w:caps w:val="false"/>
          <w:smallCaps w:val="false"/>
          <w:color w:val="FF0000"/>
          <w:sz w:val="24"/>
          <w:shd w:fill="FFFFFF" w:val="clear"/>
        </w:rPr>
        <w:t>52</w:t>
      </w:r>
      <w:r>
        <w:rPr>
          <w:rFonts w:ascii="Times New Roman;Times;serif" w:hAnsi="Times New Roman;Times;serif"/>
          <w:b w:val="false"/>
          <w:i w:val="false"/>
          <w:caps w:val="false"/>
          <w:smallCaps w:val="false"/>
          <w:color w:val="0000FF"/>
          <w:sz w:val="24"/>
          <w:u w:val="single"/>
          <w:shd w:fill="FFFFFF" w:val="clear"/>
        </w:rPr>
        <w:t>55</w:t>
      </w:r>
      <w:r>
        <mc:AlternateContent>
          <mc:Choice Requires="wps">
            <w:drawing>
              <wp:anchor behindDoc="0" distT="0" distB="0" distL="0" distR="0" simplePos="0" locked="0" layoutInCell="1" allowOverlap="1" relativeHeight="588">
                <wp:simplePos x="0" y="0"/>
                <wp:positionH relativeFrom="page">
                  <wp:posOffset>0</wp:posOffset>
                </wp:positionH>
                <wp:positionV relativeFrom="line">
                  <wp:posOffset>635</wp:posOffset>
                </wp:positionV>
                <wp:extent cx="6480175" cy="175895"/>
                <wp:effectExtent l="0" t="0" r="0" b="0"/>
                <wp:wrapNone/>
                <wp:docPr id="587" name="Frame5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6.15.Investment Company</w:t>
      </w:r>
      <w:r>
        <w:rPr>
          <w:rFonts w:ascii="Times New Roman;Times;serif" w:hAnsi="Times New Roman;Times;serif"/>
          <w:b w:val="false"/>
          <w:i w:val="false"/>
          <w:caps w:val="false"/>
          <w:smallCaps w:val="false"/>
          <w:color w:val="FF0000"/>
          <w:sz w:val="24"/>
          <w:shd w:fill="FFFFFF" w:val="clear"/>
        </w:rPr>
        <w:t>52</w:t>
      </w:r>
      <w:r>
        <w:rPr>
          <w:rFonts w:ascii="Times New Roman;Times;serif" w:hAnsi="Times New Roman;Times;serif"/>
          <w:b w:val="false"/>
          <w:i w:val="false"/>
          <w:caps w:val="false"/>
          <w:smallCaps w:val="false"/>
          <w:color w:val="0000FF"/>
          <w:sz w:val="24"/>
          <w:u w:val="single"/>
          <w:shd w:fill="FFFFFF" w:val="clear"/>
        </w:rPr>
        <w:t>55</w:t>
      </w:r>
      <w:r>
        <mc:AlternateContent>
          <mc:Choice Requires="wps">
            <w:drawing>
              <wp:anchor behindDoc="0" distT="0" distB="0" distL="0" distR="0" simplePos="0" locked="0" layoutInCell="1" allowOverlap="1" relativeHeight="589">
                <wp:simplePos x="0" y="0"/>
                <wp:positionH relativeFrom="page">
                  <wp:posOffset>0</wp:posOffset>
                </wp:positionH>
                <wp:positionV relativeFrom="line">
                  <wp:posOffset>635</wp:posOffset>
                </wp:positionV>
                <wp:extent cx="6480175" cy="175895"/>
                <wp:effectExtent l="0" t="0" r="0" b="0"/>
                <wp:wrapNone/>
                <wp:docPr id="588" name="Frame5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6.16.ERISA</w:t>
      </w:r>
      <w:r>
        <w:rPr>
          <w:rFonts w:ascii="Times New Roman;Times;serif" w:hAnsi="Times New Roman;Times;serif"/>
          <w:b w:val="false"/>
          <w:i w:val="false"/>
          <w:caps w:val="false"/>
          <w:smallCaps w:val="false"/>
          <w:color w:val="FF0000"/>
          <w:sz w:val="24"/>
          <w:shd w:fill="FFFFFF" w:val="clear"/>
        </w:rPr>
        <w:t>52</w:t>
      </w:r>
      <w:r>
        <w:rPr>
          <w:rFonts w:ascii="Times New Roman;Times;serif" w:hAnsi="Times New Roman;Times;serif"/>
          <w:b w:val="false"/>
          <w:i w:val="false"/>
          <w:caps w:val="false"/>
          <w:smallCaps w:val="false"/>
          <w:color w:val="0000FF"/>
          <w:sz w:val="24"/>
          <w:u w:val="single"/>
          <w:shd w:fill="FFFFFF" w:val="clear"/>
        </w:rPr>
        <w:t>55</w:t>
      </w:r>
      <w:r>
        <mc:AlternateContent>
          <mc:Choice Requires="wps">
            <w:drawing>
              <wp:anchor behindDoc="0" distT="0" distB="0" distL="0" distR="0" simplePos="0" locked="0" layoutInCell="1" allowOverlap="1" relativeHeight="590">
                <wp:simplePos x="0" y="0"/>
                <wp:positionH relativeFrom="page">
                  <wp:posOffset>0</wp:posOffset>
                </wp:positionH>
                <wp:positionV relativeFrom="line">
                  <wp:posOffset>635</wp:posOffset>
                </wp:positionV>
                <wp:extent cx="6480175" cy="175895"/>
                <wp:effectExtent l="0" t="0" r="0" b="0"/>
                <wp:wrapNone/>
                <wp:docPr id="589" name="Frame5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6.17.Compliance with Laws</w:t>
      </w:r>
      <w:r>
        <w:rPr>
          <w:rFonts w:ascii="Times New Roman;Times;serif" w:hAnsi="Times New Roman;Times;serif"/>
          <w:b w:val="false"/>
          <w:i w:val="false"/>
          <w:caps w:val="false"/>
          <w:smallCaps w:val="false"/>
          <w:color w:val="FF0000"/>
          <w:sz w:val="24"/>
          <w:shd w:fill="FFFFFF" w:val="clear"/>
        </w:rPr>
        <w:t>52</w:t>
      </w:r>
      <w:r>
        <w:rPr>
          <w:rFonts w:ascii="Times New Roman;Times;serif" w:hAnsi="Times New Roman;Times;serif"/>
          <w:b w:val="false"/>
          <w:i w:val="false"/>
          <w:caps w:val="false"/>
          <w:smallCaps w:val="false"/>
          <w:color w:val="0000FF"/>
          <w:sz w:val="24"/>
          <w:u w:val="single"/>
          <w:shd w:fill="FFFFFF" w:val="clear"/>
        </w:rPr>
        <w:t>55</w:t>
      </w:r>
      <w:r>
        <mc:AlternateContent>
          <mc:Choice Requires="wps">
            <w:drawing>
              <wp:anchor behindDoc="0" distT="0" distB="0" distL="0" distR="0" simplePos="0" locked="0" layoutInCell="1" allowOverlap="1" relativeHeight="591">
                <wp:simplePos x="0" y="0"/>
                <wp:positionH relativeFrom="page">
                  <wp:posOffset>0</wp:posOffset>
                </wp:positionH>
                <wp:positionV relativeFrom="line">
                  <wp:posOffset>635</wp:posOffset>
                </wp:positionV>
                <wp:extent cx="6480175" cy="175895"/>
                <wp:effectExtent l="0" t="0" r="0" b="0"/>
                <wp:wrapNone/>
                <wp:docPr id="590" name="Frame5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6.18.OFAC</w:t>
      </w:r>
      <w:r>
        <w:rPr>
          <w:rFonts w:ascii="Times New Roman;Times;serif" w:hAnsi="Times New Roman;Times;serif"/>
          <w:b w:val="false"/>
          <w:i w:val="false"/>
          <w:caps w:val="false"/>
          <w:smallCaps w:val="false"/>
          <w:color w:val="FF0000"/>
          <w:sz w:val="24"/>
          <w:shd w:fill="FFFFFF" w:val="clear"/>
        </w:rPr>
        <w:t>53</w:t>
      </w:r>
      <w:r>
        <w:rPr>
          <w:rFonts w:ascii="Times New Roman;Times;serif" w:hAnsi="Times New Roman;Times;serif"/>
          <w:b w:val="false"/>
          <w:i w:val="false"/>
          <w:caps w:val="false"/>
          <w:smallCaps w:val="false"/>
          <w:color w:val="0000FF"/>
          <w:sz w:val="24"/>
          <w:u w:val="single"/>
          <w:shd w:fill="FFFFFF" w:val="clear"/>
        </w:rPr>
        <w:t>56</w:t>
      </w:r>
      <w:r>
        <mc:AlternateContent>
          <mc:Choice Requires="wps">
            <w:drawing>
              <wp:anchor behindDoc="0" distT="0" distB="0" distL="0" distR="0" simplePos="0" locked="0" layoutInCell="1" allowOverlap="1" relativeHeight="592">
                <wp:simplePos x="0" y="0"/>
                <wp:positionH relativeFrom="page">
                  <wp:posOffset>0</wp:posOffset>
                </wp:positionH>
                <wp:positionV relativeFrom="line">
                  <wp:posOffset>635</wp:posOffset>
                </wp:positionV>
                <wp:extent cx="6480175" cy="175895"/>
                <wp:effectExtent l="0" t="0" r="0" b="0"/>
                <wp:wrapNone/>
                <wp:docPr id="591" name="Frame5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6.19.Other Agreements</w:t>
      </w:r>
      <w:r>
        <w:rPr>
          <w:rFonts w:ascii="Times New Roman;Times;serif" w:hAnsi="Times New Roman;Times;serif"/>
          <w:b w:val="false"/>
          <w:i w:val="false"/>
          <w:caps w:val="false"/>
          <w:smallCaps w:val="false"/>
          <w:color w:val="FF0000"/>
          <w:sz w:val="24"/>
          <w:shd w:fill="FFFFFF" w:val="clear"/>
        </w:rPr>
        <w:t>54</w:t>
      </w:r>
      <w:r>
        <w:rPr>
          <w:rFonts w:ascii="Times New Roman;Times;serif" w:hAnsi="Times New Roman;Times;serif"/>
          <w:b w:val="false"/>
          <w:i w:val="false"/>
          <w:caps w:val="false"/>
          <w:smallCaps w:val="false"/>
          <w:color w:val="0000FF"/>
          <w:sz w:val="24"/>
          <w:u w:val="single"/>
          <w:shd w:fill="FFFFFF" w:val="clear"/>
        </w:rPr>
        <w:t>57</w:t>
      </w:r>
      <w:r>
        <mc:AlternateContent>
          <mc:Choice Requires="wps">
            <w:drawing>
              <wp:anchor behindDoc="0" distT="0" distB="0" distL="0" distR="0" simplePos="0" locked="0" layoutInCell="1" allowOverlap="1" relativeHeight="593">
                <wp:simplePos x="0" y="0"/>
                <wp:positionH relativeFrom="page">
                  <wp:posOffset>0</wp:posOffset>
                </wp:positionH>
                <wp:positionV relativeFrom="line">
                  <wp:posOffset>635</wp:posOffset>
                </wp:positionV>
                <wp:extent cx="6480175" cy="175895"/>
                <wp:effectExtent l="0" t="0" r="0" b="0"/>
                <wp:wrapNone/>
                <wp:docPr id="592" name="Frame5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6.20.Solvency</w:t>
      </w:r>
      <w:r>
        <w:rPr>
          <w:rFonts w:ascii="Times New Roman;Times;serif" w:hAnsi="Times New Roman;Times;serif"/>
          <w:b w:val="false"/>
          <w:i w:val="false"/>
          <w:caps w:val="false"/>
          <w:smallCaps w:val="false"/>
          <w:color w:val="FF0000"/>
          <w:sz w:val="24"/>
          <w:shd w:fill="FFFFFF" w:val="clear"/>
        </w:rPr>
        <w:t>54</w:t>
      </w:r>
      <w:r>
        <w:rPr>
          <w:rFonts w:ascii="Times New Roman;Times;serif" w:hAnsi="Times New Roman;Times;serif"/>
          <w:b w:val="false"/>
          <w:i w:val="false"/>
          <w:caps w:val="false"/>
          <w:smallCaps w:val="false"/>
          <w:color w:val="0000FF"/>
          <w:sz w:val="24"/>
          <w:u w:val="single"/>
          <w:shd w:fill="FFFFFF" w:val="clear"/>
        </w:rPr>
        <w:t>57</w:t>
      </w:r>
      <w:r>
        <mc:AlternateContent>
          <mc:Choice Requires="wps">
            <w:drawing>
              <wp:anchor behindDoc="0" distT="0" distB="0" distL="0" distR="0" simplePos="0" locked="0" layoutInCell="1" allowOverlap="1" relativeHeight="594">
                <wp:simplePos x="0" y="0"/>
                <wp:positionH relativeFrom="page">
                  <wp:posOffset>0</wp:posOffset>
                </wp:positionH>
                <wp:positionV relativeFrom="line">
                  <wp:posOffset>635</wp:posOffset>
                </wp:positionV>
                <wp:extent cx="6480175" cy="175895"/>
                <wp:effectExtent l="0" t="0" r="0" b="0"/>
                <wp:wrapNone/>
                <wp:docPr id="593" name="Frame5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6.21.No Default</w:t>
      </w:r>
      <w:r>
        <w:rPr>
          <w:rFonts w:ascii="Times New Roman;Times;serif" w:hAnsi="Times New Roman;Times;serif"/>
          <w:b w:val="false"/>
          <w:i w:val="false"/>
          <w:caps w:val="false"/>
          <w:smallCaps w:val="false"/>
          <w:color w:val="FF0000"/>
          <w:sz w:val="24"/>
          <w:shd w:fill="FFFFFF" w:val="clear"/>
        </w:rPr>
        <w:t>54</w:t>
      </w:r>
      <w:r>
        <w:rPr>
          <w:rFonts w:ascii="Times New Roman;Times;serif" w:hAnsi="Times New Roman;Times;serif"/>
          <w:b w:val="false"/>
          <w:i w:val="false"/>
          <w:caps w:val="false"/>
          <w:smallCaps w:val="false"/>
          <w:color w:val="0000FF"/>
          <w:sz w:val="24"/>
          <w:u w:val="single"/>
          <w:shd w:fill="FFFFFF" w:val="clear"/>
        </w:rPr>
        <w:t>57</w:t>
      </w:r>
      <w:r>
        <mc:AlternateContent>
          <mc:Choice Requires="wps">
            <w:drawing>
              <wp:anchor behindDoc="0" distT="0" distB="0" distL="0" distR="0" simplePos="0" locked="0" layoutInCell="1" allowOverlap="1" relativeHeight="595">
                <wp:simplePos x="0" y="0"/>
                <wp:positionH relativeFrom="page">
                  <wp:posOffset>0</wp:posOffset>
                </wp:positionH>
                <wp:positionV relativeFrom="line">
                  <wp:posOffset>635</wp:posOffset>
                </wp:positionV>
                <wp:extent cx="6480175" cy="175895"/>
                <wp:effectExtent l="0" t="0" r="0" b="0"/>
                <wp:wrapNone/>
                <wp:docPr id="594" name="Frame5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6.22.No Broker Fees</w:t>
      </w:r>
      <w:r>
        <w:rPr>
          <w:rFonts w:ascii="Times New Roman;Times;serif" w:hAnsi="Times New Roman;Times;serif"/>
          <w:b w:val="false"/>
          <w:i w:val="false"/>
          <w:caps w:val="false"/>
          <w:smallCaps w:val="false"/>
          <w:color w:val="FF0000"/>
          <w:sz w:val="24"/>
          <w:shd w:fill="FFFFFF" w:val="clear"/>
        </w:rPr>
        <w:t>54</w:t>
      </w:r>
      <w:r>
        <w:rPr>
          <w:rFonts w:ascii="Times New Roman;Times;serif" w:hAnsi="Times New Roman;Times;serif"/>
          <w:b w:val="false"/>
          <w:i w:val="false"/>
          <w:caps w:val="false"/>
          <w:smallCaps w:val="false"/>
          <w:color w:val="0000FF"/>
          <w:sz w:val="24"/>
          <w:u w:val="single"/>
          <w:shd w:fill="FFFFFF" w:val="clear"/>
        </w:rPr>
        <w:t>57</w:t>
      </w:r>
      <w:r>
        <mc:AlternateContent>
          <mc:Choice Requires="wps">
            <w:drawing>
              <wp:anchor behindDoc="0" distT="0" distB="0" distL="0" distR="0" simplePos="0" locked="0" layoutInCell="1" allowOverlap="1" relativeHeight="596">
                <wp:simplePos x="0" y="0"/>
                <wp:positionH relativeFrom="page">
                  <wp:posOffset>0</wp:posOffset>
                </wp:positionH>
                <wp:positionV relativeFrom="line">
                  <wp:posOffset>635</wp:posOffset>
                </wp:positionV>
                <wp:extent cx="6480175" cy="175895"/>
                <wp:effectExtent l="0" t="0" r="0" b="0"/>
                <wp:wrapNone/>
                <wp:docPr id="595" name="Frame5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6.23.Condition of Property; Casualties; Condemnation</w:t>
      </w:r>
      <w:r>
        <w:rPr>
          <w:rFonts w:ascii="Times New Roman;Times;serif" w:hAnsi="Times New Roman;Times;serif"/>
          <w:b w:val="false"/>
          <w:i w:val="false"/>
          <w:caps w:val="false"/>
          <w:smallCaps w:val="false"/>
          <w:color w:val="FF0000"/>
          <w:sz w:val="24"/>
          <w:shd w:fill="FFFFFF" w:val="clear"/>
        </w:rPr>
        <w:t>54</w:t>
      </w:r>
      <w:r>
        <w:rPr>
          <w:rFonts w:ascii="Times New Roman;Times;serif" w:hAnsi="Times New Roman;Times;serif"/>
          <w:b w:val="false"/>
          <w:i w:val="false"/>
          <w:caps w:val="false"/>
          <w:smallCaps w:val="false"/>
          <w:color w:val="0000FF"/>
          <w:sz w:val="24"/>
          <w:u w:val="single"/>
          <w:shd w:fill="FFFFFF" w:val="clear"/>
        </w:rPr>
        <w:t>57</w:t>
      </w:r>
      <w:r>
        <mc:AlternateContent>
          <mc:Choice Requires="wps">
            <w:drawing>
              <wp:anchor behindDoc="0" distT="0" distB="0" distL="0" distR="0" simplePos="0" locked="0" layoutInCell="1" allowOverlap="1" relativeHeight="597">
                <wp:simplePos x="0" y="0"/>
                <wp:positionH relativeFrom="page">
                  <wp:posOffset>0</wp:posOffset>
                </wp:positionH>
                <wp:positionV relativeFrom="line">
                  <wp:posOffset>635</wp:posOffset>
                </wp:positionV>
                <wp:extent cx="6480175" cy="175895"/>
                <wp:effectExtent l="0" t="0" r="0" b="0"/>
                <wp:wrapNone/>
                <wp:docPr id="596" name="Frame5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6.24.Legal Requirements and Zoning</w:t>
      </w:r>
      <w:r>
        <w:rPr>
          <w:rFonts w:ascii="Times New Roman;Times;serif" w:hAnsi="Times New Roman;Times;serif"/>
          <w:b w:val="false"/>
          <w:i w:val="false"/>
          <w:caps w:val="false"/>
          <w:smallCaps w:val="false"/>
          <w:color w:val="FF0000"/>
          <w:sz w:val="24"/>
          <w:shd w:fill="FFFFFF" w:val="clear"/>
        </w:rPr>
        <w:t>55</w:t>
      </w:r>
      <w:r>
        <w:rPr>
          <w:rFonts w:ascii="Times New Roman;Times;serif" w:hAnsi="Times New Roman;Times;serif"/>
          <w:b w:val="false"/>
          <w:i w:val="false"/>
          <w:caps w:val="false"/>
          <w:smallCaps w:val="false"/>
          <w:color w:val="0000FF"/>
          <w:sz w:val="24"/>
          <w:u w:val="single"/>
          <w:shd w:fill="FFFFFF" w:val="clear"/>
        </w:rPr>
        <w:t>58</w:t>
      </w:r>
      <w:r>
        <mc:AlternateContent>
          <mc:Choice Requires="wps">
            <w:drawing>
              <wp:anchor behindDoc="0" distT="0" distB="0" distL="0" distR="0" simplePos="0" locked="0" layoutInCell="1" allowOverlap="1" relativeHeight="598">
                <wp:simplePos x="0" y="0"/>
                <wp:positionH relativeFrom="page">
                  <wp:posOffset>0</wp:posOffset>
                </wp:positionH>
                <wp:positionV relativeFrom="line">
                  <wp:posOffset>635</wp:posOffset>
                </wp:positionV>
                <wp:extent cx="6480175" cy="175895"/>
                <wp:effectExtent l="0" t="0" r="0" b="0"/>
                <wp:wrapNone/>
                <wp:docPr id="597" name="Frame5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6.25.No Defaults; Landlord is in Compliance with Leases</w:t>
      </w:r>
      <w:r>
        <w:rPr>
          <w:rFonts w:ascii="Times New Roman;Times;serif" w:hAnsi="Times New Roman;Times;serif"/>
          <w:b w:val="false"/>
          <w:i w:val="false"/>
          <w:caps w:val="false"/>
          <w:smallCaps w:val="false"/>
          <w:color w:val="FF0000"/>
          <w:sz w:val="24"/>
          <w:shd w:fill="FFFFFF" w:val="clear"/>
        </w:rPr>
        <w:t>55</w:t>
      </w:r>
      <w:r>
        <w:rPr>
          <w:rFonts w:ascii="Times New Roman;Times;serif" w:hAnsi="Times New Roman;Times;serif"/>
          <w:b w:val="false"/>
          <w:i w:val="false"/>
          <w:caps w:val="false"/>
          <w:smallCaps w:val="false"/>
          <w:color w:val="0000FF"/>
          <w:sz w:val="24"/>
          <w:u w:val="single"/>
          <w:shd w:fill="FFFFFF" w:val="clear"/>
        </w:rPr>
        <w:t>58</w:t>
      </w:r>
      <w:r>
        <mc:AlternateContent>
          <mc:Choice Requires="wps">
            <w:drawing>
              <wp:anchor behindDoc="0" distT="0" distB="0" distL="0" distR="0" simplePos="0" locked="0" layoutInCell="1" allowOverlap="1" relativeHeight="599">
                <wp:simplePos x="0" y="0"/>
                <wp:positionH relativeFrom="page">
                  <wp:posOffset>0</wp:posOffset>
                </wp:positionH>
                <wp:positionV relativeFrom="line">
                  <wp:posOffset>635</wp:posOffset>
                </wp:positionV>
                <wp:extent cx="6480175" cy="175895"/>
                <wp:effectExtent l="0" t="0" r="0" b="0"/>
                <wp:wrapNone/>
                <wp:docPr id="598" name="Frame5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6.26.Affected Financial Institution</w:t>
      </w:r>
      <w:r>
        <w:rPr>
          <w:rFonts w:ascii="Times New Roman;Times;serif" w:hAnsi="Times New Roman;Times;serif"/>
          <w:b w:val="false"/>
          <w:i w:val="false"/>
          <w:caps w:val="false"/>
          <w:smallCaps w:val="false"/>
          <w:color w:val="FF0000"/>
          <w:sz w:val="24"/>
          <w:shd w:fill="FFFFFF" w:val="clear"/>
        </w:rPr>
        <w:t>55</w:t>
      </w:r>
      <w:r>
        <w:rPr>
          <w:rFonts w:ascii="Times New Roman;Times;serif" w:hAnsi="Times New Roman;Times;serif"/>
          <w:b w:val="false"/>
          <w:i w:val="false"/>
          <w:caps w:val="false"/>
          <w:smallCaps w:val="false"/>
          <w:color w:val="0000FF"/>
          <w:sz w:val="24"/>
          <w:u w:val="single"/>
          <w:shd w:fill="FFFFFF" w:val="clear"/>
        </w:rPr>
        <w:t>58</w:t>
      </w:r>
      <w:r>
        <mc:AlternateContent>
          <mc:Choice Requires="wps">
            <w:drawing>
              <wp:anchor behindDoc="0" distT="0" distB="0" distL="0" distR="0" simplePos="0" locked="0" layoutInCell="1" allowOverlap="1" relativeHeight="600">
                <wp:simplePos x="0" y="0"/>
                <wp:positionH relativeFrom="page">
                  <wp:posOffset>0</wp:posOffset>
                </wp:positionH>
                <wp:positionV relativeFrom="line">
                  <wp:posOffset>635</wp:posOffset>
                </wp:positionV>
                <wp:extent cx="6480175" cy="175895"/>
                <wp:effectExtent l="0" t="0" r="0" b="0"/>
                <wp:wrapNone/>
                <wp:docPr id="599" name="Frame5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6.27.REIT Status</w:t>
      </w:r>
      <w:r>
        <w:rPr>
          <w:rFonts w:ascii="Times New Roman;Times;serif" w:hAnsi="Times New Roman;Times;serif"/>
          <w:b w:val="false"/>
          <w:i w:val="false"/>
          <w:caps w:val="false"/>
          <w:smallCaps w:val="false"/>
          <w:color w:val="FF0000"/>
          <w:sz w:val="24"/>
          <w:shd w:fill="FFFFFF" w:val="clear"/>
        </w:rPr>
        <w:t>55</w:t>
      </w:r>
      <w:r>
        <w:rPr>
          <w:rFonts w:ascii="Times New Roman;Times;serif" w:hAnsi="Times New Roman;Times;serif"/>
          <w:b w:val="false"/>
          <w:i w:val="false"/>
          <w:caps w:val="false"/>
          <w:smallCaps w:val="false"/>
          <w:color w:val="0000FF"/>
          <w:sz w:val="24"/>
          <w:u w:val="single"/>
          <w:shd w:fill="FFFFFF" w:val="clear"/>
        </w:rPr>
        <w:t>58</w:t>
      </w:r>
      <w:r>
        <mc:AlternateContent>
          <mc:Choice Requires="wps">
            <w:drawing>
              <wp:anchor behindDoc="0" distT="0" distB="0" distL="0" distR="0" simplePos="0" locked="0" layoutInCell="1" allowOverlap="1" relativeHeight="601">
                <wp:simplePos x="0" y="0"/>
                <wp:positionH relativeFrom="page">
                  <wp:posOffset>0</wp:posOffset>
                </wp:positionH>
                <wp:positionV relativeFrom="line">
                  <wp:posOffset>635</wp:posOffset>
                </wp:positionV>
                <wp:extent cx="6480175" cy="175895"/>
                <wp:effectExtent l="0" t="0" r="0" b="0"/>
                <wp:wrapNone/>
                <wp:docPr id="600" name="Frame6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6.28.Covered Entity</w:t>
      </w:r>
      <w:r>
        <w:rPr>
          <w:rFonts w:ascii="Times New Roman;Times;serif" w:hAnsi="Times New Roman;Times;serif"/>
          <w:b w:val="false"/>
          <w:i w:val="false"/>
          <w:caps w:val="false"/>
          <w:smallCaps w:val="false"/>
          <w:color w:val="FF0000"/>
          <w:sz w:val="24"/>
          <w:shd w:fill="FFFFFF" w:val="clear"/>
        </w:rPr>
        <w:t>55</w:t>
      </w:r>
      <w:r>
        <w:rPr>
          <w:rFonts w:ascii="Times New Roman;Times;serif" w:hAnsi="Times New Roman;Times;serif"/>
          <w:b w:val="false"/>
          <w:i w:val="false"/>
          <w:caps w:val="false"/>
          <w:smallCaps w:val="false"/>
          <w:color w:val="0000FF"/>
          <w:sz w:val="24"/>
          <w:u w:val="single"/>
          <w:shd w:fill="FFFFFF" w:val="clear"/>
        </w:rPr>
        <w:t>58</w:t>
      </w:r>
      <w:r>
        <mc:AlternateContent>
          <mc:Choice Requires="wps">
            <w:drawing>
              <wp:anchor behindDoc="0" distT="0" distB="0" distL="0" distR="0" simplePos="0" locked="0" layoutInCell="1" allowOverlap="1" relativeHeight="602">
                <wp:simplePos x="0" y="0"/>
                <wp:positionH relativeFrom="page">
                  <wp:posOffset>0</wp:posOffset>
                </wp:positionH>
                <wp:positionV relativeFrom="line">
                  <wp:posOffset>635</wp:posOffset>
                </wp:positionV>
                <wp:extent cx="6480175" cy="175895"/>
                <wp:effectExtent l="0" t="0" r="0" b="0"/>
                <wp:wrapNone/>
                <wp:docPr id="601" name="Frame6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6.29.Outbound Investment Rules</w:t>
      </w:r>
      <w:r>
        <w:rPr>
          <w:rFonts w:ascii="Times New Roman;Times;serif" w:hAnsi="Times New Roman;Times;serif"/>
          <w:b w:val="false"/>
          <w:i w:val="false"/>
          <w:caps w:val="false"/>
          <w:smallCaps w:val="false"/>
          <w:color w:val="0000FF"/>
          <w:sz w:val="24"/>
          <w:u w:val="single"/>
          <w:shd w:fill="FFFFFF" w:val="clear"/>
        </w:rPr>
        <w:t>58</w:t>
      </w:r>
      <w:r>
        <mc:AlternateContent>
          <mc:Choice Requires="wps">
            <w:drawing>
              <wp:anchor behindDoc="0" distT="0" distB="0" distL="0" distR="0" simplePos="0" locked="0" layoutInCell="1" allowOverlap="1" relativeHeight="603">
                <wp:simplePos x="0" y="0"/>
                <wp:positionH relativeFrom="page">
                  <wp:posOffset>0</wp:posOffset>
                </wp:positionH>
                <wp:positionV relativeFrom="line">
                  <wp:posOffset>635</wp:posOffset>
                </wp:positionV>
                <wp:extent cx="6480175" cy="175895"/>
                <wp:effectExtent l="0" t="0" r="0" b="0"/>
                <wp:wrapNone/>
                <wp:docPr id="602" name="Frame6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7.Conditions Precedent</w:t>
      </w:r>
      <w:r>
        <w:rPr>
          <w:rFonts w:ascii="Times New Roman;Times;serif" w:hAnsi="Times New Roman;Times;serif"/>
          <w:b w:val="false"/>
          <w:i w:val="false"/>
          <w:caps w:val="false"/>
          <w:smallCaps w:val="false"/>
          <w:color w:val="FF0000"/>
          <w:sz w:val="24"/>
          <w:shd w:fill="FFFFFF" w:val="clear"/>
        </w:rPr>
        <w:t>55</w:t>
      </w:r>
      <w:r>
        <w:rPr>
          <w:rFonts w:ascii="Times New Roman;Times;serif" w:hAnsi="Times New Roman;Times;serif"/>
          <w:b w:val="false"/>
          <w:i w:val="false"/>
          <w:caps w:val="false"/>
          <w:smallCaps w:val="false"/>
          <w:color w:val="0000FF"/>
          <w:sz w:val="24"/>
          <w:u w:val="single"/>
          <w:shd w:fill="FFFFFF" w:val="clear"/>
        </w:rPr>
        <w:t>58</w:t>
      </w:r>
      <w:r>
        <mc:AlternateContent>
          <mc:Choice Requires="wps">
            <w:drawing>
              <wp:anchor behindDoc="0" distT="0" distB="0" distL="0" distR="0" simplePos="0" locked="0" layoutInCell="1" allowOverlap="1" relativeHeight="604">
                <wp:simplePos x="0" y="0"/>
                <wp:positionH relativeFrom="page">
                  <wp:posOffset>0</wp:posOffset>
                </wp:positionH>
                <wp:positionV relativeFrom="line">
                  <wp:posOffset>635</wp:posOffset>
                </wp:positionV>
                <wp:extent cx="6480175" cy="175895"/>
                <wp:effectExtent l="0" t="0" r="0" b="0"/>
                <wp:wrapNone/>
                <wp:docPr id="603" name="Frame6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7.1.All Borrowings</w:t>
      </w:r>
      <w:r>
        <w:rPr>
          <w:rFonts w:ascii="Times New Roman;Times;serif" w:hAnsi="Times New Roman;Times;serif"/>
          <w:b w:val="false"/>
          <w:i w:val="false"/>
          <w:caps w:val="false"/>
          <w:smallCaps w:val="false"/>
          <w:color w:val="FF0000"/>
          <w:sz w:val="24"/>
          <w:shd w:fill="FFFFFF" w:val="clear"/>
        </w:rPr>
        <w:t>55</w:t>
      </w:r>
      <w:r>
        <w:rPr>
          <w:rFonts w:ascii="Times New Roman;Times;serif" w:hAnsi="Times New Roman;Times;serif"/>
          <w:b w:val="false"/>
          <w:i w:val="false"/>
          <w:caps w:val="false"/>
          <w:smallCaps w:val="false"/>
          <w:color w:val="0000FF"/>
          <w:sz w:val="24"/>
          <w:u w:val="single"/>
          <w:shd w:fill="FFFFFF" w:val="clear"/>
        </w:rPr>
        <w:t>58</w:t>
      </w:r>
      <w:r>
        <mc:AlternateContent>
          <mc:Choice Requires="wps">
            <w:drawing>
              <wp:anchor behindDoc="0" distT="0" distB="0" distL="0" distR="0" simplePos="0" locked="0" layoutInCell="1" allowOverlap="1" relativeHeight="605">
                <wp:simplePos x="0" y="0"/>
                <wp:positionH relativeFrom="page">
                  <wp:posOffset>0</wp:posOffset>
                </wp:positionH>
                <wp:positionV relativeFrom="line">
                  <wp:posOffset>635</wp:posOffset>
                </wp:positionV>
                <wp:extent cx="6480175" cy="175895"/>
                <wp:effectExtent l="0" t="0" r="0" b="0"/>
                <wp:wrapNone/>
                <wp:docPr id="604" name="Frame6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7.2.Initial Borrowing</w:t>
      </w:r>
      <w:r>
        <w:rPr>
          <w:rFonts w:ascii="Times New Roman;Times;serif" w:hAnsi="Times New Roman;Times;serif"/>
          <w:b w:val="false"/>
          <w:i w:val="false"/>
          <w:caps w:val="false"/>
          <w:smallCaps w:val="false"/>
          <w:color w:val="FF0000"/>
          <w:sz w:val="24"/>
          <w:shd w:fill="FFFFFF" w:val="clear"/>
        </w:rPr>
        <w:t>56</w:t>
      </w:r>
      <w:r>
        <w:rPr>
          <w:rFonts w:ascii="Times New Roman;Times;serif" w:hAnsi="Times New Roman;Times;serif"/>
          <w:b w:val="false"/>
          <w:i w:val="false"/>
          <w:caps w:val="false"/>
          <w:smallCaps w:val="false"/>
          <w:color w:val="0000FF"/>
          <w:sz w:val="24"/>
          <w:u w:val="single"/>
          <w:shd w:fill="FFFFFF" w:val="clear"/>
        </w:rPr>
        <w:t>59</w:t>
      </w:r>
      <w:r>
        <mc:AlternateContent>
          <mc:Choice Requires="wps">
            <w:drawing>
              <wp:anchor behindDoc="0" distT="0" distB="0" distL="0" distR="0" simplePos="0" locked="0" layoutInCell="1" allowOverlap="1" relativeHeight="606">
                <wp:simplePos x="0" y="0"/>
                <wp:positionH relativeFrom="page">
                  <wp:posOffset>0</wp:posOffset>
                </wp:positionH>
                <wp:positionV relativeFrom="line">
                  <wp:posOffset>635</wp:posOffset>
                </wp:positionV>
                <wp:extent cx="6480175" cy="175895"/>
                <wp:effectExtent l="0" t="0" r="0" b="0"/>
                <wp:wrapNone/>
                <wp:docPr id="605" name="Frame6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rPr>
        <w:t>Section 7.3.</w:t>
      </w:r>
      <w:r>
        <w:rPr>
          <w:rFonts w:ascii="Times New Roman;Times;serif" w:hAnsi="Times New Roman;Times;serif"/>
          <w:color w:val="0000FF"/>
          <w:sz w:val="24"/>
          <w:u w:val="single"/>
        </w:rPr>
        <w:t xml:space="preserve">Eligible </w:t>
      </w:r>
      <w:bookmarkStart w:id="2237" w:name="_cp_change_112"/>
      <w:bookmarkEnd w:id="2237"/>
      <w:r>
        <w:rPr>
          <w:rFonts w:ascii="Times New Roman;Times;serif" w:hAnsi="Times New Roman;Times;serif"/>
          <w:color w:val="FF0000"/>
          <w:sz w:val="24"/>
          <w:u w:val="single"/>
        </w:rPr>
        <w:t>Property</w:t>
      </w:r>
      <w:bookmarkStart w:id="2238" w:name="_cp_change_113"/>
      <w:bookmarkEnd w:id="2238"/>
      <w:r>
        <w:rPr>
          <w:rFonts w:ascii="Times New Roman;Times;serif" w:hAnsi="Times New Roman;Times;serif"/>
          <w:color w:val="0000FF"/>
          <w:sz w:val="24"/>
          <w:u w:val="single"/>
        </w:rPr>
        <w:t>Asset</w:t>
      </w:r>
      <w:r>
        <w:rPr>
          <w:rFonts w:ascii="Times New Roman;Times;serif" w:hAnsi="Times New Roman;Times;serif"/>
          <w:color w:val="0000FF"/>
          <w:sz w:val="24"/>
          <w:u w:val="single"/>
        </w:rPr>
        <w:t xml:space="preserve"> Additions and Deletions to the Borrowing Base</w:t>
      </w:r>
      <w:bookmarkStart w:id="2239" w:name="_cp_change_114"/>
      <w:bookmarkEnd w:id="2239"/>
      <w:r>
        <w:rPr>
          <w:rFonts w:ascii="Times New Roman;Times;serif" w:hAnsi="Times New Roman;Times;serif"/>
          <w:color w:val="FF0000"/>
          <w:sz w:val="24"/>
        </w:rPr>
        <w:t>57</w:t>
      </w:r>
      <w:bookmarkStart w:id="2240" w:name="_cp_change_115"/>
      <w:bookmarkEnd w:id="2240"/>
      <w:r>
        <w:rPr>
          <w:rFonts w:ascii="Times New Roman;Times;serif" w:hAnsi="Times New Roman;Times;serif"/>
          <w:color w:val="0000FF"/>
          <w:sz w:val="24"/>
          <w:u w:val="single"/>
        </w:rPr>
        <w:t>60</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8.Covenants</w:t>
      </w:r>
      <w:r>
        <w:rPr>
          <w:rFonts w:ascii="Times New Roman;Times;serif" w:hAnsi="Times New Roman;Times;serif"/>
          <w:b w:val="false"/>
          <w:i w:val="false"/>
          <w:caps w:val="false"/>
          <w:smallCaps w:val="false"/>
          <w:color w:val="FF0000"/>
          <w:sz w:val="24"/>
          <w:shd w:fill="FFFFFF" w:val="clear"/>
        </w:rPr>
        <w:t>58</w:t>
      </w:r>
      <w:r>
        <w:rPr>
          <w:rFonts w:ascii="Times New Roman;Times;serif" w:hAnsi="Times New Roman;Times;serif"/>
          <w:b w:val="false"/>
          <w:i w:val="false"/>
          <w:caps w:val="false"/>
          <w:smallCaps w:val="false"/>
          <w:color w:val="0000FF"/>
          <w:sz w:val="24"/>
          <w:u w:val="single"/>
          <w:shd w:fill="FFFFFF" w:val="clear"/>
        </w:rPr>
        <w:t>61</w:t>
      </w:r>
      <w:r>
        <mc:AlternateContent>
          <mc:Choice Requires="wps">
            <w:drawing>
              <wp:anchor behindDoc="0" distT="0" distB="0" distL="0" distR="0" simplePos="0" locked="0" layoutInCell="1" allowOverlap="1" relativeHeight="607">
                <wp:simplePos x="0" y="0"/>
                <wp:positionH relativeFrom="page">
                  <wp:posOffset>0</wp:posOffset>
                </wp:positionH>
                <wp:positionV relativeFrom="line">
                  <wp:posOffset>635</wp:posOffset>
                </wp:positionV>
                <wp:extent cx="6480175" cy="175895"/>
                <wp:effectExtent l="0" t="0" r="0" b="0"/>
                <wp:wrapNone/>
                <wp:docPr id="606" name="Frame6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8.1.Maintenance of Existence</w:t>
      </w:r>
      <w:r>
        <w:rPr>
          <w:rFonts w:ascii="Times New Roman;Times;serif" w:hAnsi="Times New Roman;Times;serif"/>
          <w:b w:val="false"/>
          <w:i w:val="false"/>
          <w:caps w:val="false"/>
          <w:smallCaps w:val="false"/>
          <w:color w:val="FF0000"/>
          <w:sz w:val="24"/>
          <w:shd w:fill="FFFFFF" w:val="clear"/>
        </w:rPr>
        <w:t>58</w:t>
      </w:r>
      <w:r>
        <w:rPr>
          <w:rFonts w:ascii="Times New Roman;Times;serif" w:hAnsi="Times New Roman;Times;serif"/>
          <w:b w:val="false"/>
          <w:i w:val="false"/>
          <w:caps w:val="false"/>
          <w:smallCaps w:val="false"/>
          <w:color w:val="0000FF"/>
          <w:sz w:val="24"/>
          <w:u w:val="single"/>
          <w:shd w:fill="FFFFFF" w:val="clear"/>
        </w:rPr>
        <w:t>61</w:t>
      </w:r>
      <w:r>
        <mc:AlternateContent>
          <mc:Choice Requires="wps">
            <w:drawing>
              <wp:anchor behindDoc="0" distT="0" distB="0" distL="0" distR="0" simplePos="0" locked="0" layoutInCell="1" allowOverlap="1" relativeHeight="608">
                <wp:simplePos x="0" y="0"/>
                <wp:positionH relativeFrom="page">
                  <wp:posOffset>0</wp:posOffset>
                </wp:positionH>
                <wp:positionV relativeFrom="line">
                  <wp:posOffset>635</wp:posOffset>
                </wp:positionV>
                <wp:extent cx="6480175" cy="175895"/>
                <wp:effectExtent l="0" t="0" r="0" b="0"/>
                <wp:wrapNone/>
                <wp:docPr id="607" name="Frame6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8.2.Maintenance of Properties, Agreements</w:t>
      </w:r>
      <w:r>
        <w:rPr>
          <w:rFonts w:ascii="Times New Roman;Times;serif" w:hAnsi="Times New Roman;Times;serif"/>
          <w:b w:val="false"/>
          <w:i w:val="false"/>
          <w:caps w:val="false"/>
          <w:smallCaps w:val="false"/>
          <w:color w:val="FF0000"/>
          <w:sz w:val="24"/>
          <w:shd w:fill="FFFFFF" w:val="clear"/>
        </w:rPr>
        <w:t>58</w:t>
      </w:r>
      <w:r>
        <w:rPr>
          <w:rFonts w:ascii="Times New Roman;Times;serif" w:hAnsi="Times New Roman;Times;serif"/>
          <w:b w:val="false"/>
          <w:i w:val="false"/>
          <w:caps w:val="false"/>
          <w:smallCaps w:val="false"/>
          <w:color w:val="0000FF"/>
          <w:sz w:val="24"/>
          <w:u w:val="single"/>
          <w:shd w:fill="FFFFFF" w:val="clear"/>
        </w:rPr>
        <w:t>62</w:t>
      </w:r>
      <w:r>
        <mc:AlternateContent>
          <mc:Choice Requires="wps">
            <w:drawing>
              <wp:anchor behindDoc="0" distT="0" distB="0" distL="0" distR="0" simplePos="0" locked="0" layoutInCell="1" allowOverlap="1" relativeHeight="609">
                <wp:simplePos x="0" y="0"/>
                <wp:positionH relativeFrom="page">
                  <wp:posOffset>0</wp:posOffset>
                </wp:positionH>
                <wp:positionV relativeFrom="line">
                  <wp:posOffset>635</wp:posOffset>
                </wp:positionV>
                <wp:extent cx="6480175" cy="175895"/>
                <wp:effectExtent l="0" t="0" r="0" b="0"/>
                <wp:wrapNone/>
                <wp:docPr id="608" name="Frame6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8.3.Taxes and Assessments</w:t>
      </w:r>
      <w:r>
        <w:rPr>
          <w:rFonts w:ascii="Times New Roman;Times;serif" w:hAnsi="Times New Roman;Times;serif"/>
          <w:b w:val="false"/>
          <w:i w:val="false"/>
          <w:caps w:val="false"/>
          <w:smallCaps w:val="false"/>
          <w:color w:val="FF0000"/>
          <w:sz w:val="24"/>
          <w:shd w:fill="FFFFFF" w:val="clear"/>
        </w:rPr>
        <w:t>58</w:t>
      </w:r>
      <w:r>
        <w:rPr>
          <w:rFonts w:ascii="Times New Roman;Times;serif" w:hAnsi="Times New Roman;Times;serif"/>
          <w:b w:val="false"/>
          <w:i w:val="false"/>
          <w:caps w:val="false"/>
          <w:smallCaps w:val="false"/>
          <w:color w:val="0000FF"/>
          <w:sz w:val="24"/>
          <w:u w:val="single"/>
          <w:shd w:fill="FFFFFF" w:val="clear"/>
        </w:rPr>
        <w:t>62</w:t>
      </w:r>
      <w:r>
        <mc:AlternateContent>
          <mc:Choice Requires="wps">
            <w:drawing>
              <wp:anchor behindDoc="0" distT="0" distB="0" distL="0" distR="0" simplePos="0" locked="0" layoutInCell="1" allowOverlap="1" relativeHeight="610">
                <wp:simplePos x="0" y="0"/>
                <wp:positionH relativeFrom="page">
                  <wp:posOffset>0</wp:posOffset>
                </wp:positionH>
                <wp:positionV relativeFrom="line">
                  <wp:posOffset>635</wp:posOffset>
                </wp:positionV>
                <wp:extent cx="6480175" cy="175895"/>
                <wp:effectExtent l="0" t="0" r="0" b="0"/>
                <wp:wrapNone/>
                <wp:docPr id="609" name="Frame6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8.4.Insurance</w:t>
      </w:r>
      <w:r>
        <w:rPr>
          <w:rFonts w:ascii="Times New Roman;Times;serif" w:hAnsi="Times New Roman;Times;serif"/>
          <w:b w:val="false"/>
          <w:i w:val="false"/>
          <w:caps w:val="false"/>
          <w:smallCaps w:val="false"/>
          <w:color w:val="FF0000"/>
          <w:sz w:val="24"/>
          <w:shd w:fill="FFFFFF" w:val="clear"/>
        </w:rPr>
        <w:t>59</w:t>
      </w:r>
      <w:r>
        <w:rPr>
          <w:rFonts w:ascii="Times New Roman;Times;serif" w:hAnsi="Times New Roman;Times;serif"/>
          <w:b w:val="false"/>
          <w:i w:val="false"/>
          <w:caps w:val="false"/>
          <w:smallCaps w:val="false"/>
          <w:color w:val="0000FF"/>
          <w:sz w:val="24"/>
          <w:u w:val="single"/>
          <w:shd w:fill="FFFFFF" w:val="clear"/>
        </w:rPr>
        <w:t>62</w:t>
      </w:r>
      <w:r>
        <mc:AlternateContent>
          <mc:Choice Requires="wps">
            <w:drawing>
              <wp:anchor behindDoc="0" distT="0" distB="0" distL="0" distR="0" simplePos="0" locked="0" layoutInCell="1" allowOverlap="1" relativeHeight="611">
                <wp:simplePos x="0" y="0"/>
                <wp:positionH relativeFrom="page">
                  <wp:posOffset>0</wp:posOffset>
                </wp:positionH>
                <wp:positionV relativeFrom="line">
                  <wp:posOffset>635</wp:posOffset>
                </wp:positionV>
                <wp:extent cx="6480175" cy="175895"/>
                <wp:effectExtent l="0" t="0" r="0" b="0"/>
                <wp:wrapNone/>
                <wp:docPr id="610" name="Frame6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8.5.Financial Reports</w:t>
      </w:r>
      <w:r>
        <w:rPr>
          <w:rFonts w:ascii="Times New Roman;Times;serif" w:hAnsi="Times New Roman;Times;serif"/>
          <w:b w:val="false"/>
          <w:i w:val="false"/>
          <w:caps w:val="false"/>
          <w:smallCaps w:val="false"/>
          <w:color w:val="FF0000"/>
          <w:sz w:val="24"/>
          <w:shd w:fill="FFFFFF" w:val="clear"/>
        </w:rPr>
        <w:t>59</w:t>
      </w:r>
      <w:r>
        <w:rPr>
          <w:rFonts w:ascii="Times New Roman;Times;serif" w:hAnsi="Times New Roman;Times;serif"/>
          <w:b w:val="false"/>
          <w:i w:val="false"/>
          <w:caps w:val="false"/>
          <w:smallCaps w:val="false"/>
          <w:color w:val="0000FF"/>
          <w:sz w:val="24"/>
          <w:u w:val="single"/>
          <w:shd w:fill="FFFFFF" w:val="clear"/>
        </w:rPr>
        <w:t>62</w:t>
      </w:r>
      <w:r>
        <mc:AlternateContent>
          <mc:Choice Requires="wps">
            <w:drawing>
              <wp:anchor behindDoc="0" distT="0" distB="0" distL="0" distR="0" simplePos="0" locked="0" layoutInCell="1" allowOverlap="1" relativeHeight="612">
                <wp:simplePos x="0" y="0"/>
                <wp:positionH relativeFrom="page">
                  <wp:posOffset>0</wp:posOffset>
                </wp:positionH>
                <wp:positionV relativeFrom="line">
                  <wp:posOffset>635</wp:posOffset>
                </wp:positionV>
                <wp:extent cx="6480175" cy="175895"/>
                <wp:effectExtent l="0" t="0" r="0" b="0"/>
                <wp:wrapNone/>
                <wp:docPr id="611" name="Frame6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8.6.Inspection</w:t>
      </w:r>
      <w:r>
        <w:rPr>
          <w:rFonts w:ascii="Times New Roman;Times;serif" w:hAnsi="Times New Roman;Times;serif"/>
          <w:b w:val="false"/>
          <w:i w:val="false"/>
          <w:caps w:val="false"/>
          <w:smallCaps w:val="false"/>
          <w:color w:val="FF0000"/>
          <w:sz w:val="24"/>
          <w:shd w:fill="FFFFFF" w:val="clear"/>
        </w:rPr>
        <w:t>61</w:t>
      </w:r>
      <w:r>
        <w:rPr>
          <w:rFonts w:ascii="Times New Roman;Times;serif" w:hAnsi="Times New Roman;Times;serif"/>
          <w:b w:val="false"/>
          <w:i w:val="false"/>
          <w:caps w:val="false"/>
          <w:smallCaps w:val="false"/>
          <w:color w:val="0000FF"/>
          <w:sz w:val="24"/>
          <w:u w:val="single"/>
          <w:shd w:fill="FFFFFF" w:val="clear"/>
        </w:rPr>
        <w:t>65</w:t>
      </w:r>
      <w:r>
        <mc:AlternateContent>
          <mc:Choice Requires="wps">
            <w:drawing>
              <wp:anchor behindDoc="0" distT="0" distB="0" distL="0" distR="0" simplePos="0" locked="0" layoutInCell="1" allowOverlap="1" relativeHeight="613">
                <wp:simplePos x="0" y="0"/>
                <wp:positionH relativeFrom="page">
                  <wp:posOffset>0</wp:posOffset>
                </wp:positionH>
                <wp:positionV relativeFrom="line">
                  <wp:posOffset>635</wp:posOffset>
                </wp:positionV>
                <wp:extent cx="6480175" cy="175895"/>
                <wp:effectExtent l="0" t="0" r="0" b="0"/>
                <wp:wrapNone/>
                <wp:docPr id="612" name="Frame6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8.7.Liens</w:t>
      </w:r>
      <w:r>
        <w:rPr>
          <w:rFonts w:ascii="Times New Roman;Times;serif" w:hAnsi="Times New Roman;Times;serif"/>
          <w:b w:val="false"/>
          <w:i w:val="false"/>
          <w:caps w:val="false"/>
          <w:smallCaps w:val="false"/>
          <w:color w:val="FF0000"/>
          <w:sz w:val="24"/>
          <w:shd w:fill="FFFFFF" w:val="clear"/>
        </w:rPr>
        <w:t>62</w:t>
      </w:r>
      <w:r>
        <w:rPr>
          <w:rFonts w:ascii="Times New Roman;Times;serif" w:hAnsi="Times New Roman;Times;serif"/>
          <w:b w:val="false"/>
          <w:i w:val="false"/>
          <w:caps w:val="false"/>
          <w:smallCaps w:val="false"/>
          <w:color w:val="0000FF"/>
          <w:sz w:val="24"/>
          <w:u w:val="single"/>
          <w:shd w:fill="FFFFFF" w:val="clear"/>
        </w:rPr>
        <w:t>65</w:t>
      </w:r>
      <w:r>
        <mc:AlternateContent>
          <mc:Choice Requires="wps">
            <w:drawing>
              <wp:anchor behindDoc="0" distT="0" distB="0" distL="0" distR="0" simplePos="0" locked="0" layoutInCell="1" allowOverlap="1" relativeHeight="614">
                <wp:simplePos x="0" y="0"/>
                <wp:positionH relativeFrom="page">
                  <wp:posOffset>0</wp:posOffset>
                </wp:positionH>
                <wp:positionV relativeFrom="line">
                  <wp:posOffset>635</wp:posOffset>
                </wp:positionV>
                <wp:extent cx="6480175" cy="175895"/>
                <wp:effectExtent l="0" t="0" r="0" b="0"/>
                <wp:wrapNone/>
                <wp:docPr id="613" name="Frame6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8.8.Investments, Acquisitions, Loans and Advances</w:t>
      </w:r>
      <w:r>
        <w:rPr>
          <w:rFonts w:ascii="Times New Roman;Times;serif" w:hAnsi="Times New Roman;Times;serif"/>
          <w:b w:val="false"/>
          <w:i w:val="false"/>
          <w:caps w:val="false"/>
          <w:smallCaps w:val="false"/>
          <w:color w:val="FF0000"/>
          <w:sz w:val="24"/>
          <w:shd w:fill="FFFFFF" w:val="clear"/>
        </w:rPr>
        <w:t>62</w:t>
      </w:r>
      <w:r>
        <w:rPr>
          <w:rFonts w:ascii="Times New Roman;Times;serif" w:hAnsi="Times New Roman;Times;serif"/>
          <w:b w:val="false"/>
          <w:i w:val="false"/>
          <w:caps w:val="false"/>
          <w:smallCaps w:val="false"/>
          <w:color w:val="0000FF"/>
          <w:sz w:val="24"/>
          <w:u w:val="single"/>
          <w:shd w:fill="FFFFFF" w:val="clear"/>
        </w:rPr>
        <w:t>65</w:t>
      </w:r>
      <w:r>
        <mc:AlternateContent>
          <mc:Choice Requires="wps">
            <w:drawing>
              <wp:anchor behindDoc="0" distT="0" distB="0" distL="0" distR="0" simplePos="0" locked="0" layoutInCell="1" allowOverlap="1" relativeHeight="615">
                <wp:simplePos x="0" y="0"/>
                <wp:positionH relativeFrom="page">
                  <wp:posOffset>0</wp:posOffset>
                </wp:positionH>
                <wp:positionV relativeFrom="line">
                  <wp:posOffset>635</wp:posOffset>
                </wp:positionV>
                <wp:extent cx="6480175" cy="175895"/>
                <wp:effectExtent l="0" t="0" r="0" b="0"/>
                <wp:wrapNone/>
                <wp:docPr id="614" name="Frame6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8.9.Mergers, Consolidations and Sales</w:t>
      </w:r>
      <w:r>
        <w:rPr>
          <w:rFonts w:ascii="Times New Roman;Times;serif" w:hAnsi="Times New Roman;Times;serif"/>
          <w:b w:val="false"/>
          <w:i w:val="false"/>
          <w:caps w:val="false"/>
          <w:smallCaps w:val="false"/>
          <w:color w:val="FF0000"/>
          <w:sz w:val="24"/>
          <w:shd w:fill="FFFFFF" w:val="clear"/>
        </w:rPr>
        <w:t>63</w:t>
      </w:r>
      <w:r>
        <w:rPr>
          <w:rFonts w:ascii="Times New Roman;Times;serif" w:hAnsi="Times New Roman;Times;serif"/>
          <w:b w:val="false"/>
          <w:i w:val="false"/>
          <w:caps w:val="false"/>
          <w:smallCaps w:val="false"/>
          <w:color w:val="0000FF"/>
          <w:sz w:val="24"/>
          <w:u w:val="single"/>
          <w:shd w:fill="FFFFFF" w:val="clear"/>
        </w:rPr>
        <w:t>67</w:t>
      </w:r>
      <w:r>
        <mc:AlternateContent>
          <mc:Choice Requires="wps">
            <w:drawing>
              <wp:anchor behindDoc="0" distT="0" distB="0" distL="0" distR="0" simplePos="0" locked="0" layoutInCell="1" allowOverlap="1" relativeHeight="616">
                <wp:simplePos x="0" y="0"/>
                <wp:positionH relativeFrom="page">
                  <wp:posOffset>0</wp:posOffset>
                </wp:positionH>
                <wp:positionV relativeFrom="line">
                  <wp:posOffset>635</wp:posOffset>
                </wp:positionV>
                <wp:extent cx="6480175" cy="175895"/>
                <wp:effectExtent l="0" t="0" r="0" b="0"/>
                <wp:wrapNone/>
                <wp:docPr id="615" name="Frame6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8.10.Maintenance of Subsidiaries</w:t>
      </w:r>
      <w:r>
        <w:rPr>
          <w:rFonts w:ascii="Times New Roman;Times;serif" w:hAnsi="Times New Roman;Times;serif"/>
          <w:b w:val="false"/>
          <w:i w:val="false"/>
          <w:caps w:val="false"/>
          <w:smallCaps w:val="false"/>
          <w:color w:val="FF0000"/>
          <w:sz w:val="24"/>
          <w:shd w:fill="FFFFFF" w:val="clear"/>
        </w:rPr>
        <w:t>64</w:t>
      </w:r>
      <w:r>
        <w:rPr>
          <w:rFonts w:ascii="Times New Roman;Times;serif" w:hAnsi="Times New Roman;Times;serif"/>
          <w:b w:val="false"/>
          <w:i w:val="false"/>
          <w:caps w:val="false"/>
          <w:smallCaps w:val="false"/>
          <w:color w:val="0000FF"/>
          <w:sz w:val="24"/>
          <w:u w:val="single"/>
          <w:shd w:fill="FFFFFF" w:val="clear"/>
        </w:rPr>
        <w:t>67</w:t>
      </w:r>
      <w:r>
        <mc:AlternateContent>
          <mc:Choice Requires="wps">
            <w:drawing>
              <wp:anchor behindDoc="0" distT="0" distB="0" distL="0" distR="0" simplePos="0" locked="0" layoutInCell="1" allowOverlap="1" relativeHeight="617">
                <wp:simplePos x="0" y="0"/>
                <wp:positionH relativeFrom="page">
                  <wp:posOffset>0</wp:posOffset>
                </wp:positionH>
                <wp:positionV relativeFrom="line">
                  <wp:posOffset>635</wp:posOffset>
                </wp:positionV>
                <wp:extent cx="6480175" cy="175895"/>
                <wp:effectExtent l="0" t="0" r="0" b="0"/>
                <wp:wrapNone/>
                <wp:docPr id="616" name="Frame6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8.11.ERISA</w:t>
      </w:r>
      <w:r>
        <w:rPr>
          <w:rFonts w:ascii="Times New Roman;Times;serif" w:hAnsi="Times New Roman;Times;serif"/>
          <w:b w:val="false"/>
          <w:i w:val="false"/>
          <w:caps w:val="false"/>
          <w:smallCaps w:val="false"/>
          <w:color w:val="FF0000"/>
          <w:sz w:val="24"/>
          <w:shd w:fill="FFFFFF" w:val="clear"/>
        </w:rPr>
        <w:t>64</w:t>
      </w:r>
      <w:r>
        <w:rPr>
          <w:rFonts w:ascii="Times New Roman;Times;serif" w:hAnsi="Times New Roman;Times;serif"/>
          <w:b w:val="false"/>
          <w:i w:val="false"/>
          <w:caps w:val="false"/>
          <w:smallCaps w:val="false"/>
          <w:color w:val="0000FF"/>
          <w:sz w:val="24"/>
          <w:u w:val="single"/>
          <w:shd w:fill="FFFFFF" w:val="clear"/>
        </w:rPr>
        <w:t>67</w:t>
      </w:r>
      <w:r>
        <mc:AlternateContent>
          <mc:Choice Requires="wps">
            <w:drawing>
              <wp:anchor behindDoc="0" distT="0" distB="0" distL="0" distR="0" simplePos="0" locked="0" layoutInCell="1" allowOverlap="1" relativeHeight="618">
                <wp:simplePos x="0" y="0"/>
                <wp:positionH relativeFrom="page">
                  <wp:posOffset>0</wp:posOffset>
                </wp:positionH>
                <wp:positionV relativeFrom="line">
                  <wp:posOffset>635</wp:posOffset>
                </wp:positionV>
                <wp:extent cx="6480175" cy="175895"/>
                <wp:effectExtent l="0" t="0" r="0" b="0"/>
                <wp:wrapNone/>
                <wp:docPr id="617" name="Frame6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8.12.Compliance with Laws</w:t>
      </w:r>
      <w:r>
        <w:rPr>
          <w:rFonts w:ascii="Times New Roman;Times;serif" w:hAnsi="Times New Roman;Times;serif"/>
          <w:b w:val="false"/>
          <w:i w:val="false"/>
          <w:caps w:val="false"/>
          <w:smallCaps w:val="false"/>
          <w:color w:val="FF0000"/>
          <w:sz w:val="24"/>
          <w:shd w:fill="FFFFFF" w:val="clear"/>
        </w:rPr>
        <w:t>64</w:t>
      </w:r>
      <w:r>
        <w:rPr>
          <w:rFonts w:ascii="Times New Roman;Times;serif" w:hAnsi="Times New Roman;Times;serif"/>
          <w:b w:val="false"/>
          <w:i w:val="false"/>
          <w:caps w:val="false"/>
          <w:smallCaps w:val="false"/>
          <w:color w:val="0000FF"/>
          <w:sz w:val="24"/>
          <w:u w:val="single"/>
          <w:shd w:fill="FFFFFF" w:val="clear"/>
        </w:rPr>
        <w:t>68</w:t>
      </w:r>
      <w:r>
        <mc:AlternateContent>
          <mc:Choice Requires="wps">
            <w:drawing>
              <wp:anchor behindDoc="0" distT="0" distB="0" distL="0" distR="0" simplePos="0" locked="0" layoutInCell="1" allowOverlap="1" relativeHeight="619">
                <wp:simplePos x="0" y="0"/>
                <wp:positionH relativeFrom="page">
                  <wp:posOffset>0</wp:posOffset>
                </wp:positionH>
                <wp:positionV relativeFrom="line">
                  <wp:posOffset>635</wp:posOffset>
                </wp:positionV>
                <wp:extent cx="6480175" cy="175895"/>
                <wp:effectExtent l="0" t="0" r="0" b="0"/>
                <wp:wrapNone/>
                <wp:docPr id="618" name="Frame6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rPr>
        <w:t>Section 8.13.</w:t>
      </w:r>
      <w:r>
        <w:rPr>
          <w:rFonts w:ascii="Times New Roman;Times;serif" w:hAnsi="Times New Roman;Times;serif"/>
          <w:color w:val="0000FF"/>
          <w:sz w:val="24"/>
          <w:u w:val="single"/>
        </w:rPr>
        <w:t>Compliance with OFAC Sanctions Programs and Anti-Corruption Laws</w:t>
      </w:r>
      <w:bookmarkStart w:id="2241" w:name="_cp_change_142"/>
      <w:bookmarkEnd w:id="2241"/>
      <w:r>
        <w:rPr>
          <w:rFonts w:ascii="Times New Roman;Times;serif" w:hAnsi="Times New Roman;Times;serif"/>
          <w:color w:val="FF0000"/>
          <w:sz w:val="24"/>
        </w:rPr>
        <w:t>65</w:t>
      </w:r>
      <w:bookmarkStart w:id="2242" w:name="_cp_change_143"/>
      <w:bookmarkEnd w:id="2242"/>
      <w:r>
        <w:rPr>
          <w:rFonts w:ascii="Times New Roman;Times;serif" w:hAnsi="Times New Roman;Times;serif"/>
          <w:color w:val="0000FF"/>
          <w:sz w:val="24"/>
          <w:u w:val="single"/>
        </w:rPr>
        <w:t>69</w: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8.14.Burdensome Contracts With Affiliates</w:t>
      </w:r>
      <w:r>
        <w:rPr>
          <w:rFonts w:ascii="Times New Roman;Times;serif" w:hAnsi="Times New Roman;Times;serif"/>
          <w:b w:val="false"/>
          <w:i w:val="false"/>
          <w:caps w:val="false"/>
          <w:smallCaps w:val="false"/>
          <w:color w:val="FF0000"/>
          <w:sz w:val="24"/>
          <w:shd w:fill="FFFFFF" w:val="clear"/>
        </w:rPr>
        <w:t>66</w:t>
      </w:r>
      <w:r>
        <w:rPr>
          <w:rFonts w:ascii="Times New Roman;Times;serif" w:hAnsi="Times New Roman;Times;serif"/>
          <w:b w:val="false"/>
          <w:i w:val="false"/>
          <w:caps w:val="false"/>
          <w:smallCaps w:val="false"/>
          <w:color w:val="0000FF"/>
          <w:sz w:val="24"/>
          <w:u w:val="single"/>
          <w:shd w:fill="FFFFFF" w:val="clear"/>
        </w:rPr>
        <w:t>70</w:t>
      </w:r>
      <w:r>
        <mc:AlternateContent>
          <mc:Choice Requires="wps">
            <w:drawing>
              <wp:anchor behindDoc="0" distT="0" distB="0" distL="0" distR="0" simplePos="0" locked="0" layoutInCell="1" allowOverlap="1" relativeHeight="620">
                <wp:simplePos x="0" y="0"/>
                <wp:positionH relativeFrom="page">
                  <wp:posOffset>0</wp:posOffset>
                </wp:positionH>
                <wp:positionV relativeFrom="line">
                  <wp:posOffset>635</wp:posOffset>
                </wp:positionV>
                <wp:extent cx="6480175" cy="175895"/>
                <wp:effectExtent l="0" t="0" r="0" b="0"/>
                <wp:wrapNone/>
                <wp:docPr id="619" name="Frame6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8.15.No Changes in Fiscal Year</w:t>
      </w:r>
      <w:r>
        <w:rPr>
          <w:rFonts w:ascii="Times New Roman;Times;serif" w:hAnsi="Times New Roman;Times;serif"/>
          <w:b w:val="false"/>
          <w:i w:val="false"/>
          <w:caps w:val="false"/>
          <w:smallCaps w:val="false"/>
          <w:color w:val="FF0000"/>
          <w:sz w:val="24"/>
          <w:shd w:fill="FFFFFF" w:val="clear"/>
        </w:rPr>
        <w:t>66</w:t>
      </w:r>
      <w:r>
        <w:rPr>
          <w:rFonts w:ascii="Times New Roman;Times;serif" w:hAnsi="Times New Roman;Times;serif"/>
          <w:b w:val="false"/>
          <w:i w:val="false"/>
          <w:caps w:val="false"/>
          <w:smallCaps w:val="false"/>
          <w:color w:val="0000FF"/>
          <w:sz w:val="24"/>
          <w:u w:val="single"/>
          <w:shd w:fill="FFFFFF" w:val="clear"/>
        </w:rPr>
        <w:t>70</w:t>
      </w:r>
      <w:r>
        <mc:AlternateContent>
          <mc:Choice Requires="wps">
            <w:drawing>
              <wp:anchor behindDoc="0" distT="0" distB="0" distL="0" distR="0" simplePos="0" locked="0" layoutInCell="1" allowOverlap="1" relativeHeight="621">
                <wp:simplePos x="0" y="0"/>
                <wp:positionH relativeFrom="page">
                  <wp:posOffset>0</wp:posOffset>
                </wp:positionH>
                <wp:positionV relativeFrom="line">
                  <wp:posOffset>635</wp:posOffset>
                </wp:positionV>
                <wp:extent cx="6480175" cy="175895"/>
                <wp:effectExtent l="0" t="0" r="0" b="0"/>
                <wp:wrapNone/>
                <wp:docPr id="620" name="Frame6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8.16.Formation of Subsidiaries</w:t>
      </w:r>
      <w:r>
        <w:rPr>
          <w:rFonts w:ascii="Times New Roman;Times;serif" w:hAnsi="Times New Roman;Times;serif"/>
          <w:b w:val="false"/>
          <w:i w:val="false"/>
          <w:caps w:val="false"/>
          <w:smallCaps w:val="false"/>
          <w:color w:val="FF0000"/>
          <w:sz w:val="24"/>
          <w:shd w:fill="FFFFFF" w:val="clear"/>
        </w:rPr>
        <w:t>66</w:t>
      </w:r>
      <w:r>
        <w:rPr>
          <w:rFonts w:ascii="Times New Roman;Times;serif" w:hAnsi="Times New Roman;Times;serif"/>
          <w:b w:val="false"/>
          <w:i w:val="false"/>
          <w:caps w:val="false"/>
          <w:smallCaps w:val="false"/>
          <w:color w:val="0000FF"/>
          <w:sz w:val="24"/>
          <w:u w:val="single"/>
          <w:shd w:fill="FFFFFF" w:val="clear"/>
        </w:rPr>
        <w:t>70</w:t>
      </w:r>
      <w:r>
        <mc:AlternateContent>
          <mc:Choice Requires="wps">
            <w:drawing>
              <wp:anchor behindDoc="0" distT="0" distB="0" distL="0" distR="0" simplePos="0" locked="0" layoutInCell="1" allowOverlap="1" relativeHeight="622">
                <wp:simplePos x="0" y="0"/>
                <wp:positionH relativeFrom="page">
                  <wp:posOffset>0</wp:posOffset>
                </wp:positionH>
                <wp:positionV relativeFrom="line">
                  <wp:posOffset>635</wp:posOffset>
                </wp:positionV>
                <wp:extent cx="6480175" cy="175895"/>
                <wp:effectExtent l="0" t="0" r="0" b="0"/>
                <wp:wrapNone/>
                <wp:docPr id="621" name="Frame6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8.17.Change in the Nature of Business</w:t>
      </w:r>
      <w:r>
        <w:rPr>
          <w:rFonts w:ascii="Times New Roman;Times;serif" w:hAnsi="Times New Roman;Times;serif"/>
          <w:b w:val="false"/>
          <w:i w:val="false"/>
          <w:caps w:val="false"/>
          <w:smallCaps w:val="false"/>
          <w:color w:val="FF0000"/>
          <w:sz w:val="24"/>
          <w:shd w:fill="FFFFFF" w:val="clear"/>
        </w:rPr>
        <w:t>67</w:t>
      </w:r>
      <w:r>
        <w:rPr>
          <w:rFonts w:ascii="Times New Roman;Times;serif" w:hAnsi="Times New Roman;Times;serif"/>
          <w:b w:val="false"/>
          <w:i w:val="false"/>
          <w:caps w:val="false"/>
          <w:smallCaps w:val="false"/>
          <w:color w:val="0000FF"/>
          <w:sz w:val="24"/>
          <w:u w:val="single"/>
          <w:shd w:fill="FFFFFF" w:val="clear"/>
        </w:rPr>
        <w:t>70</w:t>
      </w:r>
      <w:r>
        <mc:AlternateContent>
          <mc:Choice Requires="wps">
            <w:drawing>
              <wp:anchor behindDoc="0" distT="0" distB="0" distL="0" distR="0" simplePos="0" locked="0" layoutInCell="1" allowOverlap="1" relativeHeight="623">
                <wp:simplePos x="0" y="0"/>
                <wp:positionH relativeFrom="page">
                  <wp:posOffset>0</wp:posOffset>
                </wp:positionH>
                <wp:positionV relativeFrom="line">
                  <wp:posOffset>635</wp:posOffset>
                </wp:positionV>
                <wp:extent cx="6480175" cy="175895"/>
                <wp:effectExtent l="0" t="0" r="0" b="0"/>
                <wp:wrapNone/>
                <wp:docPr id="622" name="Frame6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8.18.Use of Proceeds</w:t>
      </w:r>
      <w:r>
        <w:rPr>
          <w:rFonts w:ascii="Times New Roman;Times;serif" w:hAnsi="Times New Roman;Times;serif"/>
          <w:b w:val="false"/>
          <w:i w:val="false"/>
          <w:caps w:val="false"/>
          <w:smallCaps w:val="false"/>
          <w:color w:val="FF0000"/>
          <w:sz w:val="24"/>
          <w:shd w:fill="FFFFFF" w:val="clear"/>
        </w:rPr>
        <w:t>67</w:t>
      </w:r>
      <w:r>
        <w:rPr>
          <w:rFonts w:ascii="Times New Roman;Times;serif" w:hAnsi="Times New Roman;Times;serif"/>
          <w:b w:val="false"/>
          <w:i w:val="false"/>
          <w:caps w:val="false"/>
          <w:smallCaps w:val="false"/>
          <w:color w:val="0000FF"/>
          <w:sz w:val="24"/>
          <w:u w:val="single"/>
          <w:shd w:fill="FFFFFF" w:val="clear"/>
        </w:rPr>
        <w:t>70</w:t>
      </w:r>
      <w:r>
        <mc:AlternateContent>
          <mc:Choice Requires="wps">
            <w:drawing>
              <wp:anchor behindDoc="0" distT="0" distB="0" distL="0" distR="0" simplePos="0" locked="0" layoutInCell="1" allowOverlap="1" relativeHeight="624">
                <wp:simplePos x="0" y="0"/>
                <wp:positionH relativeFrom="page">
                  <wp:posOffset>0</wp:posOffset>
                </wp:positionH>
                <wp:positionV relativeFrom="line">
                  <wp:posOffset>635</wp:posOffset>
                </wp:positionV>
                <wp:extent cx="6480175" cy="175895"/>
                <wp:effectExtent l="0" t="0" r="0" b="0"/>
                <wp:wrapNone/>
                <wp:docPr id="623" name="Frame6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8.19.No Restrictions</w:t>
      </w:r>
      <w:r>
        <w:rPr>
          <w:rFonts w:ascii="Times New Roman;Times;serif" w:hAnsi="Times New Roman;Times;serif"/>
          <w:b w:val="false"/>
          <w:i w:val="false"/>
          <w:caps w:val="false"/>
          <w:smallCaps w:val="false"/>
          <w:color w:val="FF0000"/>
          <w:sz w:val="24"/>
          <w:shd w:fill="FFFFFF" w:val="clear"/>
        </w:rPr>
        <w:t>67</w:t>
      </w:r>
      <w:r>
        <w:rPr>
          <w:rFonts w:ascii="Times New Roman;Times;serif" w:hAnsi="Times New Roman;Times;serif"/>
          <w:b w:val="false"/>
          <w:i w:val="false"/>
          <w:caps w:val="false"/>
          <w:smallCaps w:val="false"/>
          <w:color w:val="0000FF"/>
          <w:sz w:val="24"/>
          <w:u w:val="single"/>
          <w:shd w:fill="FFFFFF" w:val="clear"/>
        </w:rPr>
        <w:t>70</w:t>
      </w:r>
      <w:r>
        <mc:AlternateContent>
          <mc:Choice Requires="wps">
            <w:drawing>
              <wp:anchor behindDoc="0" distT="0" distB="0" distL="0" distR="0" simplePos="0" locked="0" layoutInCell="1" allowOverlap="1" relativeHeight="625">
                <wp:simplePos x="0" y="0"/>
                <wp:positionH relativeFrom="page">
                  <wp:posOffset>0</wp:posOffset>
                </wp:positionH>
                <wp:positionV relativeFrom="line">
                  <wp:posOffset>635</wp:posOffset>
                </wp:positionV>
                <wp:extent cx="6480175" cy="175895"/>
                <wp:effectExtent l="0" t="0" r="0" b="0"/>
                <wp:wrapNone/>
                <wp:docPr id="624" name="Frame6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8.20.Financial Covenants</w:t>
      </w:r>
      <w:r>
        <w:rPr>
          <w:rFonts w:ascii="Times New Roman;Times;serif" w:hAnsi="Times New Roman;Times;serif"/>
          <w:b w:val="false"/>
          <w:i w:val="false"/>
          <w:caps w:val="false"/>
          <w:smallCaps w:val="false"/>
          <w:color w:val="FF0000"/>
          <w:sz w:val="24"/>
          <w:shd w:fill="FFFFFF" w:val="clear"/>
        </w:rPr>
        <w:t>67</w:t>
      </w:r>
      <w:r>
        <w:rPr>
          <w:rFonts w:ascii="Times New Roman;Times;serif" w:hAnsi="Times New Roman;Times;serif"/>
          <w:b w:val="false"/>
          <w:i w:val="false"/>
          <w:caps w:val="false"/>
          <w:smallCaps w:val="false"/>
          <w:color w:val="0000FF"/>
          <w:sz w:val="24"/>
          <w:u w:val="single"/>
          <w:shd w:fill="FFFFFF" w:val="clear"/>
        </w:rPr>
        <w:t>70</w:t>
      </w:r>
      <w:r>
        <mc:AlternateContent>
          <mc:Choice Requires="wps">
            <w:drawing>
              <wp:anchor behindDoc="0" distT="0" distB="0" distL="0" distR="0" simplePos="0" locked="0" layoutInCell="1" allowOverlap="1" relativeHeight="626">
                <wp:simplePos x="0" y="0"/>
                <wp:positionH relativeFrom="page">
                  <wp:posOffset>0</wp:posOffset>
                </wp:positionH>
                <wp:positionV relativeFrom="line">
                  <wp:posOffset>635</wp:posOffset>
                </wp:positionV>
                <wp:extent cx="6480175" cy="175895"/>
                <wp:effectExtent l="0" t="0" r="0" b="0"/>
                <wp:wrapNone/>
                <wp:docPr id="625" name="Frame6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8.21.Borrowing Base Covenant</w:t>
      </w:r>
      <w:r>
        <w:rPr>
          <w:rFonts w:ascii="Times New Roman;Times;serif" w:hAnsi="Times New Roman;Times;serif"/>
          <w:b w:val="false"/>
          <w:i w:val="false"/>
          <w:caps w:val="false"/>
          <w:smallCaps w:val="false"/>
          <w:color w:val="FF0000"/>
          <w:sz w:val="24"/>
          <w:shd w:fill="FFFFFF" w:val="clear"/>
        </w:rPr>
        <w:t>68</w:t>
      </w:r>
      <w:r>
        <w:rPr>
          <w:rFonts w:ascii="Times New Roman;Times;serif" w:hAnsi="Times New Roman;Times;serif"/>
          <w:b w:val="false"/>
          <w:i w:val="false"/>
          <w:caps w:val="false"/>
          <w:smallCaps w:val="false"/>
          <w:color w:val="0000FF"/>
          <w:sz w:val="24"/>
          <w:u w:val="single"/>
          <w:shd w:fill="FFFFFF" w:val="clear"/>
        </w:rPr>
        <w:t>71</w:t>
      </w:r>
      <w:r>
        <mc:AlternateContent>
          <mc:Choice Requires="wps">
            <w:drawing>
              <wp:anchor behindDoc="0" distT="0" distB="0" distL="0" distR="0" simplePos="0" locked="0" layoutInCell="1" allowOverlap="1" relativeHeight="627">
                <wp:simplePos x="0" y="0"/>
                <wp:positionH relativeFrom="page">
                  <wp:posOffset>0</wp:posOffset>
                </wp:positionH>
                <wp:positionV relativeFrom="line">
                  <wp:posOffset>635</wp:posOffset>
                </wp:positionV>
                <wp:extent cx="6480175" cy="175895"/>
                <wp:effectExtent l="0" t="0" r="0" b="0"/>
                <wp:wrapNone/>
                <wp:docPr id="626" name="Frame6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8.22.Reserved</w:t>
      </w:r>
      <w:r>
        <w:rPr>
          <w:rFonts w:ascii="Times New Roman;Times;serif" w:hAnsi="Times New Roman;Times;serif"/>
          <w:b w:val="false"/>
          <w:i w:val="false"/>
          <w:caps w:val="false"/>
          <w:smallCaps w:val="false"/>
          <w:color w:val="FF0000"/>
          <w:sz w:val="24"/>
          <w:shd w:fill="FFFFFF" w:val="clear"/>
        </w:rPr>
        <w:t>68</w:t>
      </w:r>
      <w:r>
        <w:rPr>
          <w:rFonts w:ascii="Times New Roman;Times;serif" w:hAnsi="Times New Roman;Times;serif"/>
          <w:b w:val="false"/>
          <w:i w:val="false"/>
          <w:caps w:val="false"/>
          <w:smallCaps w:val="false"/>
          <w:color w:val="0000FF"/>
          <w:sz w:val="24"/>
          <w:u w:val="single"/>
          <w:shd w:fill="FFFFFF" w:val="clear"/>
        </w:rPr>
        <w:t>71</w:t>
      </w:r>
      <w:r>
        <mc:AlternateContent>
          <mc:Choice Requires="wps">
            <w:drawing>
              <wp:anchor behindDoc="0" distT="0" distB="0" distL="0" distR="0" simplePos="0" locked="0" layoutInCell="1" allowOverlap="1" relativeHeight="628">
                <wp:simplePos x="0" y="0"/>
                <wp:positionH relativeFrom="page">
                  <wp:posOffset>0</wp:posOffset>
                </wp:positionH>
                <wp:positionV relativeFrom="line">
                  <wp:posOffset>635</wp:posOffset>
                </wp:positionV>
                <wp:extent cx="6480175" cy="175895"/>
                <wp:effectExtent l="0" t="0" r="0" b="0"/>
                <wp:wrapNone/>
                <wp:docPr id="627" name="Frame6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8.23.Electronic Delivery of Certain Information</w:t>
      </w:r>
      <w:r>
        <w:rPr>
          <w:rFonts w:ascii="Times New Roman;Times;serif" w:hAnsi="Times New Roman;Times;serif"/>
          <w:b w:val="false"/>
          <w:i w:val="false"/>
          <w:caps w:val="false"/>
          <w:smallCaps w:val="false"/>
          <w:color w:val="FF0000"/>
          <w:sz w:val="24"/>
          <w:shd w:fill="FFFFFF" w:val="clear"/>
        </w:rPr>
        <w:t>68</w:t>
      </w:r>
      <w:r>
        <w:rPr>
          <w:rFonts w:ascii="Times New Roman;Times;serif" w:hAnsi="Times New Roman;Times;serif"/>
          <w:b w:val="false"/>
          <w:i w:val="false"/>
          <w:caps w:val="false"/>
          <w:smallCaps w:val="false"/>
          <w:color w:val="0000FF"/>
          <w:sz w:val="24"/>
          <w:u w:val="single"/>
          <w:shd w:fill="FFFFFF" w:val="clear"/>
        </w:rPr>
        <w:t>71</w:t>
      </w:r>
      <w:r>
        <mc:AlternateContent>
          <mc:Choice Requires="wps">
            <w:drawing>
              <wp:anchor behindDoc="0" distT="0" distB="0" distL="0" distR="0" simplePos="0" locked="0" layoutInCell="1" allowOverlap="1" relativeHeight="629">
                <wp:simplePos x="0" y="0"/>
                <wp:positionH relativeFrom="page">
                  <wp:posOffset>0</wp:posOffset>
                </wp:positionH>
                <wp:positionV relativeFrom="line">
                  <wp:posOffset>635</wp:posOffset>
                </wp:positionV>
                <wp:extent cx="6480175" cy="175895"/>
                <wp:effectExtent l="0" t="0" r="0" b="0"/>
                <wp:wrapNone/>
                <wp:docPr id="628" name="Frame6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8.24.Collateral Trigger Event</w:t>
      </w:r>
      <w:r>
        <w:rPr>
          <w:rFonts w:ascii="Times New Roman;Times;serif" w:hAnsi="Times New Roman;Times;serif"/>
          <w:b w:val="false"/>
          <w:i w:val="false"/>
          <w:caps w:val="false"/>
          <w:smallCaps w:val="false"/>
          <w:color w:val="FF0000"/>
          <w:sz w:val="24"/>
          <w:shd w:fill="FFFFFF" w:val="clear"/>
        </w:rPr>
        <w:t>69</w:t>
      </w:r>
      <w:r>
        <w:rPr>
          <w:rFonts w:ascii="Times New Roman;Times;serif" w:hAnsi="Times New Roman;Times;serif"/>
          <w:b w:val="false"/>
          <w:i w:val="false"/>
          <w:caps w:val="false"/>
          <w:smallCaps w:val="false"/>
          <w:color w:val="0000FF"/>
          <w:sz w:val="24"/>
          <w:u w:val="single"/>
          <w:shd w:fill="FFFFFF" w:val="clear"/>
        </w:rPr>
        <w:t>73</w:t>
      </w:r>
      <w:r>
        <mc:AlternateContent>
          <mc:Choice Requires="wps">
            <w:drawing>
              <wp:anchor behindDoc="0" distT="0" distB="0" distL="0" distR="0" simplePos="0" locked="0" layoutInCell="1" allowOverlap="1" relativeHeight="630">
                <wp:simplePos x="0" y="0"/>
                <wp:positionH relativeFrom="page">
                  <wp:posOffset>0</wp:posOffset>
                </wp:positionH>
                <wp:positionV relativeFrom="line">
                  <wp:posOffset>635</wp:posOffset>
                </wp:positionV>
                <wp:extent cx="6480175" cy="175895"/>
                <wp:effectExtent l="0" t="0" r="0" b="0"/>
                <wp:wrapNone/>
                <wp:docPr id="629" name="Frame6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8.25.1031 Properties</w:t>
      </w:r>
      <w:r>
        <w:rPr>
          <w:rFonts w:ascii="Times New Roman;Times;serif" w:hAnsi="Times New Roman;Times;serif"/>
          <w:b w:val="false"/>
          <w:i w:val="false"/>
          <w:caps w:val="false"/>
          <w:smallCaps w:val="false"/>
          <w:color w:val="FF0000"/>
          <w:sz w:val="24"/>
          <w:shd w:fill="FFFFFF" w:val="clear"/>
        </w:rPr>
        <w:t>71</w:t>
      </w:r>
      <w:r>
        <w:rPr>
          <w:rFonts w:ascii="Times New Roman;Times;serif" w:hAnsi="Times New Roman;Times;serif"/>
          <w:b w:val="false"/>
          <w:i w:val="false"/>
          <w:caps w:val="false"/>
          <w:smallCaps w:val="false"/>
          <w:color w:val="0000FF"/>
          <w:sz w:val="24"/>
          <w:u w:val="single"/>
          <w:shd w:fill="FFFFFF" w:val="clear"/>
        </w:rPr>
        <w:t>75</w:t>
      </w:r>
      <w:r>
        <mc:AlternateContent>
          <mc:Choice Requires="wps">
            <w:drawing>
              <wp:anchor behindDoc="0" distT="0" distB="0" distL="0" distR="0" simplePos="0" locked="0" layoutInCell="1" allowOverlap="1" relativeHeight="631">
                <wp:simplePos x="0" y="0"/>
                <wp:positionH relativeFrom="page">
                  <wp:posOffset>0</wp:posOffset>
                </wp:positionH>
                <wp:positionV relativeFrom="line">
                  <wp:posOffset>635</wp:posOffset>
                </wp:positionV>
                <wp:extent cx="6480175" cy="175895"/>
                <wp:effectExtent l="0" t="0" r="0" b="0"/>
                <wp:wrapNone/>
                <wp:docPr id="630" name="Frame6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8.26.Reserved</w:t>
      </w:r>
      <w:r>
        <w:rPr>
          <w:rFonts w:ascii="Times New Roman;Times;serif" w:hAnsi="Times New Roman;Times;serif"/>
          <w:b w:val="false"/>
          <w:i w:val="false"/>
          <w:caps w:val="false"/>
          <w:smallCaps w:val="false"/>
          <w:color w:val="FF0000"/>
          <w:sz w:val="24"/>
          <w:shd w:fill="FFFFFF" w:val="clear"/>
        </w:rPr>
        <w:t>71</w:t>
      </w:r>
      <w:r>
        <w:rPr>
          <w:rFonts w:ascii="Times New Roman;Times;serif" w:hAnsi="Times New Roman;Times;serif"/>
          <w:b w:val="false"/>
          <w:i w:val="false"/>
          <w:caps w:val="false"/>
          <w:smallCaps w:val="false"/>
          <w:color w:val="0000FF"/>
          <w:sz w:val="24"/>
          <w:u w:val="single"/>
          <w:shd w:fill="FFFFFF" w:val="clear"/>
        </w:rPr>
        <w:t>75</w:t>
      </w:r>
      <w:r>
        <mc:AlternateContent>
          <mc:Choice Requires="wps">
            <w:drawing>
              <wp:anchor behindDoc="0" distT="0" distB="0" distL="0" distR="0" simplePos="0" locked="0" layoutInCell="1" allowOverlap="1" relativeHeight="632">
                <wp:simplePos x="0" y="0"/>
                <wp:positionH relativeFrom="page">
                  <wp:posOffset>0</wp:posOffset>
                </wp:positionH>
                <wp:positionV relativeFrom="line">
                  <wp:posOffset>635</wp:posOffset>
                </wp:positionV>
                <wp:extent cx="6480175" cy="175895"/>
                <wp:effectExtent l="0" t="0" r="0" b="0"/>
                <wp:wrapNone/>
                <wp:docPr id="631" name="Frame6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8.27.Reserved</w:t>
      </w:r>
      <w:r>
        <w:rPr>
          <w:rFonts w:ascii="Times New Roman;Times;serif" w:hAnsi="Times New Roman;Times;serif"/>
          <w:b w:val="false"/>
          <w:i w:val="false"/>
          <w:caps w:val="false"/>
          <w:smallCaps w:val="false"/>
          <w:color w:val="FF0000"/>
          <w:sz w:val="24"/>
          <w:shd w:fill="FFFFFF" w:val="clear"/>
        </w:rPr>
        <w:t>71</w:t>
      </w:r>
      <w:r>
        <w:rPr>
          <w:rFonts w:ascii="Times New Roman;Times;serif" w:hAnsi="Times New Roman;Times;serif"/>
          <w:b w:val="false"/>
          <w:i w:val="false"/>
          <w:caps w:val="false"/>
          <w:smallCaps w:val="false"/>
          <w:color w:val="0000FF"/>
          <w:sz w:val="24"/>
          <w:u w:val="single"/>
          <w:shd w:fill="FFFFFF" w:val="clear"/>
        </w:rPr>
        <w:t>75</w:t>
      </w:r>
      <w:r>
        <mc:AlternateContent>
          <mc:Choice Requires="wps">
            <w:drawing>
              <wp:anchor behindDoc="0" distT="0" distB="0" distL="0" distR="0" simplePos="0" locked="0" layoutInCell="1" allowOverlap="1" relativeHeight="633">
                <wp:simplePos x="0" y="0"/>
                <wp:positionH relativeFrom="page">
                  <wp:posOffset>0</wp:posOffset>
                </wp:positionH>
                <wp:positionV relativeFrom="line">
                  <wp:posOffset>635</wp:posOffset>
                </wp:positionV>
                <wp:extent cx="6480175" cy="175895"/>
                <wp:effectExtent l="0" t="0" r="0" b="0"/>
                <wp:wrapNone/>
                <wp:docPr id="632" name="Frame6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8.28.REIT Status</w:t>
      </w:r>
      <w:r>
        <w:rPr>
          <w:rFonts w:ascii="Times New Roman;Times;serif" w:hAnsi="Times New Roman;Times;serif"/>
          <w:b w:val="false"/>
          <w:i w:val="false"/>
          <w:caps w:val="false"/>
          <w:smallCaps w:val="false"/>
          <w:color w:val="FF0000"/>
          <w:sz w:val="24"/>
          <w:shd w:fill="FFFFFF" w:val="clear"/>
        </w:rPr>
        <w:t>71</w:t>
      </w:r>
      <w:r>
        <w:rPr>
          <w:rFonts w:ascii="Times New Roman;Times;serif" w:hAnsi="Times New Roman;Times;serif"/>
          <w:b w:val="false"/>
          <w:i w:val="false"/>
          <w:caps w:val="false"/>
          <w:smallCaps w:val="false"/>
          <w:color w:val="0000FF"/>
          <w:sz w:val="24"/>
          <w:u w:val="single"/>
          <w:shd w:fill="FFFFFF" w:val="clear"/>
        </w:rPr>
        <w:t>75</w:t>
      </w:r>
      <w:r>
        <mc:AlternateContent>
          <mc:Choice Requires="wps">
            <w:drawing>
              <wp:anchor behindDoc="0" distT="0" distB="0" distL="0" distR="0" simplePos="0" locked="0" layoutInCell="1" allowOverlap="1" relativeHeight="634">
                <wp:simplePos x="0" y="0"/>
                <wp:positionH relativeFrom="page">
                  <wp:posOffset>0</wp:posOffset>
                </wp:positionH>
                <wp:positionV relativeFrom="line">
                  <wp:posOffset>635</wp:posOffset>
                </wp:positionV>
                <wp:extent cx="6480175" cy="175895"/>
                <wp:effectExtent l="0" t="0" r="0" b="0"/>
                <wp:wrapNone/>
                <wp:docPr id="633" name="Frame6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8.29.Restricted Payments</w:t>
      </w:r>
      <w:r>
        <w:rPr>
          <w:rFonts w:ascii="Times New Roman;Times;serif" w:hAnsi="Times New Roman;Times;serif"/>
          <w:b w:val="false"/>
          <w:i w:val="false"/>
          <w:caps w:val="false"/>
          <w:smallCaps w:val="false"/>
          <w:color w:val="FF0000"/>
          <w:sz w:val="24"/>
          <w:shd w:fill="FFFFFF" w:val="clear"/>
        </w:rPr>
        <w:t>71</w:t>
      </w:r>
      <w:r>
        <w:rPr>
          <w:rFonts w:ascii="Times New Roman;Times;serif" w:hAnsi="Times New Roman;Times;serif"/>
          <w:b w:val="false"/>
          <w:i w:val="false"/>
          <w:caps w:val="false"/>
          <w:smallCaps w:val="false"/>
          <w:color w:val="0000FF"/>
          <w:sz w:val="24"/>
          <w:u w:val="single"/>
          <w:shd w:fill="FFFFFF" w:val="clear"/>
        </w:rPr>
        <w:t>75</w:t>
      </w:r>
      <w:r>
        <mc:AlternateContent>
          <mc:Choice Requires="wps">
            <w:drawing>
              <wp:anchor behindDoc="0" distT="0" distB="0" distL="0" distR="0" simplePos="0" locked="0" layoutInCell="1" allowOverlap="1" relativeHeight="635">
                <wp:simplePos x="0" y="0"/>
                <wp:positionH relativeFrom="page">
                  <wp:posOffset>0</wp:posOffset>
                </wp:positionH>
                <wp:positionV relativeFrom="line">
                  <wp:posOffset>635</wp:posOffset>
                </wp:positionV>
                <wp:extent cx="6480175" cy="175895"/>
                <wp:effectExtent l="0" t="0" r="0" b="0"/>
                <wp:wrapNone/>
                <wp:docPr id="634" name="Frame6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8.30.Florida Documentary Stamp Tax</w:t>
      </w:r>
      <w:r>
        <w:rPr>
          <w:rFonts w:ascii="Times New Roman;Times;serif" w:hAnsi="Times New Roman;Times;serif"/>
          <w:b w:val="false"/>
          <w:i w:val="false"/>
          <w:caps w:val="false"/>
          <w:smallCaps w:val="false"/>
          <w:color w:val="FF0000"/>
          <w:sz w:val="24"/>
          <w:shd w:fill="FFFFFF" w:val="clear"/>
        </w:rPr>
        <w:t>72</w:t>
      </w:r>
      <w:r>
        <w:rPr>
          <w:rFonts w:ascii="Times New Roman;Times;serif" w:hAnsi="Times New Roman;Times;serif"/>
          <w:b w:val="false"/>
          <w:i w:val="false"/>
          <w:caps w:val="false"/>
          <w:smallCaps w:val="false"/>
          <w:color w:val="0000FF"/>
          <w:sz w:val="24"/>
          <w:u w:val="single"/>
          <w:shd w:fill="FFFFFF" w:val="clear"/>
        </w:rPr>
        <w:t>76</w:t>
      </w:r>
      <w:r>
        <mc:AlternateContent>
          <mc:Choice Requires="wps">
            <w:drawing>
              <wp:anchor behindDoc="0" distT="0" distB="0" distL="0" distR="0" simplePos="0" locked="0" layoutInCell="1" allowOverlap="1" relativeHeight="636">
                <wp:simplePos x="0" y="0"/>
                <wp:positionH relativeFrom="page">
                  <wp:posOffset>0</wp:posOffset>
                </wp:positionH>
                <wp:positionV relativeFrom="line">
                  <wp:posOffset>635</wp:posOffset>
                </wp:positionV>
                <wp:extent cx="6480175" cy="175895"/>
                <wp:effectExtent l="0" t="0" r="0" b="0"/>
                <wp:wrapNone/>
                <wp:docPr id="635" name="Frame6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8.31.Limitations Regarding Outbound Investment Rules</w:t>
      </w:r>
      <w:r>
        <w:rPr>
          <w:rFonts w:ascii="Times New Roman;Times;serif" w:hAnsi="Times New Roman;Times;serif"/>
          <w:b w:val="false"/>
          <w:i w:val="false"/>
          <w:caps w:val="false"/>
          <w:smallCaps w:val="false"/>
          <w:color w:val="0000FF"/>
          <w:sz w:val="24"/>
          <w:u w:val="single"/>
          <w:shd w:fill="FFFFFF" w:val="clear"/>
        </w:rPr>
        <w:t>76</w:t>
      </w:r>
      <w:r>
        <mc:AlternateContent>
          <mc:Choice Requires="wps">
            <w:drawing>
              <wp:anchor behindDoc="0" distT="0" distB="0" distL="0" distR="0" simplePos="0" locked="0" layoutInCell="1" allowOverlap="1" relativeHeight="637">
                <wp:simplePos x="0" y="0"/>
                <wp:positionH relativeFrom="page">
                  <wp:posOffset>0</wp:posOffset>
                </wp:positionH>
                <wp:positionV relativeFrom="line">
                  <wp:posOffset>635</wp:posOffset>
                </wp:positionV>
                <wp:extent cx="6480175" cy="175895"/>
                <wp:effectExtent l="0" t="0" r="0" b="0"/>
                <wp:wrapNone/>
                <wp:docPr id="636" name="Frame6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9.Events of Default and Remedies</w:t>
      </w:r>
      <w:r>
        <w:rPr>
          <w:rFonts w:ascii="Times New Roman;Times;serif" w:hAnsi="Times New Roman;Times;serif"/>
          <w:b w:val="false"/>
          <w:i w:val="false"/>
          <w:caps w:val="false"/>
          <w:smallCaps w:val="false"/>
          <w:color w:val="FF0000"/>
          <w:sz w:val="24"/>
          <w:shd w:fill="FFFFFF" w:val="clear"/>
        </w:rPr>
        <w:t>72</w:t>
      </w:r>
      <w:r>
        <w:rPr>
          <w:rFonts w:ascii="Times New Roman;Times;serif" w:hAnsi="Times New Roman;Times;serif"/>
          <w:b w:val="false"/>
          <w:i w:val="false"/>
          <w:caps w:val="false"/>
          <w:smallCaps w:val="false"/>
          <w:color w:val="0000FF"/>
          <w:sz w:val="24"/>
          <w:u w:val="single"/>
          <w:shd w:fill="FFFFFF" w:val="clear"/>
        </w:rPr>
        <w:t>76</w:t>
      </w:r>
      <w:r>
        <mc:AlternateContent>
          <mc:Choice Requires="wps">
            <w:drawing>
              <wp:anchor behindDoc="0" distT="0" distB="0" distL="0" distR="0" simplePos="0" locked="0" layoutInCell="1" allowOverlap="1" relativeHeight="638">
                <wp:simplePos x="0" y="0"/>
                <wp:positionH relativeFrom="page">
                  <wp:posOffset>0</wp:posOffset>
                </wp:positionH>
                <wp:positionV relativeFrom="line">
                  <wp:posOffset>635</wp:posOffset>
                </wp:positionV>
                <wp:extent cx="6480175" cy="175895"/>
                <wp:effectExtent l="0" t="0" r="0" b="0"/>
                <wp:wrapNone/>
                <wp:docPr id="637" name="Frame6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9.1.Events of Default</w:t>
      </w:r>
      <w:r>
        <w:rPr>
          <w:rFonts w:ascii="Times New Roman;Times;serif" w:hAnsi="Times New Roman;Times;serif"/>
          <w:b w:val="false"/>
          <w:i w:val="false"/>
          <w:caps w:val="false"/>
          <w:smallCaps w:val="false"/>
          <w:color w:val="FF0000"/>
          <w:sz w:val="24"/>
          <w:shd w:fill="FFFFFF" w:val="clear"/>
        </w:rPr>
        <w:t>72</w:t>
      </w:r>
      <w:r>
        <w:rPr>
          <w:rFonts w:ascii="Times New Roman;Times;serif" w:hAnsi="Times New Roman;Times;serif"/>
          <w:b w:val="false"/>
          <w:i w:val="false"/>
          <w:caps w:val="false"/>
          <w:smallCaps w:val="false"/>
          <w:color w:val="0000FF"/>
          <w:sz w:val="24"/>
          <w:u w:val="single"/>
          <w:shd w:fill="FFFFFF" w:val="clear"/>
        </w:rPr>
        <w:t>76</w:t>
      </w:r>
      <w:r>
        <mc:AlternateContent>
          <mc:Choice Requires="wps">
            <w:drawing>
              <wp:anchor behindDoc="0" distT="0" distB="0" distL="0" distR="0" simplePos="0" locked="0" layoutInCell="1" allowOverlap="1" relativeHeight="639">
                <wp:simplePos x="0" y="0"/>
                <wp:positionH relativeFrom="page">
                  <wp:posOffset>0</wp:posOffset>
                </wp:positionH>
                <wp:positionV relativeFrom="line">
                  <wp:posOffset>635</wp:posOffset>
                </wp:positionV>
                <wp:extent cx="6480175" cy="175895"/>
                <wp:effectExtent l="0" t="0" r="0" b="0"/>
                <wp:wrapNone/>
                <wp:docPr id="638" name="Frame6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9.2.Non-Bankruptcy Defaults</w:t>
      </w:r>
      <w:r>
        <w:rPr>
          <w:rFonts w:ascii="Times New Roman;Times;serif" w:hAnsi="Times New Roman;Times;serif"/>
          <w:b w:val="false"/>
          <w:i w:val="false"/>
          <w:caps w:val="false"/>
          <w:smallCaps w:val="false"/>
          <w:color w:val="FF0000"/>
          <w:sz w:val="24"/>
          <w:shd w:fill="FFFFFF" w:val="clear"/>
        </w:rPr>
        <w:t>75</w:t>
      </w:r>
      <w:r>
        <w:rPr>
          <w:rFonts w:ascii="Times New Roman;Times;serif" w:hAnsi="Times New Roman;Times;serif"/>
          <w:b w:val="false"/>
          <w:i w:val="false"/>
          <w:caps w:val="false"/>
          <w:smallCaps w:val="false"/>
          <w:color w:val="0000FF"/>
          <w:sz w:val="24"/>
          <w:u w:val="single"/>
          <w:shd w:fill="FFFFFF" w:val="clear"/>
        </w:rPr>
        <w:t>79</w:t>
      </w:r>
      <w:r>
        <mc:AlternateContent>
          <mc:Choice Requires="wps">
            <w:drawing>
              <wp:anchor behindDoc="0" distT="0" distB="0" distL="0" distR="0" simplePos="0" locked="0" layoutInCell="1" allowOverlap="1" relativeHeight="640">
                <wp:simplePos x="0" y="0"/>
                <wp:positionH relativeFrom="page">
                  <wp:posOffset>0</wp:posOffset>
                </wp:positionH>
                <wp:positionV relativeFrom="line">
                  <wp:posOffset>635</wp:posOffset>
                </wp:positionV>
                <wp:extent cx="6480175" cy="175895"/>
                <wp:effectExtent l="0" t="0" r="0" b="0"/>
                <wp:wrapNone/>
                <wp:docPr id="639" name="Frame6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9.3.Bankruptcy Defaults</w:t>
      </w:r>
      <w:r>
        <w:rPr>
          <w:rFonts w:ascii="Times New Roman;Times;serif" w:hAnsi="Times New Roman;Times;serif"/>
          <w:b w:val="false"/>
          <w:i w:val="false"/>
          <w:caps w:val="false"/>
          <w:smallCaps w:val="false"/>
          <w:color w:val="FF0000"/>
          <w:sz w:val="24"/>
          <w:shd w:fill="FFFFFF" w:val="clear"/>
        </w:rPr>
        <w:t>75</w:t>
      </w:r>
      <w:r>
        <w:rPr>
          <w:rFonts w:ascii="Times New Roman;Times;serif" w:hAnsi="Times New Roman;Times;serif"/>
          <w:b w:val="false"/>
          <w:i w:val="false"/>
          <w:caps w:val="false"/>
          <w:smallCaps w:val="false"/>
          <w:color w:val="0000FF"/>
          <w:sz w:val="24"/>
          <w:u w:val="single"/>
          <w:shd w:fill="FFFFFF" w:val="clear"/>
        </w:rPr>
        <w:t>79</w:t>
      </w:r>
      <w:r>
        <mc:AlternateContent>
          <mc:Choice Requires="wps">
            <w:drawing>
              <wp:anchor behindDoc="0" distT="0" distB="0" distL="0" distR="0" simplePos="0" locked="0" layoutInCell="1" allowOverlap="1" relativeHeight="641">
                <wp:simplePos x="0" y="0"/>
                <wp:positionH relativeFrom="page">
                  <wp:posOffset>0</wp:posOffset>
                </wp:positionH>
                <wp:positionV relativeFrom="line">
                  <wp:posOffset>635</wp:posOffset>
                </wp:positionV>
                <wp:extent cx="6480175" cy="175895"/>
                <wp:effectExtent l="0" t="0" r="0" b="0"/>
                <wp:wrapNone/>
                <wp:docPr id="640" name="Frame6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9.4.Notice of Default</w:t>
      </w:r>
      <w:r>
        <w:rPr>
          <w:rFonts w:ascii="Times New Roman;Times;serif" w:hAnsi="Times New Roman;Times;serif"/>
          <w:b w:val="false"/>
          <w:i w:val="false"/>
          <w:caps w:val="false"/>
          <w:smallCaps w:val="false"/>
          <w:color w:val="FF0000"/>
          <w:sz w:val="24"/>
          <w:shd w:fill="FFFFFF" w:val="clear"/>
        </w:rPr>
        <w:t>75</w:t>
      </w:r>
      <w:r>
        <w:rPr>
          <w:rFonts w:ascii="Times New Roman;Times;serif" w:hAnsi="Times New Roman;Times;serif"/>
          <w:b w:val="false"/>
          <w:i w:val="false"/>
          <w:caps w:val="false"/>
          <w:smallCaps w:val="false"/>
          <w:color w:val="0000FF"/>
          <w:sz w:val="24"/>
          <w:u w:val="single"/>
          <w:shd w:fill="FFFFFF" w:val="clear"/>
        </w:rPr>
        <w:t>79</w:t>
      </w:r>
      <w:r>
        <mc:AlternateContent>
          <mc:Choice Requires="wps">
            <w:drawing>
              <wp:anchor behindDoc="0" distT="0" distB="0" distL="0" distR="0" simplePos="0" locked="0" layoutInCell="1" allowOverlap="1" relativeHeight="642">
                <wp:simplePos x="0" y="0"/>
                <wp:positionH relativeFrom="page">
                  <wp:posOffset>0</wp:posOffset>
                </wp:positionH>
                <wp:positionV relativeFrom="line">
                  <wp:posOffset>635</wp:posOffset>
                </wp:positionV>
                <wp:extent cx="6480175" cy="175895"/>
                <wp:effectExtent l="0" t="0" r="0" b="0"/>
                <wp:wrapNone/>
                <wp:docPr id="641" name="Frame6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10.Change in Circumstances</w:t>
      </w:r>
      <w:r>
        <w:rPr>
          <w:rFonts w:ascii="Times New Roman;Times;serif" w:hAnsi="Times New Roman;Times;serif"/>
          <w:b w:val="false"/>
          <w:i w:val="false"/>
          <w:caps w:val="false"/>
          <w:smallCaps w:val="false"/>
          <w:color w:val="FF0000"/>
          <w:sz w:val="24"/>
          <w:shd w:fill="FFFFFF" w:val="clear"/>
        </w:rPr>
        <w:t>75</w:t>
      </w:r>
      <w:r>
        <w:rPr>
          <w:rFonts w:ascii="Times New Roman;Times;serif" w:hAnsi="Times New Roman;Times;serif"/>
          <w:b w:val="false"/>
          <w:i w:val="false"/>
          <w:caps w:val="false"/>
          <w:smallCaps w:val="false"/>
          <w:color w:val="0000FF"/>
          <w:sz w:val="24"/>
          <w:u w:val="single"/>
          <w:shd w:fill="FFFFFF" w:val="clear"/>
        </w:rPr>
        <w:t>79</w:t>
      </w:r>
      <w:r>
        <mc:AlternateContent>
          <mc:Choice Requires="wps">
            <w:drawing>
              <wp:anchor behindDoc="0" distT="0" distB="0" distL="0" distR="0" simplePos="0" locked="0" layoutInCell="1" allowOverlap="1" relativeHeight="643">
                <wp:simplePos x="0" y="0"/>
                <wp:positionH relativeFrom="page">
                  <wp:posOffset>0</wp:posOffset>
                </wp:positionH>
                <wp:positionV relativeFrom="line">
                  <wp:posOffset>635</wp:posOffset>
                </wp:positionV>
                <wp:extent cx="6480175" cy="175895"/>
                <wp:effectExtent l="0" t="0" r="0" b="0"/>
                <wp:wrapNone/>
                <wp:docPr id="642" name="Frame6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10.1.Change of Law</w:t>
      </w:r>
      <w:r>
        <w:rPr>
          <w:rFonts w:ascii="Times New Roman;Times;serif" w:hAnsi="Times New Roman;Times;serif"/>
          <w:b w:val="false"/>
          <w:i w:val="false"/>
          <w:caps w:val="false"/>
          <w:smallCaps w:val="false"/>
          <w:color w:val="FF0000"/>
          <w:sz w:val="24"/>
          <w:shd w:fill="FFFFFF" w:val="clear"/>
        </w:rPr>
        <w:t>75</w:t>
      </w:r>
      <w:r>
        <w:rPr>
          <w:rFonts w:ascii="Times New Roman;Times;serif" w:hAnsi="Times New Roman;Times;serif"/>
          <w:b w:val="false"/>
          <w:i w:val="false"/>
          <w:caps w:val="false"/>
          <w:smallCaps w:val="false"/>
          <w:color w:val="0000FF"/>
          <w:sz w:val="24"/>
          <w:u w:val="single"/>
          <w:shd w:fill="FFFFFF" w:val="clear"/>
        </w:rPr>
        <w:t>79</w:t>
      </w:r>
      <w:r>
        <mc:AlternateContent>
          <mc:Choice Requires="wps">
            <w:drawing>
              <wp:anchor behindDoc="0" distT="0" distB="0" distL="0" distR="0" simplePos="0" locked="0" layoutInCell="1" allowOverlap="1" relativeHeight="644">
                <wp:simplePos x="0" y="0"/>
                <wp:positionH relativeFrom="page">
                  <wp:posOffset>0</wp:posOffset>
                </wp:positionH>
                <wp:positionV relativeFrom="line">
                  <wp:posOffset>635</wp:posOffset>
                </wp:positionV>
                <wp:extent cx="6480175" cy="175895"/>
                <wp:effectExtent l="0" t="0" r="0" b="0"/>
                <wp:wrapNone/>
                <wp:docPr id="643" name="Frame6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10.2.Temporary Inability to Determine Rates; Alternate Rate of Interest</w:t>
      </w:r>
      <w:r>
        <w:rPr>
          <w:rFonts w:ascii="Times New Roman;Times;serif" w:hAnsi="Times New Roman;Times;serif"/>
          <w:b w:val="false"/>
          <w:i w:val="false"/>
          <w:caps w:val="false"/>
          <w:smallCaps w:val="false"/>
          <w:color w:val="FF0000"/>
          <w:sz w:val="24"/>
          <w:shd w:fill="FFFFFF" w:val="clear"/>
        </w:rPr>
        <w:t>75</w:t>
      </w:r>
      <w:r>
        <w:rPr>
          <w:rFonts w:ascii="Times New Roman;Times;serif" w:hAnsi="Times New Roman;Times;serif"/>
          <w:b w:val="false"/>
          <w:i w:val="false"/>
          <w:caps w:val="false"/>
          <w:smallCaps w:val="false"/>
          <w:color w:val="0000FF"/>
          <w:sz w:val="24"/>
          <w:u w:val="single"/>
          <w:shd w:fill="FFFFFF" w:val="clear"/>
        </w:rPr>
        <w:t>79</w:t>
      </w:r>
      <w:r>
        <mc:AlternateContent>
          <mc:Choice Requires="wps">
            <w:drawing>
              <wp:anchor behindDoc="0" distT="0" distB="0" distL="0" distR="0" simplePos="0" locked="0" layoutInCell="1" allowOverlap="1" relativeHeight="645">
                <wp:simplePos x="0" y="0"/>
                <wp:positionH relativeFrom="page">
                  <wp:posOffset>0</wp:posOffset>
                </wp:positionH>
                <wp:positionV relativeFrom="line">
                  <wp:posOffset>635</wp:posOffset>
                </wp:positionV>
                <wp:extent cx="6480175" cy="175895"/>
                <wp:effectExtent l="0" t="0" r="0" b="0"/>
                <wp:wrapNone/>
                <wp:docPr id="644" name="Frame6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10.3.Increased Cost and Reduced Return</w:t>
      </w:r>
      <w:r>
        <w:rPr>
          <w:rFonts w:ascii="Times New Roman;Times;serif" w:hAnsi="Times New Roman;Times;serif"/>
          <w:b w:val="false"/>
          <w:i w:val="false"/>
          <w:caps w:val="false"/>
          <w:smallCaps w:val="false"/>
          <w:color w:val="FF0000"/>
          <w:sz w:val="24"/>
          <w:shd w:fill="FFFFFF" w:val="clear"/>
        </w:rPr>
        <w:t>76</w:t>
      </w:r>
      <w:r>
        <w:rPr>
          <w:rFonts w:ascii="Times New Roman;Times;serif" w:hAnsi="Times New Roman;Times;serif"/>
          <w:b w:val="false"/>
          <w:i w:val="false"/>
          <w:caps w:val="false"/>
          <w:smallCaps w:val="false"/>
          <w:color w:val="0000FF"/>
          <w:sz w:val="24"/>
          <w:u w:val="single"/>
          <w:shd w:fill="FFFFFF" w:val="clear"/>
        </w:rPr>
        <w:t>80</w:t>
      </w:r>
      <w:r>
        <mc:AlternateContent>
          <mc:Choice Requires="wps">
            <w:drawing>
              <wp:anchor behindDoc="0" distT="0" distB="0" distL="0" distR="0" simplePos="0" locked="0" layoutInCell="1" allowOverlap="1" relativeHeight="646">
                <wp:simplePos x="0" y="0"/>
                <wp:positionH relativeFrom="page">
                  <wp:posOffset>0</wp:posOffset>
                </wp:positionH>
                <wp:positionV relativeFrom="line">
                  <wp:posOffset>635</wp:posOffset>
                </wp:positionV>
                <wp:extent cx="6480175" cy="175895"/>
                <wp:effectExtent l="0" t="0" r="0" b="0"/>
                <wp:wrapNone/>
                <wp:docPr id="645" name="Frame6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10.4.Lending Offices</w:t>
      </w:r>
      <w:r>
        <w:rPr>
          <w:rFonts w:ascii="Times New Roman;Times;serif" w:hAnsi="Times New Roman;Times;serif"/>
          <w:b w:val="false"/>
          <w:i w:val="false"/>
          <w:caps w:val="false"/>
          <w:smallCaps w:val="false"/>
          <w:color w:val="FF0000"/>
          <w:sz w:val="24"/>
          <w:shd w:fill="FFFFFF" w:val="clear"/>
        </w:rPr>
        <w:t>77</w:t>
      </w:r>
      <w:r>
        <w:rPr>
          <w:rFonts w:ascii="Times New Roman;Times;serif" w:hAnsi="Times New Roman;Times;serif"/>
          <w:b w:val="false"/>
          <w:i w:val="false"/>
          <w:caps w:val="false"/>
          <w:smallCaps w:val="false"/>
          <w:color w:val="0000FF"/>
          <w:sz w:val="24"/>
          <w:u w:val="single"/>
          <w:shd w:fill="FFFFFF" w:val="clear"/>
        </w:rPr>
        <w:t>81</w:t>
      </w:r>
      <w:r>
        <mc:AlternateContent>
          <mc:Choice Requires="wps">
            <w:drawing>
              <wp:anchor behindDoc="0" distT="0" distB="0" distL="0" distR="0" simplePos="0" locked="0" layoutInCell="1" allowOverlap="1" relativeHeight="647">
                <wp:simplePos x="0" y="0"/>
                <wp:positionH relativeFrom="page">
                  <wp:posOffset>0</wp:posOffset>
                </wp:positionH>
                <wp:positionV relativeFrom="line">
                  <wp:posOffset>635</wp:posOffset>
                </wp:positionV>
                <wp:extent cx="6480175" cy="175895"/>
                <wp:effectExtent l="0" t="0" r="0" b="0"/>
                <wp:wrapNone/>
                <wp:docPr id="646" name="Frame6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10.5.Discretion of Lender as to Manner of Funding</w:t>
      </w:r>
      <w:r>
        <w:rPr>
          <w:rFonts w:ascii="Times New Roman;Times;serif" w:hAnsi="Times New Roman;Times;serif"/>
          <w:b w:val="false"/>
          <w:i w:val="false"/>
          <w:caps w:val="false"/>
          <w:smallCaps w:val="false"/>
          <w:color w:val="FF0000"/>
          <w:sz w:val="24"/>
          <w:shd w:fill="FFFFFF" w:val="clear"/>
        </w:rPr>
        <w:t>77</w:t>
      </w:r>
      <w:r>
        <w:rPr>
          <w:rFonts w:ascii="Times New Roman;Times;serif" w:hAnsi="Times New Roman;Times;serif"/>
          <w:b w:val="false"/>
          <w:i w:val="false"/>
          <w:caps w:val="false"/>
          <w:smallCaps w:val="false"/>
          <w:color w:val="0000FF"/>
          <w:sz w:val="24"/>
          <w:u w:val="single"/>
          <w:shd w:fill="FFFFFF" w:val="clear"/>
        </w:rPr>
        <w:t>81</w:t>
      </w:r>
      <w:r>
        <mc:AlternateContent>
          <mc:Choice Requires="wps">
            <w:drawing>
              <wp:anchor behindDoc="0" distT="0" distB="0" distL="0" distR="0" simplePos="0" locked="0" layoutInCell="1" allowOverlap="1" relativeHeight="648">
                <wp:simplePos x="0" y="0"/>
                <wp:positionH relativeFrom="page">
                  <wp:posOffset>0</wp:posOffset>
                </wp:positionH>
                <wp:positionV relativeFrom="line">
                  <wp:posOffset>635</wp:posOffset>
                </wp:positionV>
                <wp:extent cx="6480175" cy="175895"/>
                <wp:effectExtent l="0" t="0" r="0" b="0"/>
                <wp:wrapNone/>
                <wp:docPr id="647" name="Frame6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10.6.Permanent Inability to Determine Rate; Benchmark Replacement</w:t>
      </w:r>
      <w:r>
        <w:rPr>
          <w:rFonts w:ascii="Times New Roman;Times;serif" w:hAnsi="Times New Roman;Times;serif"/>
          <w:b w:val="false"/>
          <w:i w:val="false"/>
          <w:caps w:val="false"/>
          <w:smallCaps w:val="false"/>
          <w:color w:val="FF0000"/>
          <w:sz w:val="24"/>
          <w:shd w:fill="FFFFFF" w:val="clear"/>
        </w:rPr>
        <w:t>78</w:t>
      </w:r>
      <w:r>
        <w:rPr>
          <w:rFonts w:ascii="Times New Roman;Times;serif" w:hAnsi="Times New Roman;Times;serif"/>
          <w:b w:val="false"/>
          <w:i w:val="false"/>
          <w:caps w:val="false"/>
          <w:smallCaps w:val="false"/>
          <w:color w:val="0000FF"/>
          <w:sz w:val="24"/>
          <w:u w:val="single"/>
          <w:shd w:fill="FFFFFF" w:val="clear"/>
        </w:rPr>
        <w:t>82</w:t>
      </w:r>
      <w:r>
        <mc:AlternateContent>
          <mc:Choice Requires="wps">
            <w:drawing>
              <wp:anchor behindDoc="0" distT="0" distB="0" distL="0" distR="0" simplePos="0" locked="0" layoutInCell="1" allowOverlap="1" relativeHeight="649">
                <wp:simplePos x="0" y="0"/>
                <wp:positionH relativeFrom="page">
                  <wp:posOffset>0</wp:posOffset>
                </wp:positionH>
                <wp:positionV relativeFrom="line">
                  <wp:posOffset>635</wp:posOffset>
                </wp:positionV>
                <wp:extent cx="6480175" cy="175895"/>
                <wp:effectExtent l="0" t="0" r="0" b="0"/>
                <wp:wrapNone/>
                <wp:docPr id="648" name="Frame6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11.The Administrative Agent</w:t>
      </w:r>
      <w:r>
        <w:rPr>
          <w:rFonts w:ascii="Times New Roman;Times;serif" w:hAnsi="Times New Roman;Times;serif"/>
          <w:b w:val="false"/>
          <w:i w:val="false"/>
          <w:caps w:val="false"/>
          <w:smallCaps w:val="false"/>
          <w:color w:val="FF0000"/>
          <w:sz w:val="24"/>
          <w:shd w:fill="FFFFFF" w:val="clear"/>
        </w:rPr>
        <w:t>79</w:t>
      </w:r>
      <w:r>
        <w:rPr>
          <w:rFonts w:ascii="Times New Roman;Times;serif" w:hAnsi="Times New Roman;Times;serif"/>
          <w:b w:val="false"/>
          <w:i w:val="false"/>
          <w:caps w:val="false"/>
          <w:smallCaps w:val="false"/>
          <w:color w:val="0000FF"/>
          <w:sz w:val="24"/>
          <w:u w:val="single"/>
          <w:shd w:fill="FFFFFF" w:val="clear"/>
        </w:rPr>
        <w:t>83</w:t>
      </w:r>
      <w:r>
        <mc:AlternateContent>
          <mc:Choice Requires="wps">
            <w:drawing>
              <wp:anchor behindDoc="0" distT="0" distB="0" distL="0" distR="0" simplePos="0" locked="0" layoutInCell="1" allowOverlap="1" relativeHeight="650">
                <wp:simplePos x="0" y="0"/>
                <wp:positionH relativeFrom="page">
                  <wp:posOffset>0</wp:posOffset>
                </wp:positionH>
                <wp:positionV relativeFrom="line">
                  <wp:posOffset>635</wp:posOffset>
                </wp:positionV>
                <wp:extent cx="6480175" cy="175895"/>
                <wp:effectExtent l="0" t="0" r="0" b="0"/>
                <wp:wrapNone/>
                <wp:docPr id="649" name="Frame6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11.1.Appointment and Authority</w:t>
      </w:r>
      <w:r>
        <w:rPr>
          <w:rFonts w:ascii="Times New Roman;Times;serif" w:hAnsi="Times New Roman;Times;serif"/>
          <w:b w:val="false"/>
          <w:i w:val="false"/>
          <w:caps w:val="false"/>
          <w:smallCaps w:val="false"/>
          <w:color w:val="FF0000"/>
          <w:sz w:val="24"/>
          <w:shd w:fill="FFFFFF" w:val="clear"/>
        </w:rPr>
        <w:t>79</w:t>
      </w:r>
      <w:r>
        <w:rPr>
          <w:rFonts w:ascii="Times New Roman;Times;serif" w:hAnsi="Times New Roman;Times;serif"/>
          <w:b w:val="false"/>
          <w:i w:val="false"/>
          <w:caps w:val="false"/>
          <w:smallCaps w:val="false"/>
          <w:color w:val="0000FF"/>
          <w:sz w:val="24"/>
          <w:u w:val="single"/>
          <w:shd w:fill="FFFFFF" w:val="clear"/>
        </w:rPr>
        <w:t>83</w:t>
      </w:r>
      <w:r>
        <mc:AlternateContent>
          <mc:Choice Requires="wps">
            <w:drawing>
              <wp:anchor behindDoc="0" distT="0" distB="0" distL="0" distR="0" simplePos="0" locked="0" layoutInCell="1" allowOverlap="1" relativeHeight="651">
                <wp:simplePos x="0" y="0"/>
                <wp:positionH relativeFrom="page">
                  <wp:posOffset>0</wp:posOffset>
                </wp:positionH>
                <wp:positionV relativeFrom="line">
                  <wp:posOffset>635</wp:posOffset>
                </wp:positionV>
                <wp:extent cx="6480175" cy="175895"/>
                <wp:effectExtent l="0" t="0" r="0" b="0"/>
                <wp:wrapNone/>
                <wp:docPr id="650" name="Frame6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11.2.Rights as a Lender</w:t>
      </w:r>
      <w:r>
        <w:rPr>
          <w:rFonts w:ascii="Times New Roman;Times;serif" w:hAnsi="Times New Roman;Times;serif"/>
          <w:b w:val="false"/>
          <w:i w:val="false"/>
          <w:caps w:val="false"/>
          <w:smallCaps w:val="false"/>
          <w:color w:val="FF0000"/>
          <w:sz w:val="24"/>
          <w:shd w:fill="FFFFFF" w:val="clear"/>
        </w:rPr>
        <w:t>79</w:t>
      </w:r>
      <w:r>
        <w:rPr>
          <w:rFonts w:ascii="Times New Roman;Times;serif" w:hAnsi="Times New Roman;Times;serif"/>
          <w:b w:val="false"/>
          <w:i w:val="false"/>
          <w:caps w:val="false"/>
          <w:smallCaps w:val="false"/>
          <w:color w:val="0000FF"/>
          <w:sz w:val="24"/>
          <w:u w:val="single"/>
          <w:shd w:fill="FFFFFF" w:val="clear"/>
        </w:rPr>
        <w:t>83</w:t>
      </w:r>
      <w:r>
        <mc:AlternateContent>
          <mc:Choice Requires="wps">
            <w:drawing>
              <wp:anchor behindDoc="0" distT="0" distB="0" distL="0" distR="0" simplePos="0" locked="0" layoutInCell="1" allowOverlap="1" relativeHeight="652">
                <wp:simplePos x="0" y="0"/>
                <wp:positionH relativeFrom="page">
                  <wp:posOffset>0</wp:posOffset>
                </wp:positionH>
                <wp:positionV relativeFrom="line">
                  <wp:posOffset>635</wp:posOffset>
                </wp:positionV>
                <wp:extent cx="6480175" cy="175895"/>
                <wp:effectExtent l="0" t="0" r="0" b="0"/>
                <wp:wrapNone/>
                <wp:docPr id="651" name="Frame6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11.3.Action by Administrative Agent; Exculpatory Provisions</w:t>
      </w:r>
      <w:r>
        <w:rPr>
          <w:rFonts w:ascii="Times New Roman;Times;serif" w:hAnsi="Times New Roman;Times;serif"/>
          <w:b w:val="false"/>
          <w:i w:val="false"/>
          <w:caps w:val="false"/>
          <w:smallCaps w:val="false"/>
          <w:color w:val="FF0000"/>
          <w:sz w:val="24"/>
          <w:shd w:fill="FFFFFF" w:val="clear"/>
        </w:rPr>
        <w:t>80</w:t>
      </w:r>
      <w:r>
        <w:rPr>
          <w:rFonts w:ascii="Times New Roman;Times;serif" w:hAnsi="Times New Roman;Times;serif"/>
          <w:b w:val="false"/>
          <w:i w:val="false"/>
          <w:caps w:val="false"/>
          <w:smallCaps w:val="false"/>
          <w:color w:val="0000FF"/>
          <w:sz w:val="24"/>
          <w:u w:val="single"/>
          <w:shd w:fill="FFFFFF" w:val="clear"/>
        </w:rPr>
        <w:t>84</w:t>
      </w:r>
      <w:r>
        <mc:AlternateContent>
          <mc:Choice Requires="wps">
            <w:drawing>
              <wp:anchor behindDoc="0" distT="0" distB="0" distL="0" distR="0" simplePos="0" locked="0" layoutInCell="1" allowOverlap="1" relativeHeight="653">
                <wp:simplePos x="0" y="0"/>
                <wp:positionH relativeFrom="page">
                  <wp:posOffset>0</wp:posOffset>
                </wp:positionH>
                <wp:positionV relativeFrom="line">
                  <wp:posOffset>635</wp:posOffset>
                </wp:positionV>
                <wp:extent cx="6480175" cy="175895"/>
                <wp:effectExtent l="0" t="0" r="0" b="0"/>
                <wp:wrapNone/>
                <wp:docPr id="652" name="Frame6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11.4.Reliance by Administrative Agent</w:t>
      </w:r>
      <w:r>
        <w:rPr>
          <w:rFonts w:ascii="Times New Roman;Times;serif" w:hAnsi="Times New Roman;Times;serif"/>
          <w:b w:val="false"/>
          <w:i w:val="false"/>
          <w:caps w:val="false"/>
          <w:smallCaps w:val="false"/>
          <w:color w:val="FF0000"/>
          <w:sz w:val="24"/>
          <w:shd w:fill="FFFFFF" w:val="clear"/>
        </w:rPr>
        <w:t>81</w:t>
      </w:r>
      <w:r>
        <w:rPr>
          <w:rFonts w:ascii="Times New Roman;Times;serif" w:hAnsi="Times New Roman;Times;serif"/>
          <w:b w:val="false"/>
          <w:i w:val="false"/>
          <w:caps w:val="false"/>
          <w:smallCaps w:val="false"/>
          <w:color w:val="0000FF"/>
          <w:sz w:val="24"/>
          <w:u w:val="single"/>
          <w:shd w:fill="FFFFFF" w:val="clear"/>
        </w:rPr>
        <w:t>85</w:t>
      </w:r>
      <w:r>
        <mc:AlternateContent>
          <mc:Choice Requires="wps">
            <w:drawing>
              <wp:anchor behindDoc="0" distT="0" distB="0" distL="0" distR="0" simplePos="0" locked="0" layoutInCell="1" allowOverlap="1" relativeHeight="654">
                <wp:simplePos x="0" y="0"/>
                <wp:positionH relativeFrom="page">
                  <wp:posOffset>0</wp:posOffset>
                </wp:positionH>
                <wp:positionV relativeFrom="line">
                  <wp:posOffset>635</wp:posOffset>
                </wp:positionV>
                <wp:extent cx="6480175" cy="175895"/>
                <wp:effectExtent l="0" t="0" r="0" b="0"/>
                <wp:wrapNone/>
                <wp:docPr id="653" name="Frame6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11.5.Delegation of Duties</w:t>
      </w:r>
      <w:r>
        <w:rPr>
          <w:rFonts w:ascii="Times New Roman;Times;serif" w:hAnsi="Times New Roman;Times;serif"/>
          <w:b w:val="false"/>
          <w:i w:val="false"/>
          <w:caps w:val="false"/>
          <w:smallCaps w:val="false"/>
          <w:color w:val="FF0000"/>
          <w:sz w:val="24"/>
          <w:shd w:fill="FFFFFF" w:val="clear"/>
        </w:rPr>
        <w:t>81</w:t>
      </w:r>
      <w:r>
        <w:rPr>
          <w:rFonts w:ascii="Times New Roman;Times;serif" w:hAnsi="Times New Roman;Times;serif"/>
          <w:b w:val="false"/>
          <w:i w:val="false"/>
          <w:caps w:val="false"/>
          <w:smallCaps w:val="false"/>
          <w:color w:val="0000FF"/>
          <w:sz w:val="24"/>
          <w:u w:val="single"/>
          <w:shd w:fill="FFFFFF" w:val="clear"/>
        </w:rPr>
        <w:t>85</w:t>
      </w:r>
      <w:r>
        <mc:AlternateContent>
          <mc:Choice Requires="wps">
            <w:drawing>
              <wp:anchor behindDoc="0" distT="0" distB="0" distL="0" distR="0" simplePos="0" locked="0" layoutInCell="1" allowOverlap="1" relativeHeight="655">
                <wp:simplePos x="0" y="0"/>
                <wp:positionH relativeFrom="page">
                  <wp:posOffset>0</wp:posOffset>
                </wp:positionH>
                <wp:positionV relativeFrom="line">
                  <wp:posOffset>635</wp:posOffset>
                </wp:positionV>
                <wp:extent cx="6480175" cy="175895"/>
                <wp:effectExtent l="0" t="0" r="0" b="0"/>
                <wp:wrapNone/>
                <wp:docPr id="654" name="Frame6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rPr>
        <w:t>Section 11.6.</w:t>
      </w:r>
      <w:r>
        <w:rPr>
          <w:rFonts w:ascii="Times New Roman;Times;serif" w:hAnsi="Times New Roman;Times;serif"/>
          <w:color w:val="0000FF"/>
          <w:sz w:val="24"/>
          <w:u w:val="single"/>
        </w:rPr>
        <w:t>Resignation of Administrative Agent; Removal of Administrative Agent</w:t>
      </w:r>
      <w:bookmarkStart w:id="2243" w:name="_cp_change_216"/>
      <w:bookmarkEnd w:id="2243"/>
      <w:r>
        <w:rPr>
          <w:rFonts w:ascii="Times New Roman;Times;serif" w:hAnsi="Times New Roman;Times;serif"/>
          <w:color w:val="FF0000"/>
          <w:sz w:val="24"/>
        </w:rPr>
        <w:t>81</w:t>
      </w:r>
      <w:bookmarkStart w:id="2244" w:name="_cp_change_217"/>
      <w:bookmarkEnd w:id="2244"/>
      <w:r>
        <w:rPr>
          <w:rFonts w:ascii="Times New Roman;Times;serif" w:hAnsi="Times New Roman;Times;serif"/>
          <w:color w:val="0000FF"/>
          <w:sz w:val="24"/>
          <w:u w:val="single"/>
        </w:rPr>
        <w:t>85</w: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11.7.Non-Reliance on Administrative Agent and Other Lenders</w:t>
      </w:r>
      <w:r>
        <w:rPr>
          <w:rFonts w:ascii="Times New Roman;Times;serif" w:hAnsi="Times New Roman;Times;serif"/>
          <w:b w:val="false"/>
          <w:i w:val="false"/>
          <w:caps w:val="false"/>
          <w:smallCaps w:val="false"/>
          <w:color w:val="FF0000"/>
          <w:sz w:val="24"/>
          <w:shd w:fill="FFFFFF" w:val="clear"/>
        </w:rPr>
        <w:t>82</w:t>
      </w:r>
      <w:r>
        <w:rPr>
          <w:rFonts w:ascii="Times New Roman;Times;serif" w:hAnsi="Times New Roman;Times;serif"/>
          <w:b w:val="false"/>
          <w:i w:val="false"/>
          <w:caps w:val="false"/>
          <w:smallCaps w:val="false"/>
          <w:color w:val="0000FF"/>
          <w:sz w:val="24"/>
          <w:u w:val="single"/>
          <w:shd w:fill="FFFFFF" w:val="clear"/>
        </w:rPr>
        <w:t>86</w:t>
      </w:r>
      <w:r>
        <mc:AlternateContent>
          <mc:Choice Requires="wps">
            <w:drawing>
              <wp:anchor behindDoc="0" distT="0" distB="0" distL="0" distR="0" simplePos="0" locked="0" layoutInCell="1" allowOverlap="1" relativeHeight="656">
                <wp:simplePos x="0" y="0"/>
                <wp:positionH relativeFrom="page">
                  <wp:posOffset>0</wp:posOffset>
                </wp:positionH>
                <wp:positionV relativeFrom="line">
                  <wp:posOffset>635</wp:posOffset>
                </wp:positionV>
                <wp:extent cx="6480175" cy="175895"/>
                <wp:effectExtent l="0" t="0" r="0" b="0"/>
                <wp:wrapNone/>
                <wp:docPr id="655" name="Frame6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11.8.Reserved</w:t>
      </w:r>
      <w:r>
        <w:rPr>
          <w:rFonts w:ascii="Times New Roman;Times;serif" w:hAnsi="Times New Roman;Times;serif"/>
          <w:b w:val="false"/>
          <w:i w:val="false"/>
          <w:caps w:val="false"/>
          <w:smallCaps w:val="false"/>
          <w:color w:val="FF0000"/>
          <w:sz w:val="24"/>
          <w:shd w:fill="FFFFFF" w:val="clear"/>
        </w:rPr>
        <w:t>83</w:t>
      </w:r>
      <w:r>
        <w:rPr>
          <w:rFonts w:ascii="Times New Roman;Times;serif" w:hAnsi="Times New Roman;Times;serif"/>
          <w:b w:val="false"/>
          <w:i w:val="false"/>
          <w:caps w:val="false"/>
          <w:smallCaps w:val="false"/>
          <w:color w:val="0000FF"/>
          <w:sz w:val="24"/>
          <w:u w:val="single"/>
          <w:shd w:fill="FFFFFF" w:val="clear"/>
        </w:rPr>
        <w:t>87</w:t>
      </w:r>
      <w:r>
        <mc:AlternateContent>
          <mc:Choice Requires="wps">
            <w:drawing>
              <wp:anchor behindDoc="0" distT="0" distB="0" distL="0" distR="0" simplePos="0" locked="0" layoutInCell="1" allowOverlap="1" relativeHeight="657">
                <wp:simplePos x="0" y="0"/>
                <wp:positionH relativeFrom="page">
                  <wp:posOffset>0</wp:posOffset>
                </wp:positionH>
                <wp:positionV relativeFrom="line">
                  <wp:posOffset>635</wp:posOffset>
                </wp:positionV>
                <wp:extent cx="6480175" cy="175895"/>
                <wp:effectExtent l="0" t="0" r="0" b="0"/>
                <wp:wrapNone/>
                <wp:docPr id="656" name="Frame6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11.9.Hedging Liability and Funds Transfer and Deposit Account Liability</w:t>
      </w:r>
      <w:r>
        <w:rPr>
          <w:rFonts w:ascii="Times New Roman;Times;serif" w:hAnsi="Times New Roman;Times;serif"/>
          <w:b w:val="false"/>
          <w:i w:val="false"/>
          <w:caps w:val="false"/>
          <w:smallCaps w:val="false"/>
          <w:color w:val="FF0000"/>
          <w:sz w:val="24"/>
          <w:shd w:fill="FFFFFF" w:val="clear"/>
        </w:rPr>
        <w:t>83</w:t>
      </w:r>
      <w:r>
        <w:rPr>
          <w:rFonts w:ascii="Times New Roman;Times;serif" w:hAnsi="Times New Roman;Times;serif"/>
          <w:b w:val="false"/>
          <w:i w:val="false"/>
          <w:caps w:val="false"/>
          <w:smallCaps w:val="false"/>
          <w:color w:val="0000FF"/>
          <w:sz w:val="24"/>
          <w:u w:val="single"/>
          <w:shd w:fill="FFFFFF" w:val="clear"/>
        </w:rPr>
        <w:t>87</w:t>
      </w:r>
      <w:r>
        <mc:AlternateContent>
          <mc:Choice Requires="wps">
            <w:drawing>
              <wp:anchor behindDoc="0" distT="0" distB="0" distL="0" distR="0" simplePos="0" locked="0" layoutInCell="1" allowOverlap="1" relativeHeight="658">
                <wp:simplePos x="0" y="0"/>
                <wp:positionH relativeFrom="page">
                  <wp:posOffset>0</wp:posOffset>
                </wp:positionH>
                <wp:positionV relativeFrom="line">
                  <wp:posOffset>635</wp:posOffset>
                </wp:positionV>
                <wp:extent cx="6480175" cy="175895"/>
                <wp:effectExtent l="0" t="0" r="0" b="0"/>
                <wp:wrapNone/>
                <wp:docPr id="657" name="Frame6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11.10.Designation of Additional Agents</w:t>
      </w:r>
      <w:r>
        <w:rPr>
          <w:rFonts w:ascii="Times New Roman;Times;serif" w:hAnsi="Times New Roman;Times;serif"/>
          <w:b w:val="false"/>
          <w:i w:val="false"/>
          <w:caps w:val="false"/>
          <w:smallCaps w:val="false"/>
          <w:color w:val="FF0000"/>
          <w:sz w:val="24"/>
          <w:shd w:fill="FFFFFF" w:val="clear"/>
        </w:rPr>
        <w:t>84</w:t>
      </w:r>
      <w:r>
        <w:rPr>
          <w:rFonts w:ascii="Times New Roman;Times;serif" w:hAnsi="Times New Roman;Times;serif"/>
          <w:b w:val="false"/>
          <w:i w:val="false"/>
          <w:caps w:val="false"/>
          <w:smallCaps w:val="false"/>
          <w:color w:val="0000FF"/>
          <w:sz w:val="24"/>
          <w:u w:val="single"/>
          <w:shd w:fill="FFFFFF" w:val="clear"/>
        </w:rPr>
        <w:t>88</w:t>
      </w:r>
      <w:r>
        <mc:AlternateContent>
          <mc:Choice Requires="wps">
            <w:drawing>
              <wp:anchor behindDoc="0" distT="0" distB="0" distL="0" distR="0" simplePos="0" locked="0" layoutInCell="1" allowOverlap="1" relativeHeight="659">
                <wp:simplePos x="0" y="0"/>
                <wp:positionH relativeFrom="page">
                  <wp:posOffset>0</wp:posOffset>
                </wp:positionH>
                <wp:positionV relativeFrom="line">
                  <wp:posOffset>635</wp:posOffset>
                </wp:positionV>
                <wp:extent cx="6480175" cy="175895"/>
                <wp:effectExtent l="0" t="0" r="0" b="0"/>
                <wp:wrapNone/>
                <wp:docPr id="658" name="Frame6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11.11.[Intentionally Omitted]</w:t>
      </w:r>
      <w:r>
        <w:rPr>
          <w:rFonts w:ascii="Times New Roman;Times;serif" w:hAnsi="Times New Roman;Times;serif"/>
          <w:b w:val="false"/>
          <w:i w:val="false"/>
          <w:caps w:val="false"/>
          <w:smallCaps w:val="false"/>
          <w:color w:val="FF0000"/>
          <w:sz w:val="24"/>
          <w:shd w:fill="FFFFFF" w:val="clear"/>
        </w:rPr>
        <w:t>84</w:t>
      </w:r>
      <w:r>
        <w:rPr>
          <w:rFonts w:ascii="Times New Roman;Times;serif" w:hAnsi="Times New Roman;Times;serif"/>
          <w:b w:val="false"/>
          <w:i w:val="false"/>
          <w:caps w:val="false"/>
          <w:smallCaps w:val="false"/>
          <w:color w:val="0000FF"/>
          <w:sz w:val="24"/>
          <w:u w:val="single"/>
          <w:shd w:fill="FFFFFF" w:val="clear"/>
        </w:rPr>
        <w:t>88</w:t>
      </w:r>
      <w:r>
        <mc:AlternateContent>
          <mc:Choice Requires="wps">
            <w:drawing>
              <wp:anchor behindDoc="0" distT="0" distB="0" distL="0" distR="0" simplePos="0" locked="0" layoutInCell="1" allowOverlap="1" relativeHeight="660">
                <wp:simplePos x="0" y="0"/>
                <wp:positionH relativeFrom="page">
                  <wp:posOffset>0</wp:posOffset>
                </wp:positionH>
                <wp:positionV relativeFrom="line">
                  <wp:posOffset>635</wp:posOffset>
                </wp:positionV>
                <wp:extent cx="6480175" cy="175895"/>
                <wp:effectExtent l="0" t="0" r="0" b="0"/>
                <wp:wrapNone/>
                <wp:docPr id="659" name="Frame6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11.12.Authorization to Release Guaranties</w:t>
      </w:r>
      <w:r>
        <w:rPr>
          <w:rFonts w:ascii="Times New Roman;Times;serif" w:hAnsi="Times New Roman;Times;serif"/>
          <w:b w:val="false"/>
          <w:i w:val="false"/>
          <w:caps w:val="false"/>
          <w:smallCaps w:val="false"/>
          <w:color w:val="FF0000"/>
          <w:sz w:val="24"/>
          <w:shd w:fill="FFFFFF" w:val="clear"/>
        </w:rPr>
        <w:t>84</w:t>
      </w:r>
      <w:r>
        <w:rPr>
          <w:rFonts w:ascii="Times New Roman;Times;serif" w:hAnsi="Times New Roman;Times;serif"/>
          <w:b w:val="false"/>
          <w:i w:val="false"/>
          <w:caps w:val="false"/>
          <w:smallCaps w:val="false"/>
          <w:color w:val="0000FF"/>
          <w:sz w:val="24"/>
          <w:u w:val="single"/>
          <w:shd w:fill="FFFFFF" w:val="clear"/>
        </w:rPr>
        <w:t>88</w:t>
      </w:r>
      <w:r>
        <mc:AlternateContent>
          <mc:Choice Requires="wps">
            <w:drawing>
              <wp:anchor behindDoc="0" distT="0" distB="0" distL="0" distR="0" simplePos="0" locked="0" layoutInCell="1" allowOverlap="1" relativeHeight="661">
                <wp:simplePos x="0" y="0"/>
                <wp:positionH relativeFrom="page">
                  <wp:posOffset>0</wp:posOffset>
                </wp:positionH>
                <wp:positionV relativeFrom="line">
                  <wp:posOffset>635</wp:posOffset>
                </wp:positionV>
                <wp:extent cx="6480175" cy="175895"/>
                <wp:effectExtent l="0" t="0" r="0" b="0"/>
                <wp:wrapNone/>
                <wp:docPr id="660" name="Frame6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11.13.Authorization of Administrative Agent to File Proofs of Claim</w:t>
      </w:r>
      <w:r>
        <w:rPr>
          <w:rFonts w:ascii="Times New Roman;Times;serif" w:hAnsi="Times New Roman;Times;serif"/>
          <w:b w:val="false"/>
          <w:i w:val="false"/>
          <w:caps w:val="false"/>
          <w:smallCaps w:val="false"/>
          <w:color w:val="FF0000"/>
          <w:sz w:val="24"/>
          <w:shd w:fill="FFFFFF" w:val="clear"/>
        </w:rPr>
        <w:t>84</w:t>
      </w:r>
      <w:r>
        <w:rPr>
          <w:rFonts w:ascii="Times New Roman;Times;serif" w:hAnsi="Times New Roman;Times;serif"/>
          <w:b w:val="false"/>
          <w:i w:val="false"/>
          <w:caps w:val="false"/>
          <w:smallCaps w:val="false"/>
          <w:color w:val="0000FF"/>
          <w:sz w:val="24"/>
          <w:u w:val="single"/>
          <w:shd w:fill="FFFFFF" w:val="clear"/>
        </w:rPr>
        <w:t>88</w:t>
      </w:r>
      <w:r>
        <mc:AlternateContent>
          <mc:Choice Requires="wps">
            <w:drawing>
              <wp:anchor behindDoc="0" distT="0" distB="0" distL="0" distR="0" simplePos="0" locked="0" layoutInCell="1" allowOverlap="1" relativeHeight="662">
                <wp:simplePos x="0" y="0"/>
                <wp:positionH relativeFrom="page">
                  <wp:posOffset>0</wp:posOffset>
                </wp:positionH>
                <wp:positionV relativeFrom="line">
                  <wp:posOffset>635</wp:posOffset>
                </wp:positionV>
                <wp:extent cx="6480175" cy="175895"/>
                <wp:effectExtent l="0" t="0" r="0" b="0"/>
                <wp:wrapNone/>
                <wp:docPr id="661" name="Frame6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12.Miscellaneous</w:t>
      </w:r>
      <w:r>
        <w:rPr>
          <w:rFonts w:ascii="Times New Roman;Times;serif" w:hAnsi="Times New Roman;Times;serif"/>
          <w:b w:val="false"/>
          <w:i w:val="false"/>
          <w:caps w:val="false"/>
          <w:smallCaps w:val="false"/>
          <w:color w:val="FF0000"/>
          <w:sz w:val="24"/>
          <w:shd w:fill="FFFFFF" w:val="clear"/>
        </w:rPr>
        <w:t>85</w:t>
      </w:r>
      <w:r>
        <w:rPr>
          <w:rFonts w:ascii="Times New Roman;Times;serif" w:hAnsi="Times New Roman;Times;serif"/>
          <w:b w:val="false"/>
          <w:i w:val="false"/>
          <w:caps w:val="false"/>
          <w:smallCaps w:val="false"/>
          <w:color w:val="0000FF"/>
          <w:sz w:val="24"/>
          <w:u w:val="single"/>
          <w:shd w:fill="FFFFFF" w:val="clear"/>
        </w:rPr>
        <w:t>89</w:t>
      </w:r>
      <w:r>
        <mc:AlternateContent>
          <mc:Choice Requires="wps">
            <w:drawing>
              <wp:anchor behindDoc="0" distT="0" distB="0" distL="0" distR="0" simplePos="0" locked="0" layoutInCell="1" allowOverlap="1" relativeHeight="663">
                <wp:simplePos x="0" y="0"/>
                <wp:positionH relativeFrom="page">
                  <wp:posOffset>0</wp:posOffset>
                </wp:positionH>
                <wp:positionV relativeFrom="line">
                  <wp:posOffset>635</wp:posOffset>
                </wp:positionV>
                <wp:extent cx="6480175" cy="175895"/>
                <wp:effectExtent l="0" t="0" r="0" b="0"/>
                <wp:wrapNone/>
                <wp:docPr id="662" name="Frame6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12.1.Withholding Taxes</w:t>
      </w:r>
      <w:r>
        <w:rPr>
          <w:rFonts w:ascii="Times New Roman;Times;serif" w:hAnsi="Times New Roman;Times;serif"/>
          <w:b w:val="false"/>
          <w:i w:val="false"/>
          <w:caps w:val="false"/>
          <w:smallCaps w:val="false"/>
          <w:color w:val="FF0000"/>
          <w:sz w:val="24"/>
          <w:shd w:fill="FFFFFF" w:val="clear"/>
        </w:rPr>
        <w:t>85</w:t>
      </w:r>
      <w:r>
        <w:rPr>
          <w:rFonts w:ascii="Times New Roman;Times;serif" w:hAnsi="Times New Roman;Times;serif"/>
          <w:b w:val="false"/>
          <w:i w:val="false"/>
          <w:caps w:val="false"/>
          <w:smallCaps w:val="false"/>
          <w:color w:val="0000FF"/>
          <w:sz w:val="24"/>
          <w:u w:val="single"/>
          <w:shd w:fill="FFFFFF" w:val="clear"/>
        </w:rPr>
        <w:t>89</w:t>
      </w:r>
      <w:r>
        <mc:AlternateContent>
          <mc:Choice Requires="wps">
            <w:drawing>
              <wp:anchor behindDoc="0" distT="0" distB="0" distL="0" distR="0" simplePos="0" locked="0" layoutInCell="1" allowOverlap="1" relativeHeight="664">
                <wp:simplePos x="0" y="0"/>
                <wp:positionH relativeFrom="page">
                  <wp:posOffset>0</wp:posOffset>
                </wp:positionH>
                <wp:positionV relativeFrom="line">
                  <wp:posOffset>635</wp:posOffset>
                </wp:positionV>
                <wp:extent cx="6480175" cy="175895"/>
                <wp:effectExtent l="0" t="0" r="0" b="0"/>
                <wp:wrapNone/>
                <wp:docPr id="663" name="Frame6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12.2.No Waiver, Cumulative Remedies</w:t>
      </w:r>
      <w:r>
        <w:rPr>
          <w:rFonts w:ascii="Times New Roman;Times;serif" w:hAnsi="Times New Roman;Times;serif"/>
          <w:b w:val="false"/>
          <w:i w:val="false"/>
          <w:caps w:val="false"/>
          <w:smallCaps w:val="false"/>
          <w:color w:val="FF0000"/>
          <w:sz w:val="24"/>
          <w:shd w:fill="FFFFFF" w:val="clear"/>
        </w:rPr>
        <w:t>87</w:t>
      </w:r>
      <w:r>
        <w:rPr>
          <w:rFonts w:ascii="Times New Roman;Times;serif" w:hAnsi="Times New Roman;Times;serif"/>
          <w:b w:val="false"/>
          <w:i w:val="false"/>
          <w:caps w:val="false"/>
          <w:smallCaps w:val="false"/>
          <w:color w:val="0000FF"/>
          <w:sz w:val="24"/>
          <w:u w:val="single"/>
          <w:shd w:fill="FFFFFF" w:val="clear"/>
        </w:rPr>
        <w:t>91</w:t>
      </w:r>
      <w:r>
        <mc:AlternateContent>
          <mc:Choice Requires="wps">
            <w:drawing>
              <wp:anchor behindDoc="0" distT="0" distB="0" distL="0" distR="0" simplePos="0" locked="0" layoutInCell="1" allowOverlap="1" relativeHeight="665">
                <wp:simplePos x="0" y="0"/>
                <wp:positionH relativeFrom="page">
                  <wp:posOffset>0</wp:posOffset>
                </wp:positionH>
                <wp:positionV relativeFrom="line">
                  <wp:posOffset>635</wp:posOffset>
                </wp:positionV>
                <wp:extent cx="6480175" cy="175895"/>
                <wp:effectExtent l="0" t="0" r="0" b="0"/>
                <wp:wrapNone/>
                <wp:docPr id="664" name="Frame6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12.3.Non-Business Days</w:t>
      </w:r>
      <w:r>
        <w:rPr>
          <w:rFonts w:ascii="Times New Roman;Times;serif" w:hAnsi="Times New Roman;Times;serif"/>
          <w:b w:val="false"/>
          <w:i w:val="false"/>
          <w:caps w:val="false"/>
          <w:smallCaps w:val="false"/>
          <w:color w:val="FF0000"/>
          <w:sz w:val="24"/>
          <w:shd w:fill="FFFFFF" w:val="clear"/>
        </w:rPr>
        <w:t>87</w:t>
      </w:r>
      <w:r>
        <w:rPr>
          <w:rFonts w:ascii="Times New Roman;Times;serif" w:hAnsi="Times New Roman;Times;serif"/>
          <w:b w:val="false"/>
          <w:i w:val="false"/>
          <w:caps w:val="false"/>
          <w:smallCaps w:val="false"/>
          <w:color w:val="0000FF"/>
          <w:sz w:val="24"/>
          <w:u w:val="single"/>
          <w:shd w:fill="FFFFFF" w:val="clear"/>
        </w:rPr>
        <w:t>91</w:t>
      </w:r>
      <w:r>
        <mc:AlternateContent>
          <mc:Choice Requires="wps">
            <w:drawing>
              <wp:anchor behindDoc="0" distT="0" distB="0" distL="0" distR="0" simplePos="0" locked="0" layoutInCell="1" allowOverlap="1" relativeHeight="666">
                <wp:simplePos x="0" y="0"/>
                <wp:positionH relativeFrom="page">
                  <wp:posOffset>0</wp:posOffset>
                </wp:positionH>
                <wp:positionV relativeFrom="line">
                  <wp:posOffset>635</wp:posOffset>
                </wp:positionV>
                <wp:extent cx="6480175" cy="175895"/>
                <wp:effectExtent l="0" t="0" r="0" b="0"/>
                <wp:wrapNone/>
                <wp:docPr id="665" name="Frame6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12.4.Documentary Taxes</w:t>
      </w:r>
      <w:r>
        <w:rPr>
          <w:rFonts w:ascii="Times New Roman;Times;serif" w:hAnsi="Times New Roman;Times;serif"/>
          <w:b w:val="false"/>
          <w:i w:val="false"/>
          <w:caps w:val="false"/>
          <w:smallCaps w:val="false"/>
          <w:color w:val="FF0000"/>
          <w:sz w:val="24"/>
          <w:shd w:fill="FFFFFF" w:val="clear"/>
        </w:rPr>
        <w:t>88</w:t>
      </w:r>
      <w:r>
        <w:rPr>
          <w:rFonts w:ascii="Times New Roman;Times;serif" w:hAnsi="Times New Roman;Times;serif"/>
          <w:b w:val="false"/>
          <w:i w:val="false"/>
          <w:caps w:val="false"/>
          <w:smallCaps w:val="false"/>
          <w:color w:val="0000FF"/>
          <w:sz w:val="24"/>
          <w:u w:val="single"/>
          <w:shd w:fill="FFFFFF" w:val="clear"/>
        </w:rPr>
        <w:t>92</w:t>
      </w:r>
      <w:r>
        <mc:AlternateContent>
          <mc:Choice Requires="wps">
            <w:drawing>
              <wp:anchor behindDoc="0" distT="0" distB="0" distL="0" distR="0" simplePos="0" locked="0" layoutInCell="1" allowOverlap="1" relativeHeight="667">
                <wp:simplePos x="0" y="0"/>
                <wp:positionH relativeFrom="page">
                  <wp:posOffset>0</wp:posOffset>
                </wp:positionH>
                <wp:positionV relativeFrom="line">
                  <wp:posOffset>635</wp:posOffset>
                </wp:positionV>
                <wp:extent cx="6480175" cy="175895"/>
                <wp:effectExtent l="0" t="0" r="0" b="0"/>
                <wp:wrapNone/>
                <wp:docPr id="666" name="Frame6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12.5.Survival of Representations</w:t>
      </w:r>
      <w:r>
        <w:rPr>
          <w:rFonts w:ascii="Times New Roman;Times;serif" w:hAnsi="Times New Roman;Times;serif"/>
          <w:b w:val="false"/>
          <w:i w:val="false"/>
          <w:caps w:val="false"/>
          <w:smallCaps w:val="false"/>
          <w:color w:val="FF0000"/>
          <w:sz w:val="24"/>
          <w:shd w:fill="FFFFFF" w:val="clear"/>
        </w:rPr>
        <w:t>88</w:t>
      </w:r>
      <w:r>
        <w:rPr>
          <w:rFonts w:ascii="Times New Roman;Times;serif" w:hAnsi="Times New Roman;Times;serif"/>
          <w:b w:val="false"/>
          <w:i w:val="false"/>
          <w:caps w:val="false"/>
          <w:smallCaps w:val="false"/>
          <w:color w:val="0000FF"/>
          <w:sz w:val="24"/>
          <w:u w:val="single"/>
          <w:shd w:fill="FFFFFF" w:val="clear"/>
        </w:rPr>
        <w:t>92</w:t>
      </w:r>
      <w:r>
        <mc:AlternateContent>
          <mc:Choice Requires="wps">
            <w:drawing>
              <wp:anchor behindDoc="0" distT="0" distB="0" distL="0" distR="0" simplePos="0" locked="0" layoutInCell="1" allowOverlap="1" relativeHeight="668">
                <wp:simplePos x="0" y="0"/>
                <wp:positionH relativeFrom="page">
                  <wp:posOffset>0</wp:posOffset>
                </wp:positionH>
                <wp:positionV relativeFrom="line">
                  <wp:posOffset>635</wp:posOffset>
                </wp:positionV>
                <wp:extent cx="6480175" cy="175895"/>
                <wp:effectExtent l="0" t="0" r="0" b="0"/>
                <wp:wrapNone/>
                <wp:docPr id="667" name="Frame6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12.6.Survival of Indemnities</w:t>
      </w:r>
      <w:r>
        <w:rPr>
          <w:rFonts w:ascii="Times New Roman;Times;serif" w:hAnsi="Times New Roman;Times;serif"/>
          <w:b w:val="false"/>
          <w:i w:val="false"/>
          <w:caps w:val="false"/>
          <w:smallCaps w:val="false"/>
          <w:color w:val="FF0000"/>
          <w:sz w:val="24"/>
          <w:shd w:fill="FFFFFF" w:val="clear"/>
        </w:rPr>
        <w:t>88</w:t>
      </w:r>
      <w:r>
        <w:rPr>
          <w:rFonts w:ascii="Times New Roman;Times;serif" w:hAnsi="Times New Roman;Times;serif"/>
          <w:b w:val="false"/>
          <w:i w:val="false"/>
          <w:caps w:val="false"/>
          <w:smallCaps w:val="false"/>
          <w:color w:val="0000FF"/>
          <w:sz w:val="24"/>
          <w:u w:val="single"/>
          <w:shd w:fill="FFFFFF" w:val="clear"/>
        </w:rPr>
        <w:t>92</w:t>
      </w:r>
      <w:r>
        <mc:AlternateContent>
          <mc:Choice Requires="wps">
            <w:drawing>
              <wp:anchor behindDoc="0" distT="0" distB="0" distL="0" distR="0" simplePos="0" locked="0" layoutInCell="1" allowOverlap="1" relativeHeight="669">
                <wp:simplePos x="0" y="0"/>
                <wp:positionH relativeFrom="page">
                  <wp:posOffset>0</wp:posOffset>
                </wp:positionH>
                <wp:positionV relativeFrom="line">
                  <wp:posOffset>635</wp:posOffset>
                </wp:positionV>
                <wp:extent cx="6480175" cy="175895"/>
                <wp:effectExtent l="0" t="0" r="0" b="0"/>
                <wp:wrapNone/>
                <wp:docPr id="668" name="Frame6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12.7.Sharing of Set-Off</w:t>
      </w:r>
      <w:r>
        <w:rPr>
          <w:rFonts w:ascii="Times New Roman;Times;serif" w:hAnsi="Times New Roman;Times;serif"/>
          <w:b w:val="false"/>
          <w:i w:val="false"/>
          <w:caps w:val="false"/>
          <w:smallCaps w:val="false"/>
          <w:color w:val="FF0000"/>
          <w:sz w:val="24"/>
          <w:shd w:fill="FFFFFF" w:val="clear"/>
        </w:rPr>
        <w:t>88</w:t>
      </w:r>
      <w:r>
        <w:rPr>
          <w:rFonts w:ascii="Times New Roman;Times;serif" w:hAnsi="Times New Roman;Times;serif"/>
          <w:b w:val="false"/>
          <w:i w:val="false"/>
          <w:caps w:val="false"/>
          <w:smallCaps w:val="false"/>
          <w:color w:val="0000FF"/>
          <w:sz w:val="24"/>
          <w:u w:val="single"/>
          <w:shd w:fill="FFFFFF" w:val="clear"/>
        </w:rPr>
        <w:t>92</w:t>
      </w:r>
      <w:r>
        <mc:AlternateContent>
          <mc:Choice Requires="wps">
            <w:drawing>
              <wp:anchor behindDoc="0" distT="0" distB="0" distL="0" distR="0" simplePos="0" locked="0" layoutInCell="1" allowOverlap="1" relativeHeight="670">
                <wp:simplePos x="0" y="0"/>
                <wp:positionH relativeFrom="page">
                  <wp:posOffset>0</wp:posOffset>
                </wp:positionH>
                <wp:positionV relativeFrom="line">
                  <wp:posOffset>635</wp:posOffset>
                </wp:positionV>
                <wp:extent cx="6480175" cy="175895"/>
                <wp:effectExtent l="0" t="0" r="0" b="0"/>
                <wp:wrapNone/>
                <wp:docPr id="669" name="Frame6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12.8.Notices</w:t>
      </w:r>
      <w:r>
        <w:rPr>
          <w:rFonts w:ascii="Times New Roman;Times;serif" w:hAnsi="Times New Roman;Times;serif"/>
          <w:b w:val="false"/>
          <w:i w:val="false"/>
          <w:caps w:val="false"/>
          <w:smallCaps w:val="false"/>
          <w:color w:val="FF0000"/>
          <w:sz w:val="24"/>
          <w:shd w:fill="FFFFFF" w:val="clear"/>
        </w:rPr>
        <w:t>88</w:t>
      </w:r>
      <w:r>
        <w:rPr>
          <w:rFonts w:ascii="Times New Roman;Times;serif" w:hAnsi="Times New Roman;Times;serif"/>
          <w:b w:val="false"/>
          <w:i w:val="false"/>
          <w:caps w:val="false"/>
          <w:smallCaps w:val="false"/>
          <w:color w:val="0000FF"/>
          <w:sz w:val="24"/>
          <w:u w:val="single"/>
          <w:shd w:fill="FFFFFF" w:val="clear"/>
        </w:rPr>
        <w:t>92</w:t>
      </w:r>
      <w:r>
        <mc:AlternateContent>
          <mc:Choice Requires="wps">
            <w:drawing>
              <wp:anchor behindDoc="0" distT="0" distB="0" distL="0" distR="0" simplePos="0" locked="0" layoutInCell="1" allowOverlap="1" relativeHeight="671">
                <wp:simplePos x="0" y="0"/>
                <wp:positionH relativeFrom="page">
                  <wp:posOffset>0</wp:posOffset>
                </wp:positionH>
                <wp:positionV relativeFrom="line">
                  <wp:posOffset>635</wp:posOffset>
                </wp:positionV>
                <wp:extent cx="6480175" cy="175895"/>
                <wp:effectExtent l="0" t="0" r="0" b="0"/>
                <wp:wrapNone/>
                <wp:docPr id="670" name="Frame6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12.9.Counterparts</w:t>
      </w:r>
      <w:r>
        <w:rPr>
          <w:rFonts w:ascii="Times New Roman;Times;serif" w:hAnsi="Times New Roman;Times;serif"/>
          <w:b w:val="false"/>
          <w:i w:val="false"/>
          <w:caps w:val="false"/>
          <w:smallCaps w:val="false"/>
          <w:color w:val="FF0000"/>
          <w:sz w:val="24"/>
          <w:shd w:fill="FFFFFF" w:val="clear"/>
        </w:rPr>
        <w:t>89</w:t>
      </w:r>
      <w:r>
        <w:rPr>
          <w:rFonts w:ascii="Times New Roman;Times;serif" w:hAnsi="Times New Roman;Times;serif"/>
          <w:b w:val="false"/>
          <w:i w:val="false"/>
          <w:caps w:val="false"/>
          <w:smallCaps w:val="false"/>
          <w:color w:val="0000FF"/>
          <w:sz w:val="24"/>
          <w:u w:val="single"/>
          <w:shd w:fill="FFFFFF" w:val="clear"/>
        </w:rPr>
        <w:t>93</w:t>
      </w:r>
      <w:r>
        <mc:AlternateContent>
          <mc:Choice Requires="wps">
            <w:drawing>
              <wp:anchor behindDoc="0" distT="0" distB="0" distL="0" distR="0" simplePos="0" locked="0" layoutInCell="1" allowOverlap="1" relativeHeight="672">
                <wp:simplePos x="0" y="0"/>
                <wp:positionH relativeFrom="page">
                  <wp:posOffset>0</wp:posOffset>
                </wp:positionH>
                <wp:positionV relativeFrom="line">
                  <wp:posOffset>635</wp:posOffset>
                </wp:positionV>
                <wp:extent cx="6480175" cy="175895"/>
                <wp:effectExtent l="0" t="0" r="0" b="0"/>
                <wp:wrapNone/>
                <wp:docPr id="671" name="Frame6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12.10.Successors and Assigns</w:t>
      </w:r>
      <w:r>
        <w:rPr>
          <w:rFonts w:ascii="Times New Roman;Times;serif" w:hAnsi="Times New Roman;Times;serif"/>
          <w:b w:val="false"/>
          <w:i w:val="false"/>
          <w:caps w:val="false"/>
          <w:smallCaps w:val="false"/>
          <w:color w:val="FF0000"/>
          <w:sz w:val="24"/>
          <w:shd w:fill="FFFFFF" w:val="clear"/>
        </w:rPr>
        <w:t>90</w:t>
      </w:r>
      <w:r>
        <w:rPr>
          <w:rFonts w:ascii="Times New Roman;Times;serif" w:hAnsi="Times New Roman;Times;serif"/>
          <w:b w:val="false"/>
          <w:i w:val="false"/>
          <w:caps w:val="false"/>
          <w:smallCaps w:val="false"/>
          <w:color w:val="0000FF"/>
          <w:sz w:val="24"/>
          <w:u w:val="single"/>
          <w:shd w:fill="FFFFFF" w:val="clear"/>
        </w:rPr>
        <w:t>94</w:t>
      </w:r>
      <w:r>
        <mc:AlternateContent>
          <mc:Choice Requires="wps">
            <w:drawing>
              <wp:anchor behindDoc="0" distT="0" distB="0" distL="0" distR="0" simplePos="0" locked="0" layoutInCell="1" allowOverlap="1" relativeHeight="673">
                <wp:simplePos x="0" y="0"/>
                <wp:positionH relativeFrom="page">
                  <wp:posOffset>0</wp:posOffset>
                </wp:positionH>
                <wp:positionV relativeFrom="line">
                  <wp:posOffset>635</wp:posOffset>
                </wp:positionV>
                <wp:extent cx="6480175" cy="175895"/>
                <wp:effectExtent l="0" t="0" r="0" b="0"/>
                <wp:wrapNone/>
                <wp:docPr id="672" name="Frame6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12.11.Participants</w:t>
      </w:r>
      <w:r>
        <w:rPr>
          <w:rFonts w:ascii="Times New Roman;Times;serif" w:hAnsi="Times New Roman;Times;serif"/>
          <w:b w:val="false"/>
          <w:i w:val="false"/>
          <w:caps w:val="false"/>
          <w:smallCaps w:val="false"/>
          <w:color w:val="FF0000"/>
          <w:sz w:val="24"/>
          <w:shd w:fill="FFFFFF" w:val="clear"/>
        </w:rPr>
        <w:t>90</w:t>
      </w:r>
      <w:r>
        <w:rPr>
          <w:rFonts w:ascii="Times New Roman;Times;serif" w:hAnsi="Times New Roman;Times;serif"/>
          <w:b w:val="false"/>
          <w:i w:val="false"/>
          <w:caps w:val="false"/>
          <w:smallCaps w:val="false"/>
          <w:color w:val="0000FF"/>
          <w:sz w:val="24"/>
          <w:u w:val="single"/>
          <w:shd w:fill="FFFFFF" w:val="clear"/>
        </w:rPr>
        <w:t>94</w:t>
      </w:r>
      <w:r>
        <mc:AlternateContent>
          <mc:Choice Requires="wps">
            <w:drawing>
              <wp:anchor behindDoc="0" distT="0" distB="0" distL="0" distR="0" simplePos="0" locked="0" layoutInCell="1" allowOverlap="1" relativeHeight="674">
                <wp:simplePos x="0" y="0"/>
                <wp:positionH relativeFrom="page">
                  <wp:posOffset>0</wp:posOffset>
                </wp:positionH>
                <wp:positionV relativeFrom="line">
                  <wp:posOffset>635</wp:posOffset>
                </wp:positionV>
                <wp:extent cx="6480175" cy="175895"/>
                <wp:effectExtent l="0" t="0" r="0" b="0"/>
                <wp:wrapNone/>
                <wp:docPr id="673" name="Frame6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12.12.Assignments</w:t>
      </w:r>
      <w:r>
        <w:rPr>
          <w:rFonts w:ascii="Times New Roman;Times;serif" w:hAnsi="Times New Roman;Times;serif"/>
          <w:b w:val="false"/>
          <w:i w:val="false"/>
          <w:caps w:val="false"/>
          <w:smallCaps w:val="false"/>
          <w:color w:val="FF0000"/>
          <w:sz w:val="24"/>
          <w:shd w:fill="FFFFFF" w:val="clear"/>
        </w:rPr>
        <w:t>90</w:t>
      </w:r>
      <w:r>
        <w:rPr>
          <w:rFonts w:ascii="Times New Roman;Times;serif" w:hAnsi="Times New Roman;Times;serif"/>
          <w:b w:val="false"/>
          <w:i w:val="false"/>
          <w:caps w:val="false"/>
          <w:smallCaps w:val="false"/>
          <w:color w:val="0000FF"/>
          <w:sz w:val="24"/>
          <w:u w:val="single"/>
          <w:shd w:fill="FFFFFF" w:val="clear"/>
        </w:rPr>
        <w:t>94</w:t>
      </w:r>
      <w:r>
        <mc:AlternateContent>
          <mc:Choice Requires="wps">
            <w:drawing>
              <wp:anchor behindDoc="0" distT="0" distB="0" distL="0" distR="0" simplePos="0" locked="0" layoutInCell="1" allowOverlap="1" relativeHeight="675">
                <wp:simplePos x="0" y="0"/>
                <wp:positionH relativeFrom="page">
                  <wp:posOffset>0</wp:posOffset>
                </wp:positionH>
                <wp:positionV relativeFrom="line">
                  <wp:posOffset>635</wp:posOffset>
                </wp:positionV>
                <wp:extent cx="6480175" cy="175895"/>
                <wp:effectExtent l="0" t="0" r="0" b="0"/>
                <wp:wrapNone/>
                <wp:docPr id="674" name="Frame6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12.13.Amendments</w:t>
      </w:r>
      <w:r>
        <w:rPr>
          <w:rFonts w:ascii="Times New Roman;Times;serif" w:hAnsi="Times New Roman;Times;serif"/>
          <w:b w:val="false"/>
          <w:i w:val="false"/>
          <w:caps w:val="false"/>
          <w:smallCaps w:val="false"/>
          <w:color w:val="FF0000"/>
          <w:sz w:val="24"/>
          <w:shd w:fill="FFFFFF" w:val="clear"/>
        </w:rPr>
        <w:t>92</w:t>
      </w:r>
      <w:r>
        <w:rPr>
          <w:rFonts w:ascii="Times New Roman;Times;serif" w:hAnsi="Times New Roman;Times;serif"/>
          <w:b w:val="false"/>
          <w:i w:val="false"/>
          <w:caps w:val="false"/>
          <w:smallCaps w:val="false"/>
          <w:color w:val="0000FF"/>
          <w:sz w:val="24"/>
          <w:u w:val="single"/>
          <w:shd w:fill="FFFFFF" w:val="clear"/>
        </w:rPr>
        <w:t>96</w:t>
      </w:r>
      <w:r>
        <mc:AlternateContent>
          <mc:Choice Requires="wps">
            <w:drawing>
              <wp:anchor behindDoc="0" distT="0" distB="0" distL="0" distR="0" simplePos="0" locked="0" layoutInCell="1" allowOverlap="1" relativeHeight="676">
                <wp:simplePos x="0" y="0"/>
                <wp:positionH relativeFrom="page">
                  <wp:posOffset>0</wp:posOffset>
                </wp:positionH>
                <wp:positionV relativeFrom="line">
                  <wp:posOffset>635</wp:posOffset>
                </wp:positionV>
                <wp:extent cx="6480175" cy="175895"/>
                <wp:effectExtent l="0" t="0" r="0" b="0"/>
                <wp:wrapNone/>
                <wp:docPr id="675" name="Frame6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12.14.Headings</w:t>
      </w:r>
      <w:r>
        <w:rPr>
          <w:rFonts w:ascii="Times New Roman;Times;serif" w:hAnsi="Times New Roman;Times;serif"/>
          <w:b w:val="false"/>
          <w:i w:val="false"/>
          <w:caps w:val="false"/>
          <w:smallCaps w:val="false"/>
          <w:color w:val="FF0000"/>
          <w:sz w:val="24"/>
          <w:shd w:fill="FFFFFF" w:val="clear"/>
        </w:rPr>
        <w:t>93</w:t>
      </w:r>
      <w:r>
        <w:rPr>
          <w:rFonts w:ascii="Times New Roman;Times;serif" w:hAnsi="Times New Roman;Times;serif"/>
          <w:b w:val="false"/>
          <w:i w:val="false"/>
          <w:caps w:val="false"/>
          <w:smallCaps w:val="false"/>
          <w:color w:val="0000FF"/>
          <w:sz w:val="24"/>
          <w:u w:val="single"/>
          <w:shd w:fill="FFFFFF" w:val="clear"/>
        </w:rPr>
        <w:t>98</w:t>
      </w:r>
      <w:r>
        <mc:AlternateContent>
          <mc:Choice Requires="wps">
            <w:drawing>
              <wp:anchor behindDoc="0" distT="0" distB="0" distL="0" distR="0" simplePos="0" locked="0" layoutInCell="1" allowOverlap="1" relativeHeight="677">
                <wp:simplePos x="0" y="0"/>
                <wp:positionH relativeFrom="page">
                  <wp:posOffset>0</wp:posOffset>
                </wp:positionH>
                <wp:positionV relativeFrom="line">
                  <wp:posOffset>635</wp:posOffset>
                </wp:positionV>
                <wp:extent cx="6480175" cy="175895"/>
                <wp:effectExtent l="0" t="0" r="0" b="0"/>
                <wp:wrapNone/>
                <wp:docPr id="676" name="Frame6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12.15.Costs and Expenses; Indemnification</w:t>
      </w:r>
      <w:r>
        <w:rPr>
          <w:rFonts w:ascii="Times New Roman;Times;serif" w:hAnsi="Times New Roman;Times;serif"/>
          <w:b w:val="false"/>
          <w:i w:val="false"/>
          <w:caps w:val="false"/>
          <w:smallCaps w:val="false"/>
          <w:color w:val="FF0000"/>
          <w:sz w:val="24"/>
          <w:shd w:fill="FFFFFF" w:val="clear"/>
        </w:rPr>
        <w:t>93</w:t>
      </w:r>
      <w:r>
        <w:rPr>
          <w:rFonts w:ascii="Times New Roman;Times;serif" w:hAnsi="Times New Roman;Times;serif"/>
          <w:b w:val="false"/>
          <w:i w:val="false"/>
          <w:caps w:val="false"/>
          <w:smallCaps w:val="false"/>
          <w:color w:val="0000FF"/>
          <w:sz w:val="24"/>
          <w:u w:val="single"/>
          <w:shd w:fill="FFFFFF" w:val="clear"/>
        </w:rPr>
        <w:t>98</w:t>
      </w:r>
      <w:r>
        <mc:AlternateContent>
          <mc:Choice Requires="wps">
            <w:drawing>
              <wp:anchor behindDoc="0" distT="0" distB="0" distL="0" distR="0" simplePos="0" locked="0" layoutInCell="1" allowOverlap="1" relativeHeight="678">
                <wp:simplePos x="0" y="0"/>
                <wp:positionH relativeFrom="page">
                  <wp:posOffset>0</wp:posOffset>
                </wp:positionH>
                <wp:positionV relativeFrom="line">
                  <wp:posOffset>635</wp:posOffset>
                </wp:positionV>
                <wp:extent cx="6480175" cy="175895"/>
                <wp:effectExtent l="0" t="0" r="0" b="0"/>
                <wp:wrapNone/>
                <wp:docPr id="677" name="Frame6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12.16.Set-off</w:t>
      </w:r>
      <w:r>
        <w:rPr>
          <w:rFonts w:ascii="Times New Roman;Times;serif" w:hAnsi="Times New Roman;Times;serif"/>
          <w:b w:val="false"/>
          <w:i w:val="false"/>
          <w:caps w:val="false"/>
          <w:smallCaps w:val="false"/>
          <w:color w:val="FF0000"/>
          <w:sz w:val="24"/>
          <w:shd w:fill="FFFFFF" w:val="clear"/>
        </w:rPr>
        <w:t>94</w:t>
      </w:r>
      <w:r>
        <w:rPr>
          <w:rFonts w:ascii="Times New Roman;Times;serif" w:hAnsi="Times New Roman;Times;serif"/>
          <w:b w:val="false"/>
          <w:i w:val="false"/>
          <w:caps w:val="false"/>
          <w:smallCaps w:val="false"/>
          <w:color w:val="0000FF"/>
          <w:sz w:val="24"/>
          <w:u w:val="single"/>
          <w:shd w:fill="FFFFFF" w:val="clear"/>
        </w:rPr>
        <w:t>99</w:t>
      </w:r>
      <w:r>
        <mc:AlternateContent>
          <mc:Choice Requires="wps">
            <w:drawing>
              <wp:anchor behindDoc="0" distT="0" distB="0" distL="0" distR="0" simplePos="0" locked="0" layoutInCell="1" allowOverlap="1" relativeHeight="679">
                <wp:simplePos x="0" y="0"/>
                <wp:positionH relativeFrom="page">
                  <wp:posOffset>0</wp:posOffset>
                </wp:positionH>
                <wp:positionV relativeFrom="line">
                  <wp:posOffset>635</wp:posOffset>
                </wp:positionV>
                <wp:extent cx="6480175" cy="175895"/>
                <wp:effectExtent l="0" t="0" r="0" b="0"/>
                <wp:wrapNone/>
                <wp:docPr id="678" name="Frame6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12.17.Entire Agreement</w:t>
      </w:r>
      <w:r>
        <w:rPr>
          <w:rFonts w:ascii="Times New Roman;Times;serif" w:hAnsi="Times New Roman;Times;serif"/>
          <w:b w:val="false"/>
          <w:i w:val="false"/>
          <w:caps w:val="false"/>
          <w:smallCaps w:val="false"/>
          <w:color w:val="FF0000"/>
          <w:sz w:val="24"/>
          <w:shd w:fill="FFFFFF" w:val="clear"/>
        </w:rPr>
        <w:t>95</w:t>
      </w:r>
      <w:r>
        <w:rPr>
          <w:rFonts w:ascii="Times New Roman;Times;serif" w:hAnsi="Times New Roman;Times;serif"/>
          <w:b w:val="false"/>
          <w:i w:val="false"/>
          <w:caps w:val="false"/>
          <w:smallCaps w:val="false"/>
          <w:color w:val="0000FF"/>
          <w:sz w:val="24"/>
          <w:u w:val="single"/>
          <w:shd w:fill="FFFFFF" w:val="clear"/>
        </w:rPr>
        <w:t>99</w:t>
      </w:r>
      <w:r>
        <mc:AlternateContent>
          <mc:Choice Requires="wps">
            <w:drawing>
              <wp:anchor behindDoc="0" distT="0" distB="0" distL="0" distR="0" simplePos="0" locked="0" layoutInCell="1" allowOverlap="1" relativeHeight="680">
                <wp:simplePos x="0" y="0"/>
                <wp:positionH relativeFrom="page">
                  <wp:posOffset>0</wp:posOffset>
                </wp:positionH>
                <wp:positionV relativeFrom="line">
                  <wp:posOffset>635</wp:posOffset>
                </wp:positionV>
                <wp:extent cx="6480175" cy="175895"/>
                <wp:effectExtent l="0" t="0" r="0" b="0"/>
                <wp:wrapNone/>
                <wp:docPr id="679" name="Frame6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12.18.Governing Law</w:t>
      </w:r>
      <w:r>
        <w:rPr>
          <w:rFonts w:ascii="Times New Roman;Times;serif" w:hAnsi="Times New Roman;Times;serif"/>
          <w:b w:val="false"/>
          <w:i w:val="false"/>
          <w:caps w:val="false"/>
          <w:smallCaps w:val="false"/>
          <w:color w:val="FF0000"/>
          <w:sz w:val="24"/>
          <w:shd w:fill="FFFFFF" w:val="clear"/>
        </w:rPr>
        <w:t>95</w:t>
      </w:r>
      <w:r>
        <w:rPr>
          <w:rFonts w:ascii="Times New Roman;Times;serif" w:hAnsi="Times New Roman;Times;serif"/>
          <w:b w:val="false"/>
          <w:i w:val="false"/>
          <w:caps w:val="false"/>
          <w:smallCaps w:val="false"/>
          <w:color w:val="0000FF"/>
          <w:sz w:val="24"/>
          <w:u w:val="single"/>
          <w:shd w:fill="FFFFFF" w:val="clear"/>
        </w:rPr>
        <w:t>99</w:t>
      </w:r>
      <w:r>
        <mc:AlternateContent>
          <mc:Choice Requires="wps">
            <w:drawing>
              <wp:anchor behindDoc="0" distT="0" distB="0" distL="0" distR="0" simplePos="0" locked="0" layoutInCell="1" allowOverlap="1" relativeHeight="681">
                <wp:simplePos x="0" y="0"/>
                <wp:positionH relativeFrom="page">
                  <wp:posOffset>0</wp:posOffset>
                </wp:positionH>
                <wp:positionV relativeFrom="line">
                  <wp:posOffset>635</wp:posOffset>
                </wp:positionV>
                <wp:extent cx="6480175" cy="175895"/>
                <wp:effectExtent l="0" t="0" r="0" b="0"/>
                <wp:wrapNone/>
                <wp:docPr id="680" name="Frame6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12.19.Severability of Provisions</w:t>
      </w:r>
      <w:r>
        <w:rPr>
          <w:rFonts w:ascii="Times New Roman;Times;serif" w:hAnsi="Times New Roman;Times;serif"/>
          <w:b w:val="false"/>
          <w:i w:val="false"/>
          <w:caps w:val="false"/>
          <w:smallCaps w:val="false"/>
          <w:color w:val="FF0000"/>
          <w:sz w:val="24"/>
          <w:shd w:fill="FFFFFF" w:val="clear"/>
        </w:rPr>
        <w:t>95</w:t>
      </w:r>
      <w:r>
        <w:rPr>
          <w:rFonts w:ascii="Times New Roman;Times;serif" w:hAnsi="Times New Roman;Times;serif"/>
          <w:b w:val="false"/>
          <w:i w:val="false"/>
          <w:caps w:val="false"/>
          <w:smallCaps w:val="false"/>
          <w:color w:val="0000FF"/>
          <w:sz w:val="24"/>
          <w:u w:val="single"/>
          <w:shd w:fill="FFFFFF" w:val="clear"/>
        </w:rPr>
        <w:t>99</w:t>
      </w:r>
      <w:r>
        <mc:AlternateContent>
          <mc:Choice Requires="wps">
            <w:drawing>
              <wp:anchor behindDoc="0" distT="0" distB="0" distL="0" distR="0" simplePos="0" locked="0" layoutInCell="1" allowOverlap="1" relativeHeight="682">
                <wp:simplePos x="0" y="0"/>
                <wp:positionH relativeFrom="page">
                  <wp:posOffset>0</wp:posOffset>
                </wp:positionH>
                <wp:positionV relativeFrom="line">
                  <wp:posOffset>635</wp:posOffset>
                </wp:positionV>
                <wp:extent cx="6480175" cy="175895"/>
                <wp:effectExtent l="0" t="0" r="0" b="0"/>
                <wp:wrapNone/>
                <wp:docPr id="681" name="Frame6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12.20.Excess Interest</w:t>
      </w:r>
      <w:r>
        <w:rPr>
          <w:rFonts w:ascii="Times New Roman;Times;serif" w:hAnsi="Times New Roman;Times;serif"/>
          <w:b w:val="false"/>
          <w:i w:val="false"/>
          <w:caps w:val="false"/>
          <w:smallCaps w:val="false"/>
          <w:color w:val="FF0000"/>
          <w:sz w:val="24"/>
          <w:shd w:fill="FFFFFF" w:val="clear"/>
        </w:rPr>
        <w:t>95</w:t>
      </w:r>
      <w:r>
        <w:rPr>
          <w:rFonts w:ascii="Times New Roman;Times;serif" w:hAnsi="Times New Roman;Times;serif"/>
          <w:b w:val="false"/>
          <w:i w:val="false"/>
          <w:caps w:val="false"/>
          <w:smallCaps w:val="false"/>
          <w:color w:val="0000FF"/>
          <w:sz w:val="24"/>
          <w:u w:val="single"/>
          <w:shd w:fill="FFFFFF" w:val="clear"/>
        </w:rPr>
        <w:t>100</w:t>
      </w:r>
      <w:r>
        <mc:AlternateContent>
          <mc:Choice Requires="wps">
            <w:drawing>
              <wp:anchor behindDoc="0" distT="0" distB="0" distL="0" distR="0" simplePos="0" locked="0" layoutInCell="1" allowOverlap="1" relativeHeight="683">
                <wp:simplePos x="0" y="0"/>
                <wp:positionH relativeFrom="page">
                  <wp:posOffset>0</wp:posOffset>
                </wp:positionH>
                <wp:positionV relativeFrom="line">
                  <wp:posOffset>635</wp:posOffset>
                </wp:positionV>
                <wp:extent cx="6480175" cy="175895"/>
                <wp:effectExtent l="0" t="0" r="0" b="0"/>
                <wp:wrapNone/>
                <wp:docPr id="682" name="Frame6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12.21.Construction</w:t>
      </w:r>
      <w:r>
        <w:rPr>
          <w:rFonts w:ascii="Times New Roman;Times;serif" w:hAnsi="Times New Roman;Times;serif"/>
          <w:b w:val="false"/>
          <w:i w:val="false"/>
          <w:caps w:val="false"/>
          <w:smallCaps w:val="false"/>
          <w:color w:val="FF0000"/>
          <w:sz w:val="24"/>
          <w:shd w:fill="FFFFFF" w:val="clear"/>
        </w:rPr>
        <w:t>96</w:t>
      </w:r>
      <w:r>
        <w:rPr>
          <w:rFonts w:ascii="Times New Roman;Times;serif" w:hAnsi="Times New Roman;Times;serif"/>
          <w:b w:val="false"/>
          <w:i w:val="false"/>
          <w:caps w:val="false"/>
          <w:smallCaps w:val="false"/>
          <w:color w:val="0000FF"/>
          <w:sz w:val="24"/>
          <w:u w:val="single"/>
          <w:shd w:fill="FFFFFF" w:val="clear"/>
        </w:rPr>
        <w:t>100</w:t>
      </w:r>
      <w:r>
        <mc:AlternateContent>
          <mc:Choice Requires="wps">
            <w:drawing>
              <wp:anchor behindDoc="0" distT="0" distB="0" distL="0" distR="0" simplePos="0" locked="0" layoutInCell="1" allowOverlap="1" relativeHeight="684">
                <wp:simplePos x="0" y="0"/>
                <wp:positionH relativeFrom="page">
                  <wp:posOffset>0</wp:posOffset>
                </wp:positionH>
                <wp:positionV relativeFrom="line">
                  <wp:posOffset>635</wp:posOffset>
                </wp:positionV>
                <wp:extent cx="6480175" cy="175895"/>
                <wp:effectExtent l="0" t="0" r="0" b="0"/>
                <wp:wrapNone/>
                <wp:docPr id="683" name="Frame6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12.22.Lender’s Obligations Several</w:t>
      </w:r>
      <w:r>
        <w:rPr>
          <w:rFonts w:ascii="Times New Roman;Times;serif" w:hAnsi="Times New Roman;Times;serif"/>
          <w:b w:val="false"/>
          <w:i w:val="false"/>
          <w:caps w:val="false"/>
          <w:smallCaps w:val="false"/>
          <w:color w:val="FF0000"/>
          <w:sz w:val="24"/>
          <w:shd w:fill="FFFFFF" w:val="clear"/>
        </w:rPr>
        <w:t>96</w:t>
      </w:r>
      <w:r>
        <w:rPr>
          <w:rFonts w:ascii="Times New Roman;Times;serif" w:hAnsi="Times New Roman;Times;serif"/>
          <w:b w:val="false"/>
          <w:i w:val="false"/>
          <w:caps w:val="false"/>
          <w:smallCaps w:val="false"/>
          <w:color w:val="0000FF"/>
          <w:sz w:val="24"/>
          <w:u w:val="single"/>
          <w:shd w:fill="FFFFFF" w:val="clear"/>
        </w:rPr>
        <w:t>100</w:t>
      </w:r>
      <w:r>
        <mc:AlternateContent>
          <mc:Choice Requires="wps">
            <w:drawing>
              <wp:anchor behindDoc="0" distT="0" distB="0" distL="0" distR="0" simplePos="0" locked="0" layoutInCell="1" allowOverlap="1" relativeHeight="685">
                <wp:simplePos x="0" y="0"/>
                <wp:positionH relativeFrom="page">
                  <wp:posOffset>0</wp:posOffset>
                </wp:positionH>
                <wp:positionV relativeFrom="line">
                  <wp:posOffset>635</wp:posOffset>
                </wp:positionV>
                <wp:extent cx="6480175" cy="175895"/>
                <wp:effectExtent l="0" t="0" r="0" b="0"/>
                <wp:wrapNone/>
                <wp:docPr id="684" name="Frame6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smallCaps/>
          <w:color w:val="0000FF"/>
          <w:sz w:val="24"/>
          <w:u w:val="single"/>
          <w:shd w:fill="FFFFFF" w:val="clear"/>
        </w:rPr>
        <w:t>Section 12.23.</w:t>
      </w:r>
      <w:r>
        <w:rPr>
          <w:rFonts w:ascii="Times New Roman;Times;serif" w:hAnsi="Times New Roman;Times;serif"/>
          <w:b w:val="false"/>
          <w:i w:val="false"/>
          <w:caps w:val="false"/>
          <w:smallCaps w:val="false"/>
          <w:color w:val="0000FF"/>
          <w:sz w:val="24"/>
          <w:u w:val="single"/>
          <w:shd w:fill="FFFFFF" w:val="clear"/>
        </w:rPr>
        <w:t>Submission to Jurisdiction; Waiver of Jury Trial</w:t>
      </w:r>
      <w:r>
        <w:rPr>
          <w:rFonts w:ascii="Times New Roman;Times;serif" w:hAnsi="Times New Roman;Times;serif"/>
          <w:b w:val="false"/>
          <w:i w:val="false"/>
          <w:caps w:val="false"/>
          <w:smallCaps w:val="false"/>
          <w:color w:val="FF0000"/>
          <w:sz w:val="24"/>
          <w:shd w:fill="FFFFFF" w:val="clear"/>
        </w:rPr>
        <w:t>96</w:t>
      </w:r>
      <w:r>
        <w:rPr>
          <w:rFonts w:ascii="Times New Roman;Times;serif" w:hAnsi="Times New Roman;Times;serif"/>
          <w:b w:val="false"/>
          <w:i w:val="false"/>
          <w:caps w:val="false"/>
          <w:smallCaps w:val="false"/>
          <w:color w:val="0000FF"/>
          <w:sz w:val="24"/>
          <w:u w:val="single"/>
          <w:shd w:fill="FFFFFF" w:val="clear"/>
        </w:rPr>
        <w:t>100</w:t>
      </w:r>
      <w:r>
        <mc:AlternateContent>
          <mc:Choice Requires="wps">
            <w:drawing>
              <wp:anchor behindDoc="0" distT="0" distB="0" distL="0" distR="0" simplePos="0" locked="0" layoutInCell="1" allowOverlap="1" relativeHeight="686">
                <wp:simplePos x="0" y="0"/>
                <wp:positionH relativeFrom="page">
                  <wp:posOffset>0</wp:posOffset>
                </wp:positionH>
                <wp:positionV relativeFrom="line">
                  <wp:posOffset>635</wp:posOffset>
                </wp:positionV>
                <wp:extent cx="6480175" cy="175895"/>
                <wp:effectExtent l="0" t="0" r="0" b="0"/>
                <wp:wrapNone/>
                <wp:docPr id="685" name="Frame6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12.24.USA Patriot Act</w:t>
      </w:r>
      <w:r>
        <w:rPr>
          <w:rFonts w:ascii="Times New Roman;Times;serif" w:hAnsi="Times New Roman;Times;serif"/>
          <w:b w:val="false"/>
          <w:i w:val="false"/>
          <w:caps w:val="false"/>
          <w:smallCaps w:val="false"/>
          <w:color w:val="FF0000"/>
          <w:sz w:val="24"/>
          <w:shd w:fill="FFFFFF" w:val="clear"/>
        </w:rPr>
        <w:t>96</w:t>
      </w:r>
      <w:r>
        <w:rPr>
          <w:rFonts w:ascii="Times New Roman;Times;serif" w:hAnsi="Times New Roman;Times;serif"/>
          <w:b w:val="false"/>
          <w:i w:val="false"/>
          <w:caps w:val="false"/>
          <w:smallCaps w:val="false"/>
          <w:color w:val="0000FF"/>
          <w:sz w:val="24"/>
          <w:u w:val="single"/>
          <w:shd w:fill="FFFFFF" w:val="clear"/>
        </w:rPr>
        <w:t>101</w:t>
      </w:r>
      <w:r>
        <mc:AlternateContent>
          <mc:Choice Requires="wps">
            <w:drawing>
              <wp:anchor behindDoc="0" distT="0" distB="0" distL="0" distR="0" simplePos="0" locked="0" layoutInCell="1" allowOverlap="1" relativeHeight="687">
                <wp:simplePos x="0" y="0"/>
                <wp:positionH relativeFrom="page">
                  <wp:posOffset>0</wp:posOffset>
                </wp:positionH>
                <wp:positionV relativeFrom="line">
                  <wp:posOffset>635</wp:posOffset>
                </wp:positionV>
                <wp:extent cx="6480175" cy="175895"/>
                <wp:effectExtent l="0" t="0" r="0" b="0"/>
                <wp:wrapNone/>
                <wp:docPr id="686" name="Frame6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12.25.Confidentiality</w:t>
      </w:r>
      <w:r>
        <w:rPr>
          <w:rFonts w:ascii="Times New Roman;Times;serif" w:hAnsi="Times New Roman;Times;serif"/>
          <w:b w:val="false"/>
          <w:i w:val="false"/>
          <w:caps w:val="false"/>
          <w:smallCaps w:val="false"/>
          <w:color w:val="FF0000"/>
          <w:sz w:val="24"/>
          <w:shd w:fill="FFFFFF" w:val="clear"/>
        </w:rPr>
        <w:t>96</w:t>
      </w:r>
      <w:r>
        <w:rPr>
          <w:rFonts w:ascii="Times New Roman;Times;serif" w:hAnsi="Times New Roman;Times;serif"/>
          <w:b w:val="false"/>
          <w:i w:val="false"/>
          <w:caps w:val="false"/>
          <w:smallCaps w:val="false"/>
          <w:color w:val="0000FF"/>
          <w:sz w:val="24"/>
          <w:u w:val="single"/>
          <w:shd w:fill="FFFFFF" w:val="clear"/>
        </w:rPr>
        <w:t>101</w:t>
      </w:r>
      <w:r>
        <mc:AlternateContent>
          <mc:Choice Requires="wps">
            <w:drawing>
              <wp:anchor behindDoc="0" distT="0" distB="0" distL="0" distR="0" simplePos="0" locked="0" layoutInCell="1" allowOverlap="1" relativeHeight="688">
                <wp:simplePos x="0" y="0"/>
                <wp:positionH relativeFrom="page">
                  <wp:posOffset>0</wp:posOffset>
                </wp:positionH>
                <wp:positionV relativeFrom="line">
                  <wp:posOffset>635</wp:posOffset>
                </wp:positionV>
                <wp:extent cx="6480175" cy="175895"/>
                <wp:effectExtent l="0" t="0" r="0" b="0"/>
                <wp:wrapNone/>
                <wp:docPr id="687" name="Frame6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12.26.Limitation of Recourse</w:t>
      </w:r>
      <w:r>
        <w:rPr>
          <w:rFonts w:ascii="Times New Roman;Times;serif" w:hAnsi="Times New Roman;Times;serif"/>
          <w:b w:val="false"/>
          <w:i w:val="false"/>
          <w:caps w:val="false"/>
          <w:smallCaps w:val="false"/>
          <w:color w:val="FF0000"/>
          <w:sz w:val="24"/>
          <w:shd w:fill="FFFFFF" w:val="clear"/>
        </w:rPr>
        <w:t>98</w:t>
      </w:r>
      <w:r>
        <w:rPr>
          <w:rFonts w:ascii="Times New Roman;Times;serif" w:hAnsi="Times New Roman;Times;serif"/>
          <w:b w:val="false"/>
          <w:i w:val="false"/>
          <w:caps w:val="false"/>
          <w:smallCaps w:val="false"/>
          <w:color w:val="0000FF"/>
          <w:sz w:val="24"/>
          <w:u w:val="single"/>
          <w:shd w:fill="FFFFFF" w:val="clear"/>
        </w:rPr>
        <w:t>102</w:t>
      </w:r>
      <w:r>
        <mc:AlternateContent>
          <mc:Choice Requires="wps">
            <w:drawing>
              <wp:anchor behindDoc="0" distT="0" distB="0" distL="0" distR="0" simplePos="0" locked="0" layoutInCell="1" allowOverlap="1" relativeHeight="689">
                <wp:simplePos x="0" y="0"/>
                <wp:positionH relativeFrom="page">
                  <wp:posOffset>0</wp:posOffset>
                </wp:positionH>
                <wp:positionV relativeFrom="line">
                  <wp:posOffset>635</wp:posOffset>
                </wp:positionV>
                <wp:extent cx="6480175" cy="175895"/>
                <wp:effectExtent l="0" t="0" r="0" b="0"/>
                <wp:wrapNone/>
                <wp:docPr id="688" name="Frame6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12.27.Other Taxes</w:t>
      </w:r>
      <w:r>
        <w:rPr>
          <w:rFonts w:ascii="Times New Roman;Times;serif" w:hAnsi="Times New Roman;Times;serif"/>
          <w:b w:val="false"/>
          <w:i w:val="false"/>
          <w:caps w:val="false"/>
          <w:smallCaps w:val="false"/>
          <w:color w:val="FF0000"/>
          <w:sz w:val="24"/>
          <w:shd w:fill="FFFFFF" w:val="clear"/>
        </w:rPr>
        <w:t>98</w:t>
      </w:r>
      <w:r>
        <w:rPr>
          <w:rFonts w:ascii="Times New Roman;Times;serif" w:hAnsi="Times New Roman;Times;serif"/>
          <w:b w:val="false"/>
          <w:i w:val="false"/>
          <w:caps w:val="false"/>
          <w:smallCaps w:val="false"/>
          <w:color w:val="0000FF"/>
          <w:sz w:val="24"/>
          <w:u w:val="single"/>
          <w:shd w:fill="FFFFFF" w:val="clear"/>
        </w:rPr>
        <w:t>102</w:t>
      </w:r>
      <w:r>
        <mc:AlternateContent>
          <mc:Choice Requires="wps">
            <w:drawing>
              <wp:anchor behindDoc="0" distT="0" distB="0" distL="0" distR="0" simplePos="0" locked="0" layoutInCell="1" allowOverlap="1" relativeHeight="690">
                <wp:simplePos x="0" y="0"/>
                <wp:positionH relativeFrom="page">
                  <wp:posOffset>0</wp:posOffset>
                </wp:positionH>
                <wp:positionV relativeFrom="line">
                  <wp:posOffset>635</wp:posOffset>
                </wp:positionV>
                <wp:extent cx="6480175" cy="175895"/>
                <wp:effectExtent l="0" t="0" r="0" b="0"/>
                <wp:wrapNone/>
                <wp:docPr id="689" name="Frame6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12.28.Acknowledgement and Consent to Bail-In of Affected Financial Institutions</w:t>
      </w:r>
      <w:r>
        <w:rPr>
          <w:rFonts w:ascii="Times New Roman;Times;serif" w:hAnsi="Times New Roman;Times;serif"/>
          <w:b w:val="false"/>
          <w:i w:val="false"/>
          <w:caps w:val="false"/>
          <w:smallCaps w:val="false"/>
          <w:color w:val="FF0000"/>
          <w:sz w:val="24"/>
          <w:shd w:fill="FFFFFF" w:val="clear"/>
        </w:rPr>
        <w:t>98</w:t>
      </w:r>
      <w:r>
        <w:rPr>
          <w:rFonts w:ascii="Times New Roman;Times;serif" w:hAnsi="Times New Roman;Times;serif"/>
          <w:b w:val="false"/>
          <w:i w:val="false"/>
          <w:caps w:val="false"/>
          <w:smallCaps w:val="false"/>
          <w:color w:val="0000FF"/>
          <w:sz w:val="24"/>
          <w:u w:val="single"/>
          <w:shd w:fill="FFFFFF" w:val="clear"/>
        </w:rPr>
        <w:t>102</w:t>
      </w:r>
      <w:r>
        <mc:AlternateContent>
          <mc:Choice Requires="wps">
            <w:drawing>
              <wp:anchor behindDoc="0" distT="0" distB="0" distL="0" distR="0" simplePos="0" locked="0" layoutInCell="1" allowOverlap="1" relativeHeight="691">
                <wp:simplePos x="0" y="0"/>
                <wp:positionH relativeFrom="page">
                  <wp:posOffset>0</wp:posOffset>
                </wp:positionH>
                <wp:positionV relativeFrom="line">
                  <wp:posOffset>635</wp:posOffset>
                </wp:positionV>
                <wp:extent cx="6480175" cy="175895"/>
                <wp:effectExtent l="0" t="0" r="0" b="0"/>
                <wp:wrapNone/>
                <wp:docPr id="690" name="Frame6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12.29.Acknowledgement Regarding Any Supported QFCs</w:t>
      </w:r>
      <w:r>
        <w:rPr>
          <w:rFonts w:ascii="Times New Roman;Times;serif" w:hAnsi="Times New Roman;Times;serif"/>
          <w:b w:val="false"/>
          <w:i w:val="false"/>
          <w:caps w:val="false"/>
          <w:smallCaps w:val="false"/>
          <w:color w:val="FF0000"/>
          <w:sz w:val="24"/>
          <w:shd w:fill="FFFFFF" w:val="clear"/>
        </w:rPr>
        <w:t>98</w:t>
      </w:r>
      <w:r>
        <w:rPr>
          <w:rFonts w:ascii="Times New Roman;Times;serif" w:hAnsi="Times New Roman;Times;serif"/>
          <w:b w:val="false"/>
          <w:i w:val="false"/>
          <w:caps w:val="false"/>
          <w:smallCaps w:val="false"/>
          <w:color w:val="0000FF"/>
          <w:sz w:val="24"/>
          <w:u w:val="single"/>
          <w:shd w:fill="FFFFFF" w:val="clear"/>
        </w:rPr>
        <w:t>103</w:t>
      </w:r>
      <w:r>
        <mc:AlternateContent>
          <mc:Choice Requires="wps">
            <w:drawing>
              <wp:anchor behindDoc="0" distT="0" distB="0" distL="0" distR="0" simplePos="0" locked="0" layoutInCell="1" allowOverlap="1" relativeHeight="692">
                <wp:simplePos x="0" y="0"/>
                <wp:positionH relativeFrom="page">
                  <wp:posOffset>0</wp:posOffset>
                </wp:positionH>
                <wp:positionV relativeFrom="line">
                  <wp:posOffset>635</wp:posOffset>
                </wp:positionV>
                <wp:extent cx="6480175" cy="175895"/>
                <wp:effectExtent l="0" t="0" r="0" b="0"/>
                <wp:wrapNone/>
                <wp:docPr id="691" name="Frame6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12.30.Erroneous Payment</w:t>
      </w:r>
      <w:r>
        <w:rPr>
          <w:rFonts w:ascii="Times New Roman;Times;serif" w:hAnsi="Times New Roman;Times;serif"/>
          <w:b w:val="false"/>
          <w:i w:val="false"/>
          <w:caps w:val="false"/>
          <w:smallCaps w:val="false"/>
          <w:color w:val="FF0000"/>
          <w:sz w:val="24"/>
          <w:shd w:fill="FFFFFF" w:val="clear"/>
        </w:rPr>
        <w:t>100</w:t>
      </w:r>
      <w:r>
        <w:rPr>
          <w:rFonts w:ascii="Times New Roman;Times;serif" w:hAnsi="Times New Roman;Times;serif"/>
          <w:b w:val="false"/>
          <w:i w:val="false"/>
          <w:caps w:val="false"/>
          <w:smallCaps w:val="false"/>
          <w:color w:val="0000FF"/>
          <w:sz w:val="24"/>
          <w:u w:val="single"/>
          <w:shd w:fill="FFFFFF" w:val="clear"/>
        </w:rPr>
        <w:t>104</w:t>
      </w:r>
      <w:r>
        <mc:AlternateContent>
          <mc:Choice Requires="wps">
            <w:drawing>
              <wp:anchor behindDoc="0" distT="0" distB="0" distL="0" distR="0" simplePos="0" locked="0" layoutInCell="1" allowOverlap="1" relativeHeight="693">
                <wp:simplePos x="0" y="0"/>
                <wp:positionH relativeFrom="page">
                  <wp:posOffset>0</wp:posOffset>
                </wp:positionH>
                <wp:positionV relativeFrom="line">
                  <wp:posOffset>635</wp:posOffset>
                </wp:positionV>
                <wp:extent cx="6480175" cy="175895"/>
                <wp:effectExtent l="0" t="0" r="0" b="0"/>
                <wp:wrapNone/>
                <wp:docPr id="692" name="Frame6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13.The Guarantees</w:t>
      </w:r>
      <w:r>
        <w:rPr>
          <w:rFonts w:ascii="Times New Roman;Times;serif" w:hAnsi="Times New Roman;Times;serif"/>
          <w:b w:val="false"/>
          <w:i w:val="false"/>
          <w:caps w:val="false"/>
          <w:smallCaps w:val="false"/>
          <w:color w:val="FF0000"/>
          <w:sz w:val="24"/>
          <w:shd w:fill="FFFFFF" w:val="clear"/>
        </w:rPr>
        <w:t>103</w:t>
      </w:r>
      <w:r>
        <w:rPr>
          <w:rFonts w:ascii="Times New Roman;Times;serif" w:hAnsi="Times New Roman;Times;serif"/>
          <w:b w:val="false"/>
          <w:i w:val="false"/>
          <w:caps w:val="false"/>
          <w:smallCaps w:val="false"/>
          <w:color w:val="0000FF"/>
          <w:sz w:val="24"/>
          <w:u w:val="single"/>
          <w:shd w:fill="FFFFFF" w:val="clear"/>
        </w:rPr>
        <w:t>107</w:t>
      </w:r>
      <w:r>
        <mc:AlternateContent>
          <mc:Choice Requires="wps">
            <w:drawing>
              <wp:anchor behindDoc="0" distT="0" distB="0" distL="0" distR="0" simplePos="0" locked="0" layoutInCell="1" allowOverlap="1" relativeHeight="694">
                <wp:simplePos x="0" y="0"/>
                <wp:positionH relativeFrom="page">
                  <wp:posOffset>0</wp:posOffset>
                </wp:positionH>
                <wp:positionV relativeFrom="line">
                  <wp:posOffset>635</wp:posOffset>
                </wp:positionV>
                <wp:extent cx="6480175" cy="175895"/>
                <wp:effectExtent l="0" t="0" r="0" b="0"/>
                <wp:wrapNone/>
                <wp:docPr id="693" name="Frame6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13.1.The Guarantees</w:t>
      </w:r>
      <w:r>
        <w:rPr>
          <w:rFonts w:ascii="Times New Roman;Times;serif" w:hAnsi="Times New Roman;Times;serif"/>
          <w:b w:val="false"/>
          <w:i w:val="false"/>
          <w:caps w:val="false"/>
          <w:smallCaps w:val="false"/>
          <w:color w:val="FF0000"/>
          <w:sz w:val="24"/>
          <w:shd w:fill="FFFFFF" w:val="clear"/>
        </w:rPr>
        <w:t>103</w:t>
      </w:r>
      <w:r>
        <w:rPr>
          <w:rFonts w:ascii="Times New Roman;Times;serif" w:hAnsi="Times New Roman;Times;serif"/>
          <w:b w:val="false"/>
          <w:i w:val="false"/>
          <w:caps w:val="false"/>
          <w:smallCaps w:val="false"/>
          <w:color w:val="0000FF"/>
          <w:sz w:val="24"/>
          <w:u w:val="single"/>
          <w:shd w:fill="FFFFFF" w:val="clear"/>
        </w:rPr>
        <w:t>107</w:t>
      </w:r>
      <w:r>
        <mc:AlternateContent>
          <mc:Choice Requires="wps">
            <w:drawing>
              <wp:anchor behindDoc="0" distT="0" distB="0" distL="0" distR="0" simplePos="0" locked="0" layoutInCell="1" allowOverlap="1" relativeHeight="695">
                <wp:simplePos x="0" y="0"/>
                <wp:positionH relativeFrom="page">
                  <wp:posOffset>0</wp:posOffset>
                </wp:positionH>
                <wp:positionV relativeFrom="line">
                  <wp:posOffset>635</wp:posOffset>
                </wp:positionV>
                <wp:extent cx="6480175" cy="175895"/>
                <wp:effectExtent l="0" t="0" r="0" b="0"/>
                <wp:wrapNone/>
                <wp:docPr id="694" name="Frame6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13.2.Guarantee Unconditional</w:t>
      </w:r>
      <w:r>
        <w:rPr>
          <w:rFonts w:ascii="Times New Roman;Times;serif" w:hAnsi="Times New Roman;Times;serif"/>
          <w:b w:val="false"/>
          <w:i w:val="false"/>
          <w:caps w:val="false"/>
          <w:smallCaps w:val="false"/>
          <w:color w:val="FF0000"/>
          <w:sz w:val="24"/>
          <w:shd w:fill="FFFFFF" w:val="clear"/>
        </w:rPr>
        <w:t>103</w:t>
      </w:r>
      <w:r>
        <w:rPr>
          <w:rFonts w:ascii="Times New Roman;Times;serif" w:hAnsi="Times New Roman;Times;serif"/>
          <w:b w:val="false"/>
          <w:i w:val="false"/>
          <w:caps w:val="false"/>
          <w:smallCaps w:val="false"/>
          <w:color w:val="0000FF"/>
          <w:sz w:val="24"/>
          <w:u w:val="single"/>
          <w:shd w:fill="FFFFFF" w:val="clear"/>
        </w:rPr>
        <w:t>107</w:t>
      </w:r>
      <w:r>
        <mc:AlternateContent>
          <mc:Choice Requires="wps">
            <w:drawing>
              <wp:anchor behindDoc="0" distT="0" distB="0" distL="0" distR="0" simplePos="0" locked="0" layoutInCell="1" allowOverlap="1" relativeHeight="696">
                <wp:simplePos x="0" y="0"/>
                <wp:positionH relativeFrom="page">
                  <wp:posOffset>0</wp:posOffset>
                </wp:positionH>
                <wp:positionV relativeFrom="line">
                  <wp:posOffset>635</wp:posOffset>
                </wp:positionV>
                <wp:extent cx="6480175" cy="175895"/>
                <wp:effectExtent l="0" t="0" r="0" b="0"/>
                <wp:wrapNone/>
                <wp:docPr id="695" name="Frame6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rPr>
        <w:t>Section 13.3.</w:t>
      </w:r>
      <w:r>
        <w:rPr>
          <w:rFonts w:ascii="Times New Roman;Times;serif" w:hAnsi="Times New Roman;Times;serif"/>
          <w:color w:val="0000FF"/>
          <w:sz w:val="24"/>
          <w:u w:val="single"/>
        </w:rPr>
        <w:t>Discharge Only upon Payment in Full; Reinstatement in Certain Circumstances</w:t>
      </w:r>
      <w:bookmarkStart w:id="2245" w:name="_cp_change_300"/>
      <w:bookmarkEnd w:id="2245"/>
      <w:r>
        <w:rPr>
          <w:rFonts w:ascii="Times New Roman;Times;serif" w:hAnsi="Times New Roman;Times;serif"/>
          <w:color w:val="FF0000"/>
          <w:sz w:val="24"/>
        </w:rPr>
        <w:t>104</w:t>
      </w:r>
      <w:bookmarkStart w:id="2246" w:name="_cp_change_301"/>
      <w:bookmarkEnd w:id="2246"/>
      <w:r>
        <w:rPr>
          <w:rFonts w:ascii="Times New Roman;Times;serif" w:hAnsi="Times New Roman;Times;serif"/>
          <w:color w:val="0000FF"/>
          <w:sz w:val="24"/>
          <w:u w:val="single"/>
        </w:rPr>
        <w:t>108</w: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13.4.Subrogation</w:t>
      </w:r>
      <w:r>
        <w:rPr>
          <w:rFonts w:ascii="Times New Roman;Times;serif" w:hAnsi="Times New Roman;Times;serif"/>
          <w:b w:val="false"/>
          <w:i w:val="false"/>
          <w:caps w:val="false"/>
          <w:smallCaps w:val="false"/>
          <w:color w:val="FF0000"/>
          <w:sz w:val="24"/>
          <w:shd w:fill="FFFFFF" w:val="clear"/>
        </w:rPr>
        <w:t>104</w:t>
      </w:r>
      <w:r>
        <w:rPr>
          <w:rFonts w:ascii="Times New Roman;Times;serif" w:hAnsi="Times New Roman;Times;serif"/>
          <w:b w:val="false"/>
          <w:i w:val="false"/>
          <w:caps w:val="false"/>
          <w:smallCaps w:val="false"/>
          <w:color w:val="0000FF"/>
          <w:sz w:val="24"/>
          <w:u w:val="single"/>
          <w:shd w:fill="FFFFFF" w:val="clear"/>
        </w:rPr>
        <w:t>108</w:t>
      </w:r>
      <w:r>
        <mc:AlternateContent>
          <mc:Choice Requires="wps">
            <w:drawing>
              <wp:anchor behindDoc="0" distT="0" distB="0" distL="0" distR="0" simplePos="0" locked="0" layoutInCell="1" allowOverlap="1" relativeHeight="697">
                <wp:simplePos x="0" y="0"/>
                <wp:positionH relativeFrom="page">
                  <wp:posOffset>0</wp:posOffset>
                </wp:positionH>
                <wp:positionV relativeFrom="line">
                  <wp:posOffset>635</wp:posOffset>
                </wp:positionV>
                <wp:extent cx="6480175" cy="175895"/>
                <wp:effectExtent l="0" t="0" r="0" b="0"/>
                <wp:wrapNone/>
                <wp:docPr id="696" name="Frame6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13.5.Waivers</w:t>
      </w:r>
      <w:r>
        <w:rPr>
          <w:rFonts w:ascii="Times New Roman;Times;serif" w:hAnsi="Times New Roman;Times;serif"/>
          <w:b w:val="false"/>
          <w:i w:val="false"/>
          <w:caps w:val="false"/>
          <w:smallCaps w:val="false"/>
          <w:color w:val="FF0000"/>
          <w:sz w:val="24"/>
          <w:shd w:fill="FFFFFF" w:val="clear"/>
        </w:rPr>
        <w:t>104</w:t>
      </w:r>
      <w:r>
        <w:rPr>
          <w:rFonts w:ascii="Times New Roman;Times;serif" w:hAnsi="Times New Roman;Times;serif"/>
          <w:b w:val="false"/>
          <w:i w:val="false"/>
          <w:caps w:val="false"/>
          <w:smallCaps w:val="false"/>
          <w:color w:val="0000FF"/>
          <w:sz w:val="24"/>
          <w:u w:val="single"/>
          <w:shd w:fill="FFFFFF" w:val="clear"/>
        </w:rPr>
        <w:t>109</w:t>
      </w:r>
      <w:r>
        <mc:AlternateContent>
          <mc:Choice Requires="wps">
            <w:drawing>
              <wp:anchor behindDoc="0" distT="0" distB="0" distL="0" distR="0" simplePos="0" locked="0" layoutInCell="1" allowOverlap="1" relativeHeight="698">
                <wp:simplePos x="0" y="0"/>
                <wp:positionH relativeFrom="page">
                  <wp:posOffset>0</wp:posOffset>
                </wp:positionH>
                <wp:positionV relativeFrom="line">
                  <wp:posOffset>635</wp:posOffset>
                </wp:positionV>
                <wp:extent cx="6480175" cy="175895"/>
                <wp:effectExtent l="0" t="0" r="0" b="0"/>
                <wp:wrapNone/>
                <wp:docPr id="697" name="Frame6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13.6.Limit on Recovery</w:t>
      </w:r>
      <w:r>
        <w:rPr>
          <w:rFonts w:ascii="Times New Roman;Times;serif" w:hAnsi="Times New Roman;Times;serif"/>
          <w:b w:val="false"/>
          <w:i w:val="false"/>
          <w:caps w:val="false"/>
          <w:smallCaps w:val="false"/>
          <w:color w:val="FF0000"/>
          <w:sz w:val="24"/>
          <w:shd w:fill="FFFFFF" w:val="clear"/>
        </w:rPr>
        <w:t>104</w:t>
      </w:r>
      <w:r>
        <w:rPr>
          <w:rFonts w:ascii="Times New Roman;Times;serif" w:hAnsi="Times New Roman;Times;serif"/>
          <w:b w:val="false"/>
          <w:i w:val="false"/>
          <w:caps w:val="false"/>
          <w:smallCaps w:val="false"/>
          <w:color w:val="0000FF"/>
          <w:sz w:val="24"/>
          <w:u w:val="single"/>
          <w:shd w:fill="FFFFFF" w:val="clear"/>
        </w:rPr>
        <w:t>109</w:t>
      </w:r>
      <w:r>
        <mc:AlternateContent>
          <mc:Choice Requires="wps">
            <w:drawing>
              <wp:anchor behindDoc="0" distT="0" distB="0" distL="0" distR="0" simplePos="0" locked="0" layoutInCell="1" allowOverlap="1" relativeHeight="699">
                <wp:simplePos x="0" y="0"/>
                <wp:positionH relativeFrom="page">
                  <wp:posOffset>0</wp:posOffset>
                </wp:positionH>
                <wp:positionV relativeFrom="line">
                  <wp:posOffset>635</wp:posOffset>
                </wp:positionV>
                <wp:extent cx="6480175" cy="175895"/>
                <wp:effectExtent l="0" t="0" r="0" b="0"/>
                <wp:wrapNone/>
                <wp:docPr id="698" name="Frame6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13.7.Stay of Acceleration</w:t>
      </w:r>
      <w:r>
        <w:rPr>
          <w:rFonts w:ascii="Times New Roman;Times;serif" w:hAnsi="Times New Roman;Times;serif"/>
          <w:b w:val="false"/>
          <w:i w:val="false"/>
          <w:caps w:val="false"/>
          <w:smallCaps w:val="false"/>
          <w:color w:val="FF0000"/>
          <w:sz w:val="24"/>
          <w:shd w:fill="FFFFFF" w:val="clear"/>
        </w:rPr>
        <w:t>105</w:t>
      </w:r>
      <w:r>
        <w:rPr>
          <w:rFonts w:ascii="Times New Roman;Times;serif" w:hAnsi="Times New Roman;Times;serif"/>
          <w:b w:val="false"/>
          <w:i w:val="false"/>
          <w:caps w:val="false"/>
          <w:smallCaps w:val="false"/>
          <w:color w:val="0000FF"/>
          <w:sz w:val="24"/>
          <w:u w:val="single"/>
          <w:shd w:fill="FFFFFF" w:val="clear"/>
        </w:rPr>
        <w:t>109</w:t>
      </w:r>
      <w:r>
        <mc:AlternateContent>
          <mc:Choice Requires="wps">
            <w:drawing>
              <wp:anchor behindDoc="0" distT="0" distB="0" distL="0" distR="0" simplePos="0" locked="0" layoutInCell="1" allowOverlap="1" relativeHeight="700">
                <wp:simplePos x="0" y="0"/>
                <wp:positionH relativeFrom="page">
                  <wp:posOffset>0</wp:posOffset>
                </wp:positionH>
                <wp:positionV relativeFrom="line">
                  <wp:posOffset>635</wp:posOffset>
                </wp:positionV>
                <wp:extent cx="6480175" cy="175895"/>
                <wp:effectExtent l="0" t="0" r="0" b="0"/>
                <wp:wrapNone/>
                <wp:docPr id="699" name="Frame6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13.8.Benefit to Guarantors</w:t>
      </w:r>
      <w:r>
        <w:rPr>
          <w:rFonts w:ascii="Times New Roman;Times;serif" w:hAnsi="Times New Roman;Times;serif"/>
          <w:b w:val="false"/>
          <w:i w:val="false"/>
          <w:caps w:val="false"/>
          <w:smallCaps w:val="false"/>
          <w:color w:val="FF0000"/>
          <w:sz w:val="24"/>
          <w:shd w:fill="FFFFFF" w:val="clear"/>
        </w:rPr>
        <w:t>105</w:t>
      </w:r>
      <w:r>
        <w:rPr>
          <w:rFonts w:ascii="Times New Roman;Times;serif" w:hAnsi="Times New Roman;Times;serif"/>
          <w:b w:val="false"/>
          <w:i w:val="false"/>
          <w:caps w:val="false"/>
          <w:smallCaps w:val="false"/>
          <w:color w:val="0000FF"/>
          <w:sz w:val="24"/>
          <w:u w:val="single"/>
          <w:shd w:fill="FFFFFF" w:val="clear"/>
        </w:rPr>
        <w:t>109</w:t>
      </w:r>
      <w:r>
        <mc:AlternateContent>
          <mc:Choice Requires="wps">
            <w:drawing>
              <wp:anchor behindDoc="0" distT="0" distB="0" distL="0" distR="0" simplePos="0" locked="0" layoutInCell="1" allowOverlap="1" relativeHeight="701">
                <wp:simplePos x="0" y="0"/>
                <wp:positionH relativeFrom="page">
                  <wp:posOffset>0</wp:posOffset>
                </wp:positionH>
                <wp:positionV relativeFrom="line">
                  <wp:posOffset>635</wp:posOffset>
                </wp:positionV>
                <wp:extent cx="6480175" cy="175895"/>
                <wp:effectExtent l="0" t="0" r="0" b="0"/>
                <wp:wrapNone/>
                <wp:docPr id="700" name="Frame7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13.9.Guarantor Covenants</w:t>
      </w:r>
      <w:r>
        <w:rPr>
          <w:rFonts w:ascii="Times New Roman;Times;serif" w:hAnsi="Times New Roman;Times;serif"/>
          <w:b w:val="false"/>
          <w:i w:val="false"/>
          <w:caps w:val="false"/>
          <w:smallCaps w:val="false"/>
          <w:color w:val="FF0000"/>
          <w:sz w:val="24"/>
          <w:shd w:fill="FFFFFF" w:val="clear"/>
        </w:rPr>
        <w:t>105</w:t>
      </w:r>
      <w:r>
        <w:rPr>
          <w:rFonts w:ascii="Times New Roman;Times;serif" w:hAnsi="Times New Roman;Times;serif"/>
          <w:b w:val="false"/>
          <w:i w:val="false"/>
          <w:caps w:val="false"/>
          <w:smallCaps w:val="false"/>
          <w:color w:val="0000FF"/>
          <w:sz w:val="24"/>
          <w:u w:val="single"/>
          <w:shd w:fill="FFFFFF" w:val="clear"/>
        </w:rPr>
        <w:t>109</w:t>
      </w:r>
      <w:r>
        <mc:AlternateContent>
          <mc:Choice Requires="wps">
            <w:drawing>
              <wp:anchor behindDoc="0" distT="0" distB="0" distL="0" distR="0" simplePos="0" locked="0" layoutInCell="1" allowOverlap="1" relativeHeight="702">
                <wp:simplePos x="0" y="0"/>
                <wp:positionH relativeFrom="page">
                  <wp:posOffset>0</wp:posOffset>
                </wp:positionH>
                <wp:positionV relativeFrom="line">
                  <wp:posOffset>635</wp:posOffset>
                </wp:positionV>
                <wp:extent cx="6480175" cy="175895"/>
                <wp:effectExtent l="0" t="0" r="0" b="0"/>
                <wp:wrapNone/>
                <wp:docPr id="701" name="Frame7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240" w:right="0" w:hanging="0"/>
        <w:jc w:val="left"/>
        <w:rPr>
          <w:rFonts w:ascii="Times New Roman;Times;serif" w:hAnsi="Times New Roman;Times;serif"/>
          <w:sz w:val="24"/>
        </w:rPr>
      </w:pPr>
      <w:r>
        <w:rPr>
          <w:rFonts w:ascii="Times New Roman;Times;serif" w:hAnsi="Times New Roman;Times;serif"/>
          <w:b w:val="false"/>
          <w:i w:val="false"/>
          <w:caps w:val="false"/>
          <w:smallCaps w:val="false"/>
          <w:color w:val="0000FF"/>
          <w:sz w:val="24"/>
          <w:u w:val="single"/>
          <w:shd w:fill="FFFFFF" w:val="clear"/>
        </w:rPr>
        <w:t>Section 13.10.Keepwell</w:t>
      </w:r>
      <w:r>
        <w:rPr>
          <w:rFonts w:ascii="Times New Roman;Times;serif" w:hAnsi="Times New Roman;Times;serif"/>
          <w:b w:val="false"/>
          <w:i w:val="false"/>
          <w:caps w:val="false"/>
          <w:smallCaps w:val="false"/>
          <w:color w:val="FF0000"/>
          <w:sz w:val="24"/>
          <w:shd w:fill="FFFFFF" w:val="clear"/>
        </w:rPr>
        <w:t>105</w:t>
      </w:r>
      <w:r>
        <w:rPr>
          <w:rFonts w:ascii="Times New Roman;Times;serif" w:hAnsi="Times New Roman;Times;serif"/>
          <w:b w:val="false"/>
          <w:i w:val="false"/>
          <w:caps w:val="false"/>
          <w:smallCaps w:val="false"/>
          <w:color w:val="0000FF"/>
          <w:sz w:val="24"/>
          <w:u w:val="single"/>
          <w:shd w:fill="FFFFFF" w:val="clear"/>
        </w:rPr>
        <w:t>109</w:t>
      </w:r>
      <w:r>
        <mc:AlternateContent>
          <mc:Choice Requires="wps">
            <w:drawing>
              <wp:anchor behindDoc="0" distT="0" distB="0" distL="0" distR="0" simplePos="0" locked="0" layoutInCell="1" allowOverlap="1" relativeHeight="703">
                <wp:simplePos x="0" y="0"/>
                <wp:positionH relativeFrom="page">
                  <wp:posOffset>0</wp:posOffset>
                </wp:positionH>
                <wp:positionV relativeFrom="line">
                  <wp:posOffset>635</wp:posOffset>
                </wp:positionV>
                <wp:extent cx="6480175" cy="175895"/>
                <wp:effectExtent l="0" t="0" r="0" b="0"/>
                <wp:wrapNone/>
                <wp:docPr id="702" name="Frame7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20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A</w:t>
      </w:r>
      <w:r>
        <w:rPr>
          <w:rFonts w:ascii="Times New Roman;Times;serif" w:hAnsi="Times New Roman;Times;serif"/>
          <w:sz w:val="24"/>
        </w:rPr>
        <w:t>—Reserved</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 B</w:t>
      </w:r>
      <w:r>
        <w:rPr>
          <w:rFonts w:ascii="Times New Roman;Times;serif" w:hAnsi="Times New Roman;Times;serif"/>
          <w:sz w:val="24"/>
        </w:rPr>
        <w:t>—Notice of Borrowing</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 C</w:t>
      </w:r>
      <w:r>
        <w:rPr>
          <w:rFonts w:ascii="Times New Roman;Times;serif" w:hAnsi="Times New Roman;Times;serif"/>
          <w:sz w:val="24"/>
        </w:rPr>
        <w:t>—Notice of Continuation/Conversion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D</w:t>
      </w:r>
      <w:r>
        <w:rPr>
          <w:rFonts w:ascii="Times New Roman;Times;serif" w:hAnsi="Times New Roman;Times;serif"/>
          <w:sz w:val="24"/>
        </w:rPr>
        <w:t>—Term Note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E</w:t>
      </w:r>
      <w:r>
        <w:rPr>
          <w:rFonts w:ascii="Times New Roman;Times;serif" w:hAnsi="Times New Roman;Times;serif"/>
          <w:sz w:val="24"/>
        </w:rPr>
        <w:t>—Compliance Certificate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 F</w:t>
      </w:r>
      <w:r>
        <w:rPr>
          <w:rFonts w:ascii="Times New Roman;Times;serif" w:hAnsi="Times New Roman;Times;serif"/>
          <w:sz w:val="24"/>
        </w:rPr>
        <w:t>—Assignment and Acceptance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 xml:space="preserve">Exhibit </w:t>
      </w:r>
      <w:r>
        <w:rPr>
          <w:rFonts w:ascii="Times New Roman;Times;serif" w:hAnsi="Times New Roman;Times;serif"/>
          <w:b w:val="false"/>
          <w:i w:val="false"/>
          <w:caps w:val="false"/>
          <w:smallCaps w:val="false"/>
          <w:sz w:val="24"/>
        </w:rPr>
        <w:t>G</w:t>
      </w:r>
      <w:r>
        <w:rPr>
          <w:rFonts w:ascii="Times New Roman;Times;serif" w:hAnsi="Times New Roman;Times;serif"/>
          <w:sz w:val="24"/>
        </w:rPr>
        <w:t>—Additional Guarantor Supplement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 xml:space="preserve">Exhibit </w:t>
      </w:r>
      <w:r>
        <w:rPr>
          <w:rFonts w:ascii="Times New Roman;Times;serif" w:hAnsi="Times New Roman;Times;serif"/>
          <w:b w:val="false"/>
          <w:i w:val="false"/>
          <w:caps w:val="false"/>
          <w:smallCaps w:val="false"/>
          <w:sz w:val="24"/>
        </w:rPr>
        <w:t>H</w:t>
      </w:r>
      <w:r>
        <w:rPr>
          <w:rFonts w:ascii="Times New Roman;Times;serif" w:hAnsi="Times New Roman;Times;serif"/>
          <w:sz w:val="24"/>
        </w:rPr>
        <w:t>—Commitment Increase Request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 xml:space="preserve">Exhibit </w:t>
      </w:r>
      <w:r>
        <w:rPr>
          <w:rFonts w:ascii="Times New Roman;Times;serif" w:hAnsi="Times New Roman;Times;serif"/>
          <w:b w:val="false"/>
          <w:i w:val="false"/>
          <w:caps w:val="false"/>
          <w:smallCaps w:val="false"/>
          <w:sz w:val="24"/>
        </w:rPr>
        <w:t>I</w:t>
      </w:r>
      <w:r>
        <w:rPr>
          <w:rFonts w:ascii="Times New Roman;Times;serif" w:hAnsi="Times New Roman;Times;serif"/>
          <w:sz w:val="24"/>
        </w:rPr>
        <w:t>—Borrowing Base Certificate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I</w:t>
      </w:r>
      <w:r>
        <w:rPr>
          <w:rFonts w:ascii="Times New Roman;Times;serif" w:hAnsi="Times New Roman;Times;serif"/>
          <w:sz w:val="24"/>
        </w:rPr>
        <w:t>—Commitments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 1.1</w:t>
      </w:r>
      <w:r>
        <w:rPr>
          <w:rFonts w:ascii="Times New Roman;Times;serif" w:hAnsi="Times New Roman;Times;serif"/>
          <w:sz w:val="24"/>
        </w:rPr>
        <w:t>—</w:t>
      </w:r>
      <w:bookmarkStart w:id="2247" w:name="_cp_change_316"/>
      <w:bookmarkEnd w:id="2247"/>
      <w:r>
        <w:rPr>
          <w:rFonts w:ascii="Times New Roman;Times;serif" w:hAnsi="Times New Roman;Times;serif"/>
          <w:color w:val="FF0000"/>
          <w:sz w:val="24"/>
        </w:rPr>
        <w:t>First</w:t>
      </w:r>
      <w:bookmarkStart w:id="2248" w:name="_cp_change_317"/>
      <w:bookmarkEnd w:id="2248"/>
      <w:r>
        <w:rPr>
          <w:rFonts w:ascii="Times New Roman;Times;serif" w:hAnsi="Times New Roman;Times;serif"/>
          <w:color w:val="0000FF"/>
          <w:sz w:val="24"/>
          <w:u w:val="single"/>
        </w:rPr>
        <w:t>Second</w:t>
      </w:r>
      <w:r>
        <w:rPr>
          <w:rFonts w:ascii="Times New Roman;Times;serif" w:hAnsi="Times New Roman;Times;serif"/>
          <w:sz w:val="24"/>
        </w:rPr>
        <w:t xml:space="preserve"> Amendment Effective Date Borrowing Base Assets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6.2</w:t>
      </w:r>
      <w:r>
        <w:rPr>
          <w:rFonts w:ascii="Times New Roman;Times;serif" w:hAnsi="Times New Roman;Times;serif"/>
          <w:sz w:val="24"/>
        </w:rPr>
        <w:t>—Subsidiaries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6.6</w:t>
      </w:r>
      <w:r>
        <w:rPr>
          <w:rFonts w:ascii="Times New Roman;Times;serif" w:hAnsi="Times New Roman;Times;serif"/>
          <w:sz w:val="24"/>
        </w:rPr>
        <w:t>—Material Adverse Effect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6.11</w:t>
      </w:r>
      <w:r>
        <w:rPr>
          <w:rFonts w:ascii="Times New Roman;Times;serif" w:hAnsi="Times New Roman;Times;serif"/>
          <w:sz w:val="24"/>
        </w:rPr>
        <w:t>—Litigation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6.17</w:t>
      </w:r>
      <w:r>
        <w:rPr>
          <w:rFonts w:ascii="Times New Roman;Times;serif" w:hAnsi="Times New Roman;Times;serif"/>
          <w:sz w:val="24"/>
        </w:rPr>
        <w:t>—Environmental Issues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 8.7</w:t>
      </w:r>
      <w:r>
        <w:rPr>
          <w:rFonts w:ascii="Times New Roman;Times;serif" w:hAnsi="Times New Roman;Times;serif"/>
          <w:sz w:val="24"/>
        </w:rPr>
        <w:t>—Existing Liens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THE LOAN EVIDENCED BY THIS CREDIT AGREEMENT IS NOT SECURED BY AN INTEREST IN FLORIDA REAL PROPERTY AND HAS BEEN EXECUTED AND DELIVERED OUTSIDE OF THE STATE OF FLORIDA.  CONSEQUENTLY, NO FLORIDA DOCUMENTARY STAMP TAX IS DUE AND PAYABLE WITH RESPECT TO THIS CREDIT AGREEMENT.</w:t>
      </w:r>
    </w:p>
    <w:p>
      <w:pPr>
        <w:pStyle w:val="TextBody"/>
        <w:bidi w:val="0"/>
        <w:spacing w:before="240" w:after="0"/>
        <w:ind w:left="0" w:right="0" w:hanging="0"/>
        <w:jc w:val="center"/>
        <w:rPr>
          <w:rFonts w:ascii="Times New Roman;Times;serif" w:hAnsi="Times New Roman;Times;serif"/>
          <w:b/>
          <w:sz w:val="24"/>
        </w:rPr>
      </w:pPr>
      <w:r>
        <w:rPr>
          <w:rFonts w:ascii="Times New Roman;Times;serif" w:hAnsi="Times New Roman;Times;serif"/>
          <w:b/>
          <w:sz w:val="24"/>
        </w:rPr>
        <w:t>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 xml:space="preserve">This Credit Agreement (this “Agreement”) is entered into as of September 30, 2024, by and among </w:t>
      </w:r>
      <w:r>
        <w:rPr>
          <w:rFonts w:ascii="Times New Roman;Times;serif" w:hAnsi="Times New Roman;Times;serif"/>
          <w:smallCaps/>
          <w:sz w:val="24"/>
        </w:rPr>
        <w:t>CTO Realty Growth, Inc</w:t>
      </w:r>
      <w:r>
        <w:rPr>
          <w:rFonts w:ascii="Times New Roman;Times;serif" w:hAnsi="Times New Roman;Times;serif"/>
          <w:sz w:val="24"/>
        </w:rPr>
        <w:t xml:space="preserve">., a Maryland corporation (the “Borrower”), and each Material Subsidiary from time to time party to this Agreement, as Guarantors, the several financial institutions from time to time party to this Agreement, as Lenders, and </w:t>
      </w:r>
      <w:r>
        <w:rPr>
          <w:rFonts w:ascii="Times New Roman;Times;serif" w:hAnsi="Times New Roman;Times;serif"/>
          <w:smallCaps/>
          <w:sz w:val="24"/>
        </w:rPr>
        <w:t xml:space="preserve">KeyBank National Association, </w:t>
      </w:r>
      <w:r>
        <w:rPr>
          <w:rFonts w:ascii="Times New Roman;Times;serif" w:hAnsi="Times New Roman;Times;serif"/>
          <w:sz w:val="24"/>
        </w:rPr>
        <w:t>as Administrative Agent</w:t>
      </w:r>
      <w:bookmarkStart w:id="2249" w:name="_cp_change_318"/>
      <w:bookmarkEnd w:id="2249"/>
      <w:r>
        <w:rPr>
          <w:rFonts w:ascii="Times New Roman;Times;serif" w:hAnsi="Times New Roman;Times;serif"/>
          <w:color w:val="FF0000"/>
          <w:sz w:val="24"/>
        </w:rPr>
        <w:t xml:space="preserve"> and KeyBank, as Sustainability Structuring Agent, as provided herein</w:t>
      </w:r>
      <w:r>
        <w:rPr>
          <w:rFonts w:ascii="Times New Roman;Times;serif" w:hAnsi="Times New Roman;Times;serif"/>
          <w:sz w:val="24"/>
        </w:rPr>
        <w:t>.  All capitalized terms used herein without definition shall have the same meanings herein as such terms are defined in Section 5.1 hereof.</w:t>
      </w:r>
    </w:p>
    <w:p>
      <w:pPr>
        <w:pStyle w:val="TextBody"/>
        <w:bidi w:val="0"/>
        <w:spacing w:before="240" w:after="0"/>
        <w:ind w:left="0" w:right="0" w:hanging="0"/>
        <w:jc w:val="center"/>
        <w:rPr>
          <w:rFonts w:ascii="Times New Roman;Times;serif" w:hAnsi="Times New Roman;Times;serif"/>
          <w:b/>
          <w:sz w:val="24"/>
        </w:rPr>
      </w:pPr>
      <w:r>
        <w:rPr>
          <w:rFonts w:ascii="Times New Roman;Times;serif" w:hAnsi="Times New Roman;Times;serif"/>
          <w:b/>
          <w:sz w:val="24"/>
        </w:rPr>
        <w:t>Preliminary Statement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Borrower has requested, and the Lenders have agreed to extend, certain credit facilities on the terms and conditions of this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mallCaps/>
          <w:sz w:val="24"/>
        </w:rPr>
        <w:t>Now, Therefore,</w:t>
      </w:r>
      <w:r>
        <w:rPr>
          <w:rFonts w:ascii="Times New Roman;Times;serif" w:hAnsi="Times New Roman;Times;serif"/>
          <w:sz w:val="24"/>
        </w:rPr>
        <w:t xml:space="preserve"> in consideration of the mutual agreements contained herein, and other good and valuable consideration, the receipt and sufficiency of which are hereby acknowledged, the parties hereto hereby agree as follows:</w:t>
      </w:r>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7.</w:t>
      </w:r>
      <w:bookmarkStart w:id="2250" w:name="_Toc209549732"/>
      <w:bookmarkEnd w:id="2250"/>
      <w:r>
        <w:rPr>
          <w:rFonts w:ascii="Times New Roman;Times;serif" w:hAnsi="Times New Roman;Times;serif"/>
          <w:caps/>
          <w:sz w:val="24"/>
        </w:rPr>
        <w:t>The Credit Facility</w:t>
      </w:r>
      <w:r>
        <w:rPr>
          <w:rFonts w:ascii="Times New Roman Bold" w:hAnsi="Times New Roman Bold"/>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w:t>
      </w:r>
      <w:bookmarkStart w:id="2251" w:name="_Toc209549733"/>
      <w:bookmarkEnd w:id="2251"/>
      <w:r>
        <w:rPr>
          <w:rFonts w:ascii="Times New Roman;Times;serif" w:hAnsi="Times New Roman;Times;serif"/>
          <w:sz w:val="24"/>
        </w:rPr>
        <w:t>Reserved.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7.2</w:t>
      </w:r>
      <w:bookmarkStart w:id="2252" w:name="_Toc209549734"/>
      <w:bookmarkEnd w:id="2252"/>
      <w:r>
        <w:rPr>
          <w:rFonts w:ascii="Times New Roman;Times;serif" w:hAnsi="Times New Roman;Times;serif"/>
          <w:sz w:val="24"/>
        </w:rPr>
        <w:t xml:space="preserve">The </w:t>
      </w:r>
      <w:bookmarkStart w:id="2253" w:name="_cp_change_319"/>
      <w:bookmarkEnd w:id="2253"/>
      <w:r>
        <w:rPr>
          <w:rFonts w:ascii="Times New Roman;Times;serif" w:hAnsi="Times New Roman;Times;serif"/>
          <w:color w:val="FF0000"/>
          <w:sz w:val="24"/>
        </w:rPr>
        <w:t xml:space="preserve">2029 </w:t>
      </w:r>
      <w:r>
        <w:rPr>
          <w:rFonts w:ascii="Times New Roman;Times;serif" w:hAnsi="Times New Roman;Times;serif"/>
          <w:sz w:val="24"/>
        </w:rPr>
        <w:t xml:space="preserve">Term </w:t>
      </w:r>
      <w:bookmarkStart w:id="2254" w:name="_cp_change_320"/>
      <w:bookmarkEnd w:id="2254"/>
      <w:r>
        <w:rPr>
          <w:rFonts w:ascii="Times New Roman;Times;serif" w:hAnsi="Times New Roman;Times;serif"/>
          <w:color w:val="FF0000"/>
          <w:sz w:val="24"/>
        </w:rPr>
        <w:t>Loan</w:t>
      </w:r>
      <w:bookmarkStart w:id="2255" w:name="_cp_change_321"/>
      <w:bookmarkEnd w:id="2255"/>
      <w:r>
        <w:rPr>
          <w:rFonts w:ascii="Times New Roman;Times;serif" w:hAnsi="Times New Roman;Times;serif"/>
          <w:color w:val="0000FF"/>
          <w:sz w:val="24"/>
          <w:u w:val="single"/>
        </w:rPr>
        <w:t>Loans</w:t>
      </w:r>
      <w:bookmarkStart w:id="2256" w:name="_cp_change_323"/>
      <w:bookmarkEnd w:id="2256"/>
      <w:r>
        <w:rPr>
          <w:rFonts w:ascii="Times New Roman;Times;serif" w:hAnsi="Times New Roman;Times;serif"/>
          <w:color w:val="0000FF"/>
          <w:sz w:val="24"/>
          <w:u w:val="single"/>
        </w:rPr>
        <w:t>.  </w:t>
      </w:r>
      <w:bookmarkStart w:id="2257" w:name="_Hlk176421395"/>
      <w:bookmarkStart w:id="2258" w:name="_cp_change_322"/>
      <w:bookmarkEnd w:id="2257"/>
      <w:bookmarkEnd w:id="2258"/>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color w:val="0000FF"/>
          <w:sz w:val="24"/>
        </w:rPr>
        <w:t>(a)</w:t>
      </w:r>
      <w:bookmarkStart w:id="2259" w:name="_cp_change_326"/>
      <w:bookmarkStart w:id="2260" w:name="_cp_change_324"/>
      <w:bookmarkEnd w:id="2259"/>
      <w:bookmarkEnd w:id="2260"/>
      <w:r>
        <w:rPr>
          <w:rFonts w:ascii="Times New Roman;Times;serif" w:hAnsi="Times New Roman;Times;serif"/>
          <w:color w:val="0000FF"/>
          <w:sz w:val="24"/>
          <w:u w:val="single"/>
        </w:rPr>
        <w:t xml:space="preserve">Certain 2029 Term Loan Lenders made term loans (each such loan, a “2029 Term Loan” and collectively, the “2029 Term Loans”) to the Borrower on the Closing Date. Subject to the terms and conditions set forth herein, certain 2029 Term Loan Lenders severally agree to make an additional 2029 Term Loan to the Borrower on the Second Amendment Effective Date in an aggregate principal amount not to exceed the unused portion of its 2029 Term Loan Commitment (as in effect on the Second Amendment Effective Date); </w:t>
      </w:r>
      <w:bookmarkStart w:id="2261" w:name="_Hlk207367841"/>
      <w:bookmarkEnd w:id="2261"/>
      <w:r>
        <w:rPr>
          <w:rFonts w:ascii="Times New Roman;Times;serif" w:hAnsi="Times New Roman;Times;serif"/>
          <w:color w:val="0000FF"/>
          <w:sz w:val="24"/>
          <w:u w:val="single"/>
        </w:rPr>
        <w:t xml:space="preserve">provided that, after giving effect to such 2029 Term Loans, (i) the aggregate principal amount of the 2029 Term Loans shall not exceed the 2029 Aggregate Term Facility Amount and (ii) the aggregate principal amount of the 2029 Term Loans and the 2030 Term Loans shall not exceed the Borrowing Base as then computed and determined. The Borrowing shall consist of 2029 Term Loans made simultaneously by the 2029 Term Loan Lenders in accordance with their respective Applicable Percentage of the 2029 Term Credit Facility; provided that, if for any reason the full amount of the 2029 Term Credit Facility is not fully drawn by the Borrower on the Second Amendment Effective Date, the undrawn portion thereof shall automatically be cancelled. As provided in Section 1.6(a) hereof, the Borrower may elect that the 2029 Term Loans be outstanding as (i) Base Rate Loans, (ii) Daily Simple SOFR Rate Loans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color w:val="0000FF"/>
          <w:sz w:val="24"/>
          <w:u w:val="single"/>
        </w:rPr>
        <w:t>or (iii) Term SOFR Rate Loans. No amount repaid or prepaid on the 2029 Term Loans may be borrowed again.</w:t>
      </w:r>
      <w:r>
        <w:rPr>
          <w:rFonts w:ascii="Times New Roman;Times;serif" w:hAnsi="Times New Roman;Times;serif"/>
          <w:color w:val="0000FF"/>
          <w:sz w:val="24"/>
          <w:u w:val="single"/>
          <w:shd w:fill="FFFFFF" w:val="clear"/>
        </w:rPr>
        <w:t xml:space="preserve"> </w:t>
      </w:r>
      <w:bookmarkStart w:id="2262" w:name="_cp_change_325"/>
      <w:bookmarkEnd w:id="2262"/>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color w:val="0000FF"/>
          <w:sz w:val="24"/>
        </w:rPr>
        <w:t>(b)</w:t>
      </w:r>
      <w:bookmarkStart w:id="2263" w:name="_cp_change_327"/>
      <w:bookmarkStart w:id="2264" w:name="_cp_change_328"/>
      <w:bookmarkEnd w:id="2263"/>
      <w:bookmarkEnd w:id="2264"/>
      <w:r>
        <w:rPr>
          <w:rFonts w:ascii="Times New Roman;Times;serif" w:hAnsi="Times New Roman;Times;serif"/>
          <w:color w:val="FF0000"/>
          <w:sz w:val="24"/>
        </w:rPr>
        <w:t xml:space="preserve">. </w:t>
      </w:r>
      <w:r>
        <w:rPr>
          <w:rFonts w:ascii="Times New Roman;Times;serif" w:hAnsi="Times New Roman;Times;serif"/>
          <w:sz w:val="24"/>
        </w:rPr>
        <w:t xml:space="preserve">Subject to the terms and conditions set forth herein, each </w:t>
      </w:r>
      <w:bookmarkStart w:id="2265" w:name="_cp_change_329"/>
      <w:bookmarkEnd w:id="2265"/>
      <w:r>
        <w:rPr>
          <w:rFonts w:ascii="Times New Roman;Times;serif" w:hAnsi="Times New Roman;Times;serif"/>
          <w:color w:val="FF0000"/>
          <w:sz w:val="24"/>
        </w:rPr>
        <w:t>2029</w:t>
      </w:r>
      <w:bookmarkStart w:id="2266" w:name="_cp_change_330"/>
      <w:bookmarkEnd w:id="2266"/>
      <w:r>
        <w:rPr>
          <w:rFonts w:ascii="Times New Roman;Times;serif" w:hAnsi="Times New Roman;Times;serif"/>
          <w:color w:val="0000FF"/>
          <w:sz w:val="24"/>
          <w:u w:val="single"/>
        </w:rPr>
        <w:t>2030</w:t>
      </w:r>
      <w:r>
        <w:rPr>
          <w:rFonts w:ascii="Times New Roman;Times;serif" w:hAnsi="Times New Roman;Times;serif"/>
          <w:sz w:val="24"/>
        </w:rPr>
        <w:t xml:space="preserve"> Term Loan Lender, by its acceptance hereof, severally agrees to make a single term loan (each such loan, a “</w:t>
      </w:r>
      <w:bookmarkStart w:id="2267" w:name="_cp_change_331"/>
      <w:bookmarkEnd w:id="2267"/>
      <w:r>
        <w:rPr>
          <w:rFonts w:ascii="Times New Roman;Times;serif" w:hAnsi="Times New Roman;Times;serif"/>
          <w:color w:val="FF0000"/>
          <w:sz w:val="24"/>
        </w:rPr>
        <w:t>2029</w:t>
      </w:r>
      <w:bookmarkStart w:id="2268" w:name="_cp_change_332"/>
      <w:bookmarkEnd w:id="2268"/>
      <w:r>
        <w:rPr>
          <w:rFonts w:ascii="Times New Roman;Times;serif" w:hAnsi="Times New Roman;Times;serif"/>
          <w:color w:val="0000FF"/>
          <w:sz w:val="24"/>
          <w:u w:val="single"/>
        </w:rPr>
        <w:t>2030</w:t>
      </w:r>
      <w:r>
        <w:rPr>
          <w:rFonts w:ascii="Times New Roman;Times;serif" w:hAnsi="Times New Roman;Times;serif"/>
          <w:sz w:val="24"/>
        </w:rPr>
        <w:t xml:space="preserve"> Term Loan” and collectively, the “</w:t>
      </w:r>
      <w:bookmarkStart w:id="2269" w:name="_cp_change_333"/>
      <w:bookmarkEnd w:id="2269"/>
      <w:r>
        <w:rPr>
          <w:rFonts w:ascii="Times New Roman;Times;serif" w:hAnsi="Times New Roman;Times;serif"/>
          <w:color w:val="FF0000"/>
          <w:sz w:val="24"/>
        </w:rPr>
        <w:t>2029</w:t>
      </w:r>
      <w:bookmarkStart w:id="2270" w:name="_cp_change_334"/>
      <w:bookmarkEnd w:id="2270"/>
      <w:r>
        <w:rPr>
          <w:rFonts w:ascii="Times New Roman;Times;serif" w:hAnsi="Times New Roman;Times;serif"/>
          <w:color w:val="0000FF"/>
          <w:sz w:val="24"/>
          <w:u w:val="single"/>
        </w:rPr>
        <w:t>2030</w:t>
      </w:r>
      <w:r>
        <w:rPr>
          <w:rFonts w:ascii="Times New Roman;Times;serif" w:hAnsi="Times New Roman;Times;serif"/>
          <w:sz w:val="24"/>
        </w:rPr>
        <w:t xml:space="preserve"> Term Loans”) to the Borrower on the </w:t>
      </w:r>
      <w:bookmarkStart w:id="2271" w:name="_cp_change_335"/>
      <w:bookmarkEnd w:id="2271"/>
      <w:r>
        <w:rPr>
          <w:rFonts w:ascii="Times New Roman;Times;serif" w:hAnsi="Times New Roman;Times;serif"/>
          <w:color w:val="FF0000"/>
          <w:sz w:val="24"/>
        </w:rPr>
        <w:t>Closing</w:t>
      </w:r>
      <w:bookmarkStart w:id="2272" w:name="_cp_change_336"/>
      <w:bookmarkEnd w:id="2272"/>
      <w:r>
        <w:rPr>
          <w:rFonts w:ascii="Times New Roman;Times;serif" w:hAnsi="Times New Roman;Times;serif"/>
          <w:color w:val="0000FF"/>
          <w:sz w:val="24"/>
          <w:u w:val="single"/>
        </w:rPr>
        <w:t>Second Amendment Effective</w:t>
      </w:r>
      <w:r>
        <w:rPr>
          <w:rFonts w:ascii="Times New Roman;Times;serif" w:hAnsi="Times New Roman;Times;serif"/>
          <w:sz w:val="24"/>
        </w:rPr>
        <w:t xml:space="preserve"> Date in an aggregate original principal amount not to exceed its </w:t>
      </w:r>
      <w:bookmarkStart w:id="2273" w:name="_cp_change_337"/>
      <w:bookmarkEnd w:id="2273"/>
      <w:r>
        <w:rPr>
          <w:rFonts w:ascii="Times New Roman;Times;serif" w:hAnsi="Times New Roman;Times;serif"/>
          <w:color w:val="FF0000"/>
          <w:sz w:val="24"/>
        </w:rPr>
        <w:t>2029</w:t>
      </w:r>
      <w:bookmarkStart w:id="2274" w:name="_cp_change_338"/>
      <w:bookmarkEnd w:id="2274"/>
      <w:r>
        <w:rPr>
          <w:rFonts w:ascii="Times New Roman;Times;serif" w:hAnsi="Times New Roman;Times;serif"/>
          <w:color w:val="0000FF"/>
          <w:sz w:val="24"/>
          <w:u w:val="single"/>
        </w:rPr>
        <w:t>2030</w:t>
      </w:r>
      <w:r>
        <w:rPr>
          <w:rFonts w:ascii="Times New Roman;Times;serif" w:hAnsi="Times New Roman;Times;serif"/>
          <w:sz w:val="24"/>
        </w:rPr>
        <w:t xml:space="preserve"> Term Loan Commitment; provided that, after giving effect to such </w:t>
      </w:r>
      <w:bookmarkStart w:id="2275" w:name="_cp_change_339"/>
      <w:bookmarkEnd w:id="2275"/>
      <w:r>
        <w:rPr>
          <w:rFonts w:ascii="Times New Roman;Times;serif" w:hAnsi="Times New Roman;Times;serif"/>
          <w:color w:val="FF0000"/>
          <w:sz w:val="24"/>
        </w:rPr>
        <w:t>2029</w:t>
      </w:r>
      <w:bookmarkStart w:id="2276" w:name="_cp_change_340"/>
      <w:bookmarkEnd w:id="2276"/>
      <w:r>
        <w:rPr>
          <w:rFonts w:ascii="Times New Roman;Times;serif" w:hAnsi="Times New Roman;Times;serif"/>
          <w:color w:val="0000FF"/>
          <w:sz w:val="24"/>
          <w:u w:val="single"/>
        </w:rPr>
        <w:t>2030</w:t>
      </w:r>
      <w:r>
        <w:rPr>
          <w:rFonts w:ascii="Times New Roman;Times;serif" w:hAnsi="Times New Roman;Times;serif"/>
          <w:sz w:val="24"/>
        </w:rPr>
        <w:t xml:space="preserve"> Term Loans, (i) the aggregate principal amount of the </w:t>
      </w:r>
      <w:bookmarkStart w:id="2277" w:name="_cp_change_341"/>
      <w:bookmarkEnd w:id="2277"/>
      <w:r>
        <w:rPr>
          <w:rFonts w:ascii="Times New Roman;Times;serif" w:hAnsi="Times New Roman;Times;serif"/>
          <w:color w:val="FF0000"/>
          <w:sz w:val="24"/>
        </w:rPr>
        <w:t>2029</w:t>
      </w:r>
      <w:bookmarkStart w:id="2278" w:name="_cp_change_342"/>
      <w:bookmarkEnd w:id="2278"/>
      <w:r>
        <w:rPr>
          <w:rFonts w:ascii="Times New Roman;Times;serif" w:hAnsi="Times New Roman;Times;serif"/>
          <w:color w:val="0000FF"/>
          <w:sz w:val="24"/>
          <w:u w:val="single"/>
        </w:rPr>
        <w:t>2030</w:t>
      </w:r>
      <w:r>
        <w:rPr>
          <w:rFonts w:ascii="Times New Roman;Times;serif" w:hAnsi="Times New Roman;Times;serif"/>
          <w:sz w:val="24"/>
        </w:rPr>
        <w:t xml:space="preserve"> Term Loans shall not exceed the </w:t>
      </w:r>
      <w:bookmarkStart w:id="2279" w:name="_cp_change_343"/>
      <w:bookmarkEnd w:id="2279"/>
      <w:r>
        <w:rPr>
          <w:rFonts w:ascii="Times New Roman;Times;serif" w:hAnsi="Times New Roman;Times;serif"/>
          <w:color w:val="FF0000"/>
          <w:sz w:val="24"/>
        </w:rPr>
        <w:t>2029</w:t>
      </w:r>
      <w:bookmarkStart w:id="2280" w:name="_cp_change_344"/>
      <w:bookmarkEnd w:id="2280"/>
      <w:r>
        <w:rPr>
          <w:rFonts w:ascii="Times New Roman;Times;serif" w:hAnsi="Times New Roman;Times;serif"/>
          <w:color w:val="0000FF"/>
          <w:sz w:val="24"/>
          <w:u w:val="single"/>
        </w:rPr>
        <w:t>2030</w:t>
      </w:r>
      <w:r>
        <w:rPr>
          <w:rFonts w:ascii="Times New Roman;Times;serif" w:hAnsi="Times New Roman;Times;serif"/>
          <w:sz w:val="24"/>
        </w:rPr>
        <w:t xml:space="preserve"> Aggregate Term Facility Amount and (ii) the aggregate principal amount of the 2029 Term Loans </w:t>
      </w:r>
      <w:bookmarkStart w:id="2281" w:name="_cp_change_345"/>
      <w:bookmarkEnd w:id="2281"/>
      <w:r>
        <w:rPr>
          <w:rFonts w:ascii="Times New Roman;Times;serif" w:hAnsi="Times New Roman;Times;serif"/>
          <w:color w:val="0000FF"/>
          <w:sz w:val="24"/>
          <w:u w:val="single"/>
        </w:rPr>
        <w:t xml:space="preserve">and the 2030 Term Loans </w:t>
      </w:r>
      <w:r>
        <w:rPr>
          <w:rFonts w:ascii="Times New Roman;Times;serif" w:hAnsi="Times New Roman;Times;serif"/>
          <w:sz w:val="24"/>
        </w:rPr>
        <w:t xml:space="preserve">shall not exceed the Borrowing Base as then computed and determined. The Borrowing shall consist of </w:t>
      </w:r>
      <w:bookmarkStart w:id="2282" w:name="_cp_change_346"/>
      <w:bookmarkEnd w:id="2282"/>
      <w:r>
        <w:rPr>
          <w:rFonts w:ascii="Times New Roman;Times;serif" w:hAnsi="Times New Roman;Times;serif"/>
          <w:color w:val="FF0000"/>
          <w:sz w:val="24"/>
        </w:rPr>
        <w:t>2029</w:t>
      </w:r>
      <w:bookmarkStart w:id="2283" w:name="_cp_change_347"/>
      <w:bookmarkEnd w:id="2283"/>
      <w:r>
        <w:rPr>
          <w:rFonts w:ascii="Times New Roman;Times;serif" w:hAnsi="Times New Roman;Times;serif"/>
          <w:color w:val="0000FF"/>
          <w:sz w:val="24"/>
          <w:u w:val="single"/>
        </w:rPr>
        <w:t>2030</w:t>
      </w:r>
      <w:r>
        <w:rPr>
          <w:rFonts w:ascii="Times New Roman;Times;serif" w:hAnsi="Times New Roman;Times;serif"/>
          <w:sz w:val="24"/>
        </w:rPr>
        <w:t xml:space="preserve"> Term Loans made simultaneously by the </w:t>
      </w:r>
      <w:bookmarkStart w:id="2284" w:name="_cp_change_348"/>
      <w:bookmarkEnd w:id="2284"/>
      <w:r>
        <w:rPr>
          <w:rFonts w:ascii="Times New Roman;Times;serif" w:hAnsi="Times New Roman;Times;serif"/>
          <w:color w:val="FF0000"/>
          <w:sz w:val="24"/>
        </w:rPr>
        <w:t>2029</w:t>
      </w:r>
      <w:bookmarkStart w:id="2285" w:name="_cp_change_349"/>
      <w:bookmarkEnd w:id="2285"/>
      <w:r>
        <w:rPr>
          <w:rFonts w:ascii="Times New Roman;Times;serif" w:hAnsi="Times New Roman;Times;serif"/>
          <w:color w:val="0000FF"/>
          <w:sz w:val="24"/>
          <w:u w:val="single"/>
        </w:rPr>
        <w:t>2030</w:t>
      </w:r>
      <w:r>
        <w:rPr>
          <w:rFonts w:ascii="Times New Roman;Times;serif" w:hAnsi="Times New Roman;Times;serif"/>
          <w:sz w:val="24"/>
        </w:rPr>
        <w:t xml:space="preserve"> Term Loan Lenders in accordance with their respective Applicable Percentage of the </w:t>
      </w:r>
      <w:bookmarkStart w:id="2286" w:name="_cp_change_350"/>
      <w:bookmarkEnd w:id="2286"/>
      <w:r>
        <w:rPr>
          <w:rFonts w:ascii="Times New Roman;Times;serif" w:hAnsi="Times New Roman;Times;serif"/>
          <w:color w:val="FF0000"/>
          <w:sz w:val="24"/>
        </w:rPr>
        <w:t>2029</w:t>
      </w:r>
      <w:bookmarkStart w:id="2287" w:name="_cp_change_351"/>
      <w:bookmarkEnd w:id="2287"/>
      <w:r>
        <w:rPr>
          <w:rFonts w:ascii="Times New Roman;Times;serif" w:hAnsi="Times New Roman;Times;serif"/>
          <w:color w:val="0000FF"/>
          <w:sz w:val="24"/>
          <w:u w:val="single"/>
        </w:rPr>
        <w:t>2030</w:t>
      </w:r>
      <w:r>
        <w:rPr>
          <w:rFonts w:ascii="Times New Roman;Times;serif" w:hAnsi="Times New Roman;Times;serif"/>
          <w:sz w:val="24"/>
        </w:rPr>
        <w:t xml:space="preserve"> Term Credit Facility; provided that, if for any reason the full amount of the </w:t>
      </w:r>
      <w:bookmarkStart w:id="2288" w:name="_cp_change_352"/>
      <w:bookmarkEnd w:id="2288"/>
      <w:r>
        <w:rPr>
          <w:rFonts w:ascii="Times New Roman;Times;serif" w:hAnsi="Times New Roman;Times;serif"/>
          <w:color w:val="FF0000"/>
          <w:sz w:val="24"/>
        </w:rPr>
        <w:t>2029</w:t>
      </w:r>
      <w:bookmarkStart w:id="2289" w:name="_cp_change_353"/>
      <w:bookmarkEnd w:id="2289"/>
      <w:r>
        <w:rPr>
          <w:rFonts w:ascii="Times New Roman;Times;serif" w:hAnsi="Times New Roman;Times;serif"/>
          <w:color w:val="0000FF"/>
          <w:sz w:val="24"/>
          <w:u w:val="single"/>
        </w:rPr>
        <w:t>2030</w:t>
      </w:r>
      <w:r>
        <w:rPr>
          <w:rFonts w:ascii="Times New Roman;Times;serif" w:hAnsi="Times New Roman;Times;serif"/>
          <w:sz w:val="24"/>
        </w:rPr>
        <w:t xml:space="preserve"> Term Credit Facility is not fully drawn by the Borrower on the </w:t>
      </w:r>
      <w:bookmarkStart w:id="2290" w:name="_cp_change_354"/>
      <w:bookmarkEnd w:id="2290"/>
      <w:r>
        <w:rPr>
          <w:rFonts w:ascii="Times New Roman;Times;serif" w:hAnsi="Times New Roman;Times;serif"/>
          <w:color w:val="FF0000"/>
          <w:sz w:val="24"/>
        </w:rPr>
        <w:t>Closing</w:t>
      </w:r>
      <w:bookmarkStart w:id="2291" w:name="_cp_change_355"/>
      <w:bookmarkEnd w:id="2291"/>
      <w:r>
        <w:rPr>
          <w:rFonts w:ascii="Times New Roman;Times;serif" w:hAnsi="Times New Roman;Times;serif"/>
          <w:color w:val="0000FF"/>
          <w:sz w:val="24"/>
          <w:u w:val="single"/>
        </w:rPr>
        <w:t>Second Amendment Effective</w:t>
      </w:r>
      <w:r>
        <w:rPr>
          <w:rFonts w:ascii="Times New Roman;Times;serif" w:hAnsi="Times New Roman;Times;serif"/>
          <w:sz w:val="24"/>
        </w:rPr>
        <w:t xml:space="preserve"> Date, the undrawn portion thereof shall automatically be cancelled. As provided in Section 1.6(a) hereof, the Borrower may elect that the </w:t>
      </w:r>
      <w:bookmarkStart w:id="2292" w:name="_cp_change_356"/>
      <w:bookmarkEnd w:id="2292"/>
      <w:r>
        <w:rPr>
          <w:rFonts w:ascii="Times New Roman;Times;serif" w:hAnsi="Times New Roman;Times;serif"/>
          <w:color w:val="FF0000"/>
          <w:sz w:val="24"/>
        </w:rPr>
        <w:t>2029</w:t>
      </w:r>
      <w:bookmarkStart w:id="2293" w:name="_cp_change_357"/>
      <w:bookmarkEnd w:id="2293"/>
      <w:r>
        <w:rPr>
          <w:rFonts w:ascii="Times New Roman;Times;serif" w:hAnsi="Times New Roman;Times;serif"/>
          <w:color w:val="0000FF"/>
          <w:sz w:val="24"/>
          <w:u w:val="single"/>
        </w:rPr>
        <w:t>2030</w:t>
      </w:r>
      <w:r>
        <w:rPr>
          <w:rFonts w:ascii="Times New Roman;Times;serif" w:hAnsi="Times New Roman;Times;serif"/>
          <w:sz w:val="24"/>
        </w:rPr>
        <w:t xml:space="preserve"> Term Loans be outstanding as (i) Base Rate Loans, (ii) Daily Simple SOFR Rate Loans or (iii) Term SOFR Rate Loans. No amount repaid or prepaid on the </w:t>
      </w:r>
      <w:bookmarkStart w:id="2294" w:name="_cp_change_358"/>
      <w:bookmarkEnd w:id="2294"/>
      <w:r>
        <w:rPr>
          <w:rFonts w:ascii="Times New Roman;Times;serif" w:hAnsi="Times New Roman;Times;serif"/>
          <w:color w:val="FF0000"/>
          <w:sz w:val="24"/>
        </w:rPr>
        <w:t>2029</w:t>
      </w:r>
      <w:bookmarkStart w:id="2295" w:name="_cp_change_359"/>
      <w:bookmarkEnd w:id="2295"/>
      <w:r>
        <w:rPr>
          <w:rFonts w:ascii="Times New Roman;Times;serif" w:hAnsi="Times New Roman;Times;serif"/>
          <w:color w:val="0000FF"/>
          <w:sz w:val="24"/>
          <w:u w:val="single"/>
        </w:rPr>
        <w:t>2030</w:t>
      </w:r>
      <w:r>
        <w:rPr>
          <w:rFonts w:ascii="Times New Roman;Times;serif" w:hAnsi="Times New Roman;Times;serif"/>
          <w:sz w:val="24"/>
        </w:rPr>
        <w:t xml:space="preserve"> Term Loans may be borrowed again.</w:t>
      </w:r>
      <w:r>
        <w:rPr>
          <w:rFonts w:ascii="Times New Roman;Times;serif" w:hAnsi="Times New Roman;Times;serif"/>
          <w:sz w:val="24"/>
          <w:shd w:fill="FFFFFF" w:val="clear"/>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7.3</w:t>
      </w:r>
      <w:bookmarkStart w:id="2296" w:name="_Toc209549735"/>
      <w:bookmarkEnd w:id="2296"/>
      <w:r>
        <w:rPr>
          <w:rFonts w:ascii="Times New Roman;Times;serif" w:hAnsi="Times New Roman;Times;serif"/>
          <w:sz w:val="24"/>
        </w:rPr>
        <w:t>Reserved.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7.4</w:t>
      </w:r>
      <w:bookmarkStart w:id="2297" w:name="_Toc209549736"/>
      <w:bookmarkEnd w:id="2297"/>
      <w:r>
        <w:rPr>
          <w:rFonts w:ascii="Times New Roman;Times;serif" w:hAnsi="Times New Roman;Times;serif"/>
          <w:sz w:val="24"/>
        </w:rPr>
        <w:t>Applicable Interest Rates.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(a)Base Rate Loans</w:t>
      </w:r>
      <w:r>
        <w:rPr>
          <w:rFonts w:ascii="Times New Roman;Times;serif" w:hAnsi="Times New Roman;Times;serif"/>
          <w:i/>
          <w:sz w:val="24"/>
        </w:rPr>
        <w:t>.</w:t>
      </w:r>
      <w:r>
        <w:rPr>
          <w:rFonts w:ascii="Times New Roman;Times;serif" w:hAnsi="Times New Roman;Times;serif"/>
          <w:sz w:val="24"/>
        </w:rPr>
        <w:t xml:space="preserve"> Each Base Rate Loan made or maintained by a Lender shall bear interest (computed on the basis of a year of 365 or 366 days, as the case may be, and the actual days elapsed) on the unpaid principal amount thereof from the date such Loan is advanced, or created by conversion from a (i) Daily Simple SOFR Rate Loan or (ii) Term SOFR Rate Loan, until maturity (whether by acceleration or otherwise) at a rate per annum equal to the sum of the Applicable Margin plus the Base Rate from time to time in effect, payable by the Borrower on each Interest Payment Date and at maturity (whether by acceleration or otherwise).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(b)Daily Simple SOFR Rate Loans</w:t>
      </w:r>
      <w:r>
        <w:rPr>
          <w:rFonts w:ascii="Times New Roman;Times;serif" w:hAnsi="Times New Roman;Times;serif"/>
          <w:i/>
          <w:sz w:val="24"/>
        </w:rPr>
        <w:t>.</w:t>
      </w:r>
      <w:r>
        <w:rPr>
          <w:rFonts w:ascii="Times New Roman;Times;serif" w:hAnsi="Times New Roman;Times;serif"/>
          <w:sz w:val="24"/>
        </w:rPr>
        <w:t xml:space="preserve"> </w:t>
      </w:r>
      <w:r>
        <w:rPr>
          <w:rFonts w:ascii="Times New Roman;Times;serif" w:hAnsi="Times New Roman;Times;serif"/>
          <w:sz w:val="24"/>
          <w:shd w:fill="FFFFFF" w:val="clear"/>
        </w:rPr>
        <w:t xml:space="preserve">Each Daily Simple SOFR Rate Loan made or maintained by a Lender shall bear interest (computed on the basis of a year of 365 or 366 days, as the case may be, and the actual days elapsed) on the unpaid principal amount thereof from the date such Loan is advanced or continued, or created by conversion from a (i) Base Rate Loan or (ii) Term SOFR Rate Loan, until maturity (whether by acceleration or otherwise) at a rate per annum equal to the sum of the Applicable Margin plus the </w:t>
      </w:r>
      <w:bookmarkStart w:id="2298" w:name="_cp_change_360"/>
      <w:bookmarkEnd w:id="2298"/>
      <w:r>
        <w:rPr>
          <w:rFonts w:ascii="Times New Roman;Times;serif" w:hAnsi="Times New Roman;Times;serif"/>
          <w:color w:val="FF0000"/>
          <w:sz w:val="24"/>
          <w:shd w:fill="FFFFFF" w:val="clear"/>
        </w:rPr>
        <w:t xml:space="preserve">Adjusted </w:t>
      </w:r>
      <w:r>
        <w:rPr>
          <w:rFonts w:ascii="Times New Roman;Times;serif" w:hAnsi="Times New Roman;Times;serif"/>
          <w:sz w:val="24"/>
          <w:shd w:fill="FFFFFF" w:val="clear"/>
        </w:rPr>
        <w:t>Daily Simple SOFR from time to time in effect, payable by the Borrower on each Interest Payment Date and at maturity (whether by acceleration or otherwise).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(c)Term SOFR Rate Loans</w:t>
      </w:r>
      <w:r>
        <w:rPr>
          <w:rFonts w:ascii="Times New Roman;Times;serif" w:hAnsi="Times New Roman;Times;serif"/>
          <w:i/>
          <w:sz w:val="24"/>
        </w:rPr>
        <w:t>.</w:t>
      </w:r>
      <w:r>
        <w:rPr>
          <w:rFonts w:ascii="Times New Roman;Times;serif" w:hAnsi="Times New Roman;Times;serif"/>
          <w:sz w:val="24"/>
        </w:rPr>
        <w:t xml:space="preserve"> Each Term SOFR Rate Loan made or maintained by a Lender shall bear interest during each Interest Period it is outstanding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(computed on the basis of a year of 360 days and actual days elapsed) on the unpaid principal amount thereof from the date such Loan is advanced or continued, or created by conversion from a Base Rate Loan or Daily Simple SOFR Rate Loan, until maturity (whether by acceleration or otherwise) at a rate per annum equal to the sum of the Applicable Margin plus the </w:t>
      </w:r>
      <w:bookmarkStart w:id="2299" w:name="_cp_change_361"/>
      <w:bookmarkEnd w:id="2299"/>
      <w:r>
        <w:rPr>
          <w:rFonts w:ascii="Times New Roman;Times;serif" w:hAnsi="Times New Roman;Times;serif"/>
          <w:b w:val="false"/>
          <w:i w:val="false"/>
          <w:caps w:val="false"/>
          <w:smallCaps w:val="false"/>
          <w:color w:val="FF0000"/>
          <w:sz w:val="24"/>
        </w:rPr>
        <w:t xml:space="preserve">Adjusted </w:t>
      </w:r>
      <w:r>
        <w:rPr>
          <w:rFonts w:ascii="Times New Roman;Times;serif" w:hAnsi="Times New Roman;Times;serif"/>
          <w:b w:val="false"/>
          <w:i w:val="false"/>
          <w:caps w:val="false"/>
          <w:smallCaps w:val="false"/>
          <w:sz w:val="24"/>
        </w:rPr>
        <w:t>Term SOFR applicable for such Interest Period, payable by the Borrower on each Interest Payment Date and at maturity (whether by acceleration or otherwise).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(d)Rate Determinations</w:t>
      </w:r>
      <w:r>
        <w:rPr>
          <w:rFonts w:ascii="Times New Roman;Times;serif" w:hAnsi="Times New Roman;Times;serif"/>
          <w:i/>
          <w:sz w:val="24"/>
        </w:rPr>
        <w:t xml:space="preserve">. </w:t>
      </w:r>
      <w:r>
        <w:rPr>
          <w:rFonts w:ascii="Times New Roman;Times;serif" w:hAnsi="Times New Roman;Times;serif"/>
          <w:sz w:val="24"/>
        </w:rPr>
        <w:t>The Administrative Agent shall determine each interest rate applicable to the Loans hereunder, and its determination thereof shall be conclusive and binding except in the case of manifest error. In connection with the use or administration of Term SOFR and Daily Simple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or Daily Simple SOFR.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7.5</w:t>
      </w:r>
      <w:bookmarkStart w:id="2300" w:name="_Toc209549737"/>
      <w:bookmarkEnd w:id="2300"/>
      <w:r>
        <w:rPr>
          <w:rFonts w:ascii="Times New Roman;Times;serif" w:hAnsi="Times New Roman;Times;serif"/>
          <w:sz w:val="24"/>
        </w:rPr>
        <w:t>Minimum Borrowing Amounts; Maximum Term SOFR Rate Loans</w:t>
      </w:r>
      <w:r>
        <w:rPr>
          <w:rFonts w:ascii="Times New Roman;Times;serif" w:hAnsi="Times New Roman;Times;serif"/>
          <w:i/>
          <w:sz w:val="24"/>
        </w:rPr>
        <w:t>.</w:t>
      </w:r>
      <w:r>
        <w:rPr>
          <w:rFonts w:ascii="Times New Roman;Times;serif" w:hAnsi="Times New Roman;Times;serif"/>
          <w:sz w:val="24"/>
        </w:rPr>
        <w:t xml:space="preserve">  Each Borrowing of Loans shall be in an amount not less than $100,000.  Without the Administrative Agent’s consent, there shall not be more than eight (8) Borrowings of Term SOFR Rate Loans outstanding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7.6</w:t>
      </w:r>
      <w:bookmarkStart w:id="2301" w:name="_Toc209549738"/>
      <w:bookmarkEnd w:id="2301"/>
      <w:r>
        <w:rPr>
          <w:rFonts w:ascii="Times New Roman;Times;serif" w:hAnsi="Times New Roman;Times;serif"/>
          <w:sz w:val="24"/>
        </w:rPr>
        <w:t>Manner of Borrowing Loans and Designating Applicable Interest Rates.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(a)Notice to the Administrative Agent</w:t>
      </w:r>
      <w:r>
        <w:rPr>
          <w:rFonts w:ascii="Times New Roman;Times;serif" w:hAnsi="Times New Roman;Times;serif"/>
          <w:i/>
          <w:sz w:val="24"/>
        </w:rPr>
        <w:t>.</w:t>
      </w:r>
      <w:r>
        <w:rPr>
          <w:rFonts w:ascii="Times New Roman;Times;serif" w:hAnsi="Times New Roman;Times;serif"/>
          <w:sz w:val="24"/>
        </w:rPr>
        <w:t xml:space="preserve"> The Borrower shall give notice to the Administrative Agent by no later than 10:00 a.m. (Chicago time): (i) at least three (3) SOFR Business Days before the date on which the Borrower requests the Lenders to advance a Borrowing of Term SOFR Rate Loans and (ii) on the date the Borrower requests the Lenders to advance a Borrowing of Base Rate Loans or Daily Simple SOFR Rate Loans. The Loans included in such Borrowing shall bear interest initially at the type of rate specified in such notice of a Borrowing. Thereafter, subject to the terms and conditions hereof, the Borrower may from time to time elect to change or continue the type of interest rate borne by each Borrowing or, subject to the minimum amount requirement for each outstanding Borrowing set forth in Section 1.5 hereof, a portion thereof, as follows: (i) if such Borrowing is of Term SOFR Rate Loans, on the last day of the Interest Period applicable thereto, the Borrower may continue part or all of such Borrowing as Term SOFR Rate Loans or convert part or all of such Borrowing into Base Rate Loans or Daily Simple SOFR Rate Loans, or (ii) if such Borrowing is of Base Rate Loans or Daily Simple SOFR Rate Loans, on any Business Day, the Borrower may convert all or part of such Borrowing into Term SOFR Rate Loans for an Interest Period or Interest Periods specified by the Borrower. The Borrower shall give all such notices requesting an advance, continuation or conversion of a Borrowing to the Administrative Agent by telephone, telecopy, or other telecommunication device acceptable to the Administrative Agent (which notice shall be irrevocable once given and, if by telephone,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shall be promptly confirmed in writing), substantially in the form attached hereto as Exhibit B (Notice of Borrowing) or Exhibit C (Notice of Continuation/Conversion), as applicable, or in such other form acceptable to the Administrative</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4"/>
        </w:rPr>
        <w:t>Agent. Notice of the continuation of a Borrowing of Term SOFR Rate Loans for an additional Interest Period or of the conversion of part or all of a Borrowing of Base Rate Loans or Daily Simple SOFR Rate Loans into Term SOFR Rate Loans must be given by no later than 10:00 a.m. (Chicago time) at least three (3) Business Days before the date of the requested continuation or conversion. All such notices concerning the advance, continuation or conversion of a Borrowing shall specify, as applicable, the date of the requested advance, continuation or conversion of a Borrowing (which shall be a Business Day), the amount of the requested Borrowing to be advanced, continued or converted, the type of Loans to comprise such new, continued or converted Borrowing and, if such Borrowing is to be comprised of Term SOFR Rate Loans, the Interest Period applicable thereto. No Borrowing of Term SOFR Rate Loans or Daily Simple SOFR Rate Loans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(b)Notice to the Lenders. The Administrative Agent shall give prompt telephonic, telecopy or other telecommunication notice to each Lender of any notice from the Borrower received pursuant to Section 1.6(a) above and, if such notice requests the Lenders to make Term SOFR Rate Loans or Daily Simple SOFR Rate Loans, the Administrative Agent shall give notice to the Borrower and each Lender by like means of the interest rate applicable thereto promptly after the Administrative Agent has made such determination.</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(c)Borrower’s Failure to Notify. If the Borrower fails to give notice pursuant to Section 1.6(a) above of the continuation or conversion of any outstanding principal amount of a Borrowing of Daily Simple SOFR Rate Loans before the Interest Payment Date therefor within the period required by Section 1.6(a) and such Borrowing is not prepaid in accordance with Section 1.8(a), the Borrower shall be deemed to have selected that such Borrowing shall automatically be continued as a Borrowing of a Daily Simple SOFR Rate Loan. If the Borrower fails to give notice pursuant to Section 1.6(a) above of the continuation or conversion of any outstanding principal amount of a Borrowing of Term SOFR Rate Loans before the last day of its then current Interest Period within the period required by Section 1.6(a) and such Borrowing is not prepaid in accordance with Section 1.8(a), the Borrower shall be deemed to have given the notice three (3) Business Days prior to the end of the then current Interest Period and such Borrowing shall automatically be continued as a Borrowing of a Term SOFR Rate Loan with a one (1) month Interest Period; </w:t>
      </w:r>
      <w:r>
        <w:rPr>
          <w:rFonts w:ascii="Times New Roman;Times;serif" w:hAnsi="Times New Roman;Times;serif"/>
          <w:i/>
          <w:sz w:val="24"/>
        </w:rPr>
        <w:t xml:space="preserve">provided </w:t>
      </w:r>
      <w:r>
        <w:rPr>
          <w:rFonts w:ascii="Times New Roman;Times;serif" w:hAnsi="Times New Roman;Times;serif"/>
          <w:sz w:val="24"/>
        </w:rPr>
        <w:t>that all Lenders are able to accommodate such one (1) month Interest Period and such Term SOFR Rate Loan shall be subject to the funding indemnity set forth in Section 1.11 hereof in the event it is prepaid prior to the end of the Interest Period.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(d)Disbursement of Loans. Each Lender shall make available its Loan comprising part of such Borrowing in funds immediately available at the principal office of the Administrative Agent in Cleveland, Ohio (or at such other location as the Administrative Agent shall designate) on the Closing Date</w:t>
      </w:r>
      <w:bookmarkStart w:id="2302" w:name="_cp_change_362"/>
      <w:bookmarkEnd w:id="2302"/>
      <w:r>
        <w:rPr>
          <w:rFonts w:ascii="Times New Roman;Times;serif" w:hAnsi="Times New Roman;Times;serif"/>
          <w:color w:val="0000FF"/>
          <w:sz w:val="24"/>
          <w:u w:val="single"/>
        </w:rPr>
        <w:t xml:space="preserve"> or the Second Amendment Effective Date, as applicable</w:t>
      </w:r>
      <w:r>
        <w:rPr>
          <w:rFonts w:ascii="Times New Roman;Times;serif" w:hAnsi="Times New Roman;Times;serif"/>
          <w:sz w:val="24"/>
        </w:rPr>
        <w:t>. The Administrative Agent shall make the proceeds of each new Borrowing available to the Borrower on the date of such Borrowing as instructed by the Borrower.</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(e)Administrative Agent Reliance on Lender Funding</w:t>
      </w:r>
      <w:r>
        <w:rPr>
          <w:rFonts w:ascii="Times New Roman;Times;serif" w:hAnsi="Times New Roman;Times;serif"/>
          <w:i/>
          <w:sz w:val="24"/>
        </w:rPr>
        <w:t>.</w:t>
      </w:r>
      <w:r>
        <w:rPr>
          <w:rFonts w:ascii="Times New Roman;Times;serif" w:hAnsi="Times New Roman;Times;serif"/>
          <w:sz w:val="24"/>
        </w:rPr>
        <w:t xml:space="preserve"> Unless the Administrative Agent shall have been notified by a Lender prior to (or, in the case of a Borrowing of Base Rate Loans or Daily Simple SOFR Rate Loans, by 1:00 p.m. (Chicago time) on) the Closing Date </w:t>
      </w:r>
      <w:bookmarkStart w:id="2303" w:name="_cp_change_363"/>
      <w:bookmarkEnd w:id="2303"/>
      <w:r>
        <w:rPr>
          <w:rFonts w:ascii="Times New Roman;Times;serif" w:hAnsi="Times New Roman;Times;serif"/>
          <w:color w:val="0000FF"/>
          <w:sz w:val="24"/>
          <w:u w:val="single"/>
        </w:rPr>
        <w:t xml:space="preserve">or the Second Amendment Effective Date, as applicable, </w:t>
      </w:r>
      <w:r>
        <w:rPr>
          <w:rFonts w:ascii="Times New Roman;Times;serif" w:hAnsi="Times New Roman;Times;serif"/>
          <w:sz w:val="24"/>
        </w:rPr>
        <w:t>(which notice shall be effective upon receipt) that such Lender does not intend to make such payment,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 (1)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 (ii) from the date two (2) Business Days after the date such payment is due from such Lender to the date such payment is made by such Lender, the Base Rate or Daily Simple SOFR, as applicable, in effect for each such day, and (2) the Administrative Agent shall notify the Borrower of such Lender’s failure to pay. If such amount is not received from such Lender by the Administrative Agent immediately upon demand, the Borrower will, on demand, promptly, and in no event later than 11:00 a.m. (Chicago time) on the date that is two (2) Business Days following such demand, repay to the Administrative Agent the proceeds of the Loan attributable to such Lender with interest thereon at a rate per annum equal to the interest rate applicable to the relevant Loan, which payment may be in the form of a Base Rate Loan or Daily Simple SOFR Rate Loan under this Agreement, but without such payment being considered a payment or prepayment of a Loan under Section 1.11 hereof so that the Borrower will have no liability under such Section with respect to such payment.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7.7</w:t>
      </w:r>
      <w:bookmarkStart w:id="2304" w:name="_Toc209549739"/>
      <w:bookmarkEnd w:id="2304"/>
      <w:r>
        <w:rPr>
          <w:rFonts w:ascii="Times New Roman;Times;serif" w:hAnsi="Times New Roman;Times;serif"/>
          <w:sz w:val="24"/>
        </w:rPr>
        <w:t>Maturity of Loans.  </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(a)2029 Term Loans. The Borrower shall repay to the 2029 Term Loan Lenders on the Maturity Date for the 2029 Term Credit Facility the aggregate principal amount of all 2029 Term Loans outstanding on such date.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color w:val="0000FF"/>
          <w:sz w:val="24"/>
        </w:rPr>
        <w:t>(b)</w:t>
      </w:r>
      <w:bookmarkStart w:id="2305" w:name="_cp_change_366"/>
      <w:bookmarkStart w:id="2306" w:name="_cp_change_364"/>
      <w:bookmarkEnd w:id="2305"/>
      <w:bookmarkEnd w:id="2306"/>
      <w:r>
        <w:rPr>
          <w:rFonts w:ascii="Times New Roman;Times;serif" w:hAnsi="Times New Roman;Times;serif"/>
          <w:color w:val="0000FF"/>
          <w:sz w:val="24"/>
          <w:u w:val="single"/>
        </w:rPr>
        <w:t>2030 Term Loans</w:t>
      </w:r>
      <w:bookmarkStart w:id="2307" w:name="_cp_change_368"/>
      <w:bookmarkStart w:id="2308" w:name="_cp_change_365"/>
      <w:bookmarkEnd w:id="2307"/>
      <w:bookmarkEnd w:id="2308"/>
      <w:r>
        <w:rPr>
          <w:rFonts w:ascii="Times New Roman;Times;serif" w:hAnsi="Times New Roman;Times;serif"/>
          <w:color w:val="0000FF"/>
          <w:sz w:val="24"/>
          <w:u w:val="single"/>
        </w:rPr>
        <w:t>. The Borrower shall repay to the 2030 Term Loan Lenders on the Maturity Date for the 2030 Term Credit Facility the aggregate principal amount of all 2030 Term Loans outstanding on such date.</w:t>
      </w:r>
      <w:bookmarkStart w:id="2309" w:name="_cp_change_367"/>
      <w:bookmarkEnd w:id="2309"/>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color w:val="0000FF"/>
          <w:sz w:val="24"/>
        </w:rPr>
        <w:t>(c)</w:t>
      </w:r>
      <w:bookmarkStart w:id="2310" w:name="_cp_change_370"/>
      <w:bookmarkStart w:id="2311" w:name="_cp_change_371"/>
      <w:bookmarkEnd w:id="2310"/>
      <w:bookmarkEnd w:id="2311"/>
      <w:r>
        <w:rPr>
          <w:rFonts w:ascii="Times New Roman;Times;serif" w:hAnsi="Times New Roman;Times;serif"/>
          <w:color w:val="FF0000"/>
          <w:sz w:val="24"/>
        </w:rPr>
        <w:t xml:space="preserve">(b) </w:t>
      </w:r>
      <w:r>
        <w:rPr>
          <w:rFonts w:ascii="Times New Roman;Times;serif" w:hAnsi="Times New Roman;Times;serif"/>
          <w:sz w:val="24"/>
        </w:rPr>
        <w:t>Incremental Loans. The Borrower shall repay to the applicable Incremental Lenders on the applicable Maturity Date for the Incremental Credit, the aggregate principal amount of all Incremental Loans of the applicable tranche outstanding under such Incremental Credit on such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7.8</w:t>
      </w:r>
      <w:bookmarkStart w:id="2312" w:name="_Toc209549740"/>
      <w:bookmarkEnd w:id="2312"/>
      <w:r>
        <w:rPr>
          <w:rFonts w:ascii="Times New Roman;Times;serif" w:hAnsi="Times New Roman;Times;serif"/>
          <w:sz w:val="24"/>
        </w:rPr>
        <w:t>Prepayments.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(a)Optional. The Borrower may prepay any Loan in whole or in part (but, if in part, then: (i) if such Borrowing is of Base Rate Loans, in an amount not less than $100,000, (ii) if such Borrowing is of Term SOFR Rate Loans, in an amount not less than $100,000, (iii) if such Borrowing is of Daily Simple SOFR Rate Loans, in an amount not less than $100,000, and (iv) in each case, in an amount such that the minimum amount required for a Borrowing pursuant to Section 1.5 hereof remains outstanding) any Borrowing of Term SOFR Rate Loans at any time upon three (3) Business Days prior notice by the Borrower to the Administrative Agent, or in the case of a Borrowing of Base Rate Loans or Daily Simple SOFR Rate Loans, notice delivered by the Borrower to the Administrative Agent no later than 10:00 a.m. (Chicago time) on the date of prepayment (or, in any case, such shorter period of time then agreed to by the Administrative Agent), such prepayment to be made by the payment of the principal amount to be prepaid and, in the case of any Term SOFR Rate Loans, accrued interest thereon to the date fixed for prepayment plus any amounts due the Lenders under Section 1.11 hereof (if any).</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(b)Mandatory. (i) If at any time the sum of the unpaid principal balance of the Loans then outstanding shall be in excess of the Borrowing Base as then determined and computed, as contained in the most recent Borrowing Base Certificate delivered in accordance with Section 8.5(d) hereof, the Borrower shall promptly, and in no event later than 11:00 a.m. (Chicago time) on the date that is two (2) Business Days following such delivery, and without notice or demand pay the amount of the excess to the Administrative Agent for the account of the Lenders as a mandatory prepayment on such Obligations, with each such prepayment first to be applied to the 2029 Term Loans</w:t>
      </w:r>
      <w:bookmarkStart w:id="2313" w:name="_cp_change_372"/>
      <w:bookmarkEnd w:id="2313"/>
      <w:r>
        <w:rPr>
          <w:rFonts w:ascii="Times New Roman;Times;serif" w:hAnsi="Times New Roman;Times;serif"/>
          <w:color w:val="0000FF"/>
          <w:sz w:val="24"/>
          <w:u w:val="single"/>
        </w:rPr>
        <w:t>, 2030 Term Loans,</w:t>
      </w:r>
      <w:r>
        <w:rPr>
          <w:rFonts w:ascii="Times New Roman;Times;serif" w:hAnsi="Times New Roman;Times;serif"/>
          <w:sz w:val="24"/>
        </w:rPr>
        <w:t xml:space="preserve"> and the Incremental Loans (if any) on a combined ratable basis with respect to all such Loans until such Loans are paid in full.</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(iii)Unless the Borrower otherwise directs, prepayments of Loans under this Section 1.8(b) shall be applied first to Borrowings of Base Rate Loans until payment in full thereof, then to Daily Simple SOFR Rate Loans until payment in full thereof, with any balance applied to Borrowings of Term SOFR Rate Loans in the order in which their Interest Periods expire. Each prepayment of Loans under this Section 1.8(b) shall be made by the payment of the principal amount to be prepaid and, in the case of any Term SOFR Rate Loans, accrued interest thereon to the date of prepayment together with any amounts due the Lenders under Section 1.11 hereof (if any).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(c)No Reborrowing</w:t>
      </w:r>
      <w:r>
        <w:rPr>
          <w:rFonts w:ascii="Times New Roman;Times;serif" w:hAnsi="Times New Roman;Times;serif"/>
          <w:i/>
          <w:sz w:val="24"/>
        </w:rPr>
        <w:t>.</w:t>
      </w:r>
      <w:r>
        <w:rPr>
          <w:rFonts w:ascii="Times New Roman;Times;serif" w:hAnsi="Times New Roman;Times;serif"/>
          <w:sz w:val="24"/>
        </w:rPr>
        <w:t xml:space="preserve"> Any amount of Loans repaid or prepaid may not be reborrowed.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7.9</w:t>
      </w:r>
      <w:bookmarkStart w:id="2314" w:name="_Toc209549741"/>
      <w:bookmarkEnd w:id="2314"/>
      <w:r>
        <w:rPr>
          <w:rFonts w:ascii="Times New Roman;Times;serif" w:hAnsi="Times New Roman;Times;serif"/>
          <w:sz w:val="24"/>
        </w:rPr>
        <w:t>Default Rate.  Notwithstanding anything to the contrary contained herein, while any Event of Default exists or after acceleration, if so directed by the Required Lenders, the Borrower shall pay interest (after as well as before entry of judgment thereon to the extent permitted by law) on the principal amount of all Loans at a rate per annum equal to:</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(a)for any Base Rate Loan, the sum of 2.0% plus the Applicable Margin plus the Base Rate from time to time in effect;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(b)for any Daily Simple SOFR Rate Loan, the sum of 2.0% plus the Applicable Margin plus Daily Simple SOFR from time to time in effect; and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(c)for any Term SOFR Rate Loan, the sum of 2.0% plus the rate of interest in effect thereon at the time of such default until the end of the Interest Period applicable thereto plus the Applicable Margin and, thereafter, at a rate per annum equal to the sum of 2.0% plus the Applicable Margin for Base Rate Loans plus the Base Rate from time to time in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provided, however, that in the absence of acceleration, any adjustments pursuant to this Section 1.9 shall be made by the Administrative Agent, acting at the request or with the consent of the Required Lenders, with written notice to the Borrower.  While any Event of Default exists or after acceleration, interest shall be paid on the demand of the Administrative Agent at the request or with the consent of the Required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7.10</w:t>
      </w:r>
      <w:bookmarkStart w:id="2315" w:name="_Toc209549742"/>
      <w:bookmarkEnd w:id="2315"/>
      <w:r>
        <w:rPr>
          <w:rFonts w:ascii="Times New Roman;Times;serif" w:hAnsi="Times New Roman;Times;serif"/>
          <w:sz w:val="24"/>
        </w:rPr>
        <w:t>Evidence of Indebtedness.  (a) 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(b)The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(c)The entries maintained in the accounts maintained pursuant to paragraphs (a) and (b) above shall be prima facie evidence of the existence and amounts of the Obligations therein recorded absent manifest error; provided, however, that the failure of the Administrative Agent or any Lender to maintain such accounts or any error therein shall not in any manner affect the obligation of the Borrower to repay the Obligations in accordance with their terms.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(d)Any 2029 Term Loan Lender</w:t>
      </w:r>
      <w:bookmarkStart w:id="2316" w:name="_cp_change_373"/>
      <w:bookmarkEnd w:id="2316"/>
      <w:r>
        <w:rPr>
          <w:rFonts w:ascii="Times New Roman;Times;serif" w:hAnsi="Times New Roman;Times;serif"/>
          <w:color w:val="0000FF"/>
          <w:sz w:val="24"/>
          <w:u w:val="single"/>
        </w:rPr>
        <w:t>, 2030 Term Loan Lender,</w:t>
      </w:r>
      <w:r>
        <w:rPr>
          <w:rFonts w:ascii="Times New Roman;Times;serif" w:hAnsi="Times New Roman;Times;serif"/>
          <w:sz w:val="24"/>
        </w:rPr>
        <w:t xml:space="preserve"> or Incremental Lender may request that its Loans be evidenced by a promissory note or notes in the form of Exhibit D (or such other form approved by such Lenders and Administrative Agent, herein referred to collectively as the “Notes” and each individually as a “Note”). In such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event, the Borrower shall prepare, execute and deliver to such 2029 Term Loan Lender</w:t>
      </w:r>
      <w:bookmarkStart w:id="2317" w:name="_cp_change_374"/>
      <w:bookmarkEnd w:id="2317"/>
      <w:r>
        <w:rPr>
          <w:rFonts w:ascii="Times New Roman;Times;serif" w:hAnsi="Times New Roman;Times;serif"/>
          <w:color w:val="0000FF"/>
          <w:sz w:val="24"/>
          <w:u w:val="single"/>
        </w:rPr>
        <w:t>, 2030 Term Loan Lender,</w:t>
      </w:r>
      <w:r>
        <w:rPr>
          <w:rFonts w:ascii="Times New Roman;Times;serif" w:hAnsi="Times New Roman;Times;serif"/>
          <w:sz w:val="24"/>
        </w:rPr>
        <w:t xml:space="preserve"> or Incremental Lender a Note payable to such Lender or its registered assigns in the amount of the 2029 Term Loan Commitment</w:t>
      </w:r>
      <w:bookmarkStart w:id="2318" w:name="_cp_change_375"/>
      <w:bookmarkEnd w:id="2318"/>
      <w:r>
        <w:rPr>
          <w:rFonts w:ascii="Times New Roman;Times;serif" w:hAnsi="Times New Roman;Times;serif"/>
          <w:color w:val="FF0000"/>
          <w:sz w:val="24"/>
        </w:rPr>
        <w:t xml:space="preserve"> or</w:t>
      </w:r>
      <w:bookmarkStart w:id="2319" w:name="_cp_change_376"/>
      <w:bookmarkEnd w:id="2319"/>
      <w:r>
        <w:rPr>
          <w:rFonts w:ascii="Times New Roman;Times;serif" w:hAnsi="Times New Roman;Times;serif"/>
          <w:color w:val="0000FF"/>
          <w:sz w:val="24"/>
          <w:u w:val="single"/>
        </w:rPr>
        <w:t>, 2030 Term Loan Commitment, or</w:t>
      </w:r>
      <w:r>
        <w:rPr>
          <w:rFonts w:ascii="Times New Roman;Times;serif" w:hAnsi="Times New Roman;Times;serif"/>
          <w:sz w:val="24"/>
        </w:rPr>
        <w:t xml:space="preserve"> Incremental Commitment, as then applicable. Thereafter, the Loans evidenced by such Note or Notes and interest thereon shall at all times (including after any assignment pursuant to Section 12.12) be represented by one or more Notes payable to the order of the payee named therein or any assignee pursuant to Section 12.12, except to the extent that any such Lender or assignee subsequently returns any such Note for cancellation and requests that such Loans once again be evidenced as described above.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7.11</w:t>
      </w:r>
      <w:bookmarkStart w:id="2320" w:name="_Toc209549743"/>
      <w:bookmarkEnd w:id="2320"/>
      <w:r>
        <w:rPr>
          <w:rFonts w:ascii="Times New Roman;Times;serif" w:hAnsi="Times New Roman;Times;serif"/>
          <w:sz w:val="24"/>
        </w:rPr>
        <w:t>Funding Indemnity.  If any Lender shall incur any loss, cost or reasonable expense (including, without limitation, any loss, cost or reasonable expense incurred by reason of the liquidation or re-employment of deposits or other funds acquired by such Lender to fund or maintain any Term SOFR Rate Loan or the relending or reinvesting of such deposits or amounts paid or prepaid to such Lender) as a result 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(a)any payment, prepayment or conversion of a Term SOFR Rate Loan on a date other than the last day of its Interest Period,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(b)any failure (because of a failure to meet the conditions of Section 7 or otherwise) by the Borrower to borrow or continue a Term SOFR Rate Loan, or to convert a Base Rate Loan into a Term SOFR Rate Loan, on the date specified in a notice given pursuant to Section 1.6(a) 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(c)any failure by the Borrower to make any payment of principal on any Term SOFR Rate Loan when due (whether by acceleration or otherwise), </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(d)any acceleration of the maturity of a Term SOFR Rate Loan as a result of the occurrence of any Event of Default hereunder, or</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(e)the assignment of any Term SOFR Rate Loan on a date other than the last day of the Interest Period applicable thereto as a result of a request by the Borrower pursuant to Section 1.13;</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then, upon the demand of such Lender, the Borrower shall pay to such Lender such amount as will reimburse such Lender for such loss, cost or reasonable expense.  If any Lender makes such a claim for compensation, it shall provide to the Borrower, with a copy to the Administrative Agent, a certificate setting forth the amount of such loss, cost or reasonable expense in reasonable detail and the amounts shown on such certificate shall be conclusive if reasonably determined absent manifest error.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7.12</w:t>
      </w:r>
      <w:bookmarkStart w:id="2321" w:name="_Toc209549744"/>
      <w:bookmarkEnd w:id="2321"/>
      <w:r>
        <w:rPr>
          <w:rFonts w:ascii="Times New Roman;Times;serif" w:hAnsi="Times New Roman;Times;serif"/>
          <w:sz w:val="24"/>
        </w:rPr>
        <w:t>Reserved.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7.13</w:t>
      </w:r>
      <w:bookmarkStart w:id="2322" w:name="_Toc209549745"/>
      <w:bookmarkEnd w:id="2322"/>
      <w:r>
        <w:rPr>
          <w:rFonts w:ascii="Times New Roman;Times;serif" w:hAnsi="Times New Roman;Times;serif"/>
          <w:sz w:val="24"/>
        </w:rPr>
        <w:t xml:space="preserve">Substitution of Lenders.  In the event (a) the Borrower receives a claim from any Lender for compensation under Section 10.3 or 12.1 hereof, (b) the Borrower receives notice from any Lender of any illegality pursuant to Section 10.1 hereof, (c) any Lender is then a Defaulting Lender or such Lender is a Subsidiary or Affiliate of a Person who has been deemed insolvent or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becomes the subject of a bankruptcy or insolvency proceeding or a receiver or conservator has been appointed for any such Person, or (d) a Lender fails to consent to an amendment or waiver requested under Section 12.13 hereof at a time when the Required Lenders have approved such amendment or waiver (any such Lender referred to in clause (a), (b), (c), or (d) above being hereinafter referred to as an </w:t>
      </w:r>
      <w:r>
        <w:rPr>
          <w:rFonts w:ascii="Times New Roman;Times;serif" w:hAnsi="Times New Roman;Times;serif"/>
          <w:sz w:val="24"/>
        </w:rPr>
        <w:t>“</w:t>
      </w:r>
      <w:r>
        <w:rPr>
          <w:rFonts w:ascii="Times New Roman;Times;serif" w:hAnsi="Times New Roman;Times;serif"/>
          <w:b w:val="false"/>
          <w:i/>
          <w:sz w:val="24"/>
        </w:rPr>
        <w:t>Affected Lender”</w:t>
      </w:r>
      <w:r>
        <w:rPr>
          <w:rFonts w:ascii="Times New Roman;Times;serif" w:hAnsi="Times New Roman;Times;serif"/>
          <w:b w:val="false"/>
          <w:i w:val="false"/>
          <w:caps w:val="false"/>
          <w:smallCaps w:val="false"/>
          <w:sz w:val="24"/>
        </w:rPr>
        <w:t xml:space="preserve">), the Borrower may, in addition to any other rights the Borrower may have hereunder or under applicable law, require, at its expense, any such Affected Lender to assign, at par, without recourse (other than with respect to claims or Liens arising by, through or under such Affected Lender), all of its interest, rights, and obligations hereunder (including all of its Commitments, Loans and other amounts at any time owing to it hereunder and the other Loan Documents) to an Eligible Assignee specified by the Borrower, </w:t>
      </w:r>
      <w:r>
        <w:rPr>
          <w:rFonts w:ascii="Times New Roman;Times;serif" w:hAnsi="Times New Roman;Times;serif"/>
          <w:b w:val="false"/>
          <w:i/>
          <w:sz w:val="24"/>
        </w:rPr>
        <w:t>provided</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that (i) such assignment shall not conflict with or violate any law, rule or regulation or order of any court or other governmental authority, (ii) the Borrower shall have paid to the Affected Lender all monies (together with amounts due such Affected Lender under Section 1.11 hereof as if the Loans owing to it were prepaid rather than assigned) other than such principal owing to it hereunder, and (iii) the assignment is entered into in accordance with, and subject to the consents required by, Section 12.12 hereof (provided any reimbursable expenses due thereunder shall be paid by the Borrower and any assignment fees shall be waived).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7.14</w:t>
      </w:r>
      <w:bookmarkStart w:id="2323" w:name="_Toc209549746"/>
      <w:bookmarkEnd w:id="2323"/>
      <w:r>
        <w:rPr>
          <w:rFonts w:ascii="Times New Roman;Times;serif" w:hAnsi="Times New Roman;Times;serif"/>
          <w:sz w:val="24"/>
        </w:rPr>
        <w:t>Defaulting Lenders.  Anything contained herein to the contrary notwithstanding, in the event that any Lender at any time is a Defaulting Lender, then (a) during any Defaulting Lender Period with respect to such Defaulting Lender, such Defaulting Lender shall be deemed not to be a “</w:t>
      </w:r>
      <w:r>
        <w:rPr>
          <w:rFonts w:ascii="Times New Roman;Times;serif" w:hAnsi="Times New Roman;Times;serif"/>
          <w:i/>
          <w:sz w:val="24"/>
        </w:rPr>
        <w:t>Lender”</w:t>
      </w:r>
      <w:r>
        <w:rPr>
          <w:rFonts w:ascii="Times New Roman;Times;serif" w:hAnsi="Times New Roman;Times;serif"/>
          <w:sz w:val="24"/>
        </w:rPr>
        <w:t xml:space="preserve"> for purposes of voting on any matters (including the granting of any consents or waivers) with respect to any of the Loan Documents and such Defaulting Lender’s Loans or Commitments shall be excluded for purposes of determining “</w:t>
      </w:r>
      <w:r>
        <w:rPr>
          <w:rFonts w:ascii="Times New Roman;Times;serif" w:hAnsi="Times New Roman;Times;serif"/>
          <w:i/>
          <w:sz w:val="24"/>
        </w:rPr>
        <w:t>Required Lenders”</w:t>
      </w:r>
      <w:r>
        <w:rPr>
          <w:rFonts w:ascii="Times New Roman;Times;serif" w:hAnsi="Times New Roman;Times;serif"/>
          <w:sz w:val="24"/>
        </w:rPr>
        <w:t xml:space="preserve"> (provided that the foregoing shall not permit an increase in such Lender’s Commitments or an extension of the maturity date of such Lender’s Loans or other Obligations without such Lender’s consent); (b) to the extent permitted by applicable law, until such time as the Defaulting Lender Excess with respect to such Defaulting Lender shall have been reduced to zero, any voluntary prepayment of the Loans shall, if the Administrative Agent so directs at the time of making such voluntary prepayment, be applied to the Loans of other Lenders as if such Defaulting Lender had no Loans outstanding; and (c) the utilization of Commitments as at any date of determination shall be calculated as if such Defaulting Lender had funded all Loans of such Defaulting Lender.  No Commitment of any Lender shall be increased or otherwise affected, and, except as otherwise expressly provided in this Section 1.14, performance by the Borrower of its obligations hereunder and the other Loan Documents shall not be excused or otherwise modified as a result of the operation of this Section 1.14.  The rights and remedies against a Defaulting Lender under this Section 1.14 are in addition to other rights and remedies which the Borrower may have against such Defaulting Lender and which the Administrative Agent or any Lender may have against such Defaulting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7.15</w:t>
      </w:r>
      <w:bookmarkStart w:id="2324" w:name="_Toc209549747"/>
      <w:bookmarkEnd w:id="2324"/>
      <w:r>
        <w:rPr>
          <w:rFonts w:ascii="Times New Roman;Times;serif" w:hAnsi="Times New Roman;Times;serif"/>
          <w:sz w:val="24"/>
        </w:rPr>
        <w:t xml:space="preserve">Increase in Commitments </w:t>
      </w:r>
      <w:r>
        <w:rPr>
          <w:rFonts w:ascii="Times New Roman;Times;serif" w:hAnsi="Times New Roman;Times;serif"/>
          <w:sz w:val="22"/>
          <w:shd w:fill="FFFFFF" w:val="clear"/>
        </w:rPr>
        <w:t>and Incremental Commitments</w:t>
      </w:r>
      <w:r>
        <w:rPr>
          <w:rFonts w:ascii="Times New Roman;Times;serif" w:hAnsi="Times New Roman;Times;serif"/>
          <w:sz w:val="24"/>
        </w:rPr>
        <w:t>.  </w:t>
      </w:r>
      <w:r>
        <w:rPr>
          <w:rFonts w:ascii="Times New Roman;Times;serif" w:hAnsi="Times New Roman;Times;serif"/>
          <w:sz w:val="24"/>
          <w:shd w:fill="FFFFFF" w:val="clear"/>
        </w:rPr>
        <w:t>The Borrower may, from time to time, on any Business Day prior to the Maturity Date, increase the aggregate amount of the Commitments or establish one or more new revolving commitments (any such new revolving commitment, an “</w:t>
      </w:r>
      <w:r>
        <w:rPr>
          <w:rFonts w:ascii="Times New Roman;Times;serif" w:hAnsi="Times New Roman;Times;serif"/>
          <w:i/>
          <w:sz w:val="24"/>
          <w:shd w:fill="FFFFFF" w:val="clear"/>
        </w:rPr>
        <w:t>Incremental Revolving Commitment</w:t>
      </w:r>
      <w:r>
        <w:rPr>
          <w:rFonts w:ascii="Times New Roman;Times;serif" w:hAnsi="Times New Roman;Times;serif"/>
          <w:sz w:val="24"/>
          <w:shd w:fill="FFFFFF" w:val="clear"/>
        </w:rPr>
        <w:t>”) or term loan commitments (any such new term loan commitment, an “</w:t>
      </w:r>
      <w:r>
        <w:rPr>
          <w:rFonts w:ascii="Times New Roman;Times;serif" w:hAnsi="Times New Roman;Times;serif"/>
          <w:i/>
          <w:sz w:val="24"/>
          <w:shd w:fill="FFFFFF" w:val="clear"/>
        </w:rPr>
        <w:t>Incremental Term Loan Commitment</w:t>
      </w:r>
      <w:r>
        <w:rPr>
          <w:rFonts w:ascii="Times New Roman;Times;serif" w:hAnsi="Times New Roman;Times;serif"/>
          <w:sz w:val="24"/>
          <w:shd w:fill="FFFFFF" w:val="clear"/>
        </w:rPr>
        <w:t>”; and together with any Incremental Revolving Commitments, each an “</w:t>
      </w:r>
      <w:r>
        <w:rPr>
          <w:rFonts w:ascii="Times New Roman;Times;serif" w:hAnsi="Times New Roman;Times;serif"/>
          <w:i/>
          <w:sz w:val="24"/>
          <w:shd w:fill="FFFFFF" w:val="clear"/>
        </w:rPr>
        <w:t>Incremental Commitment</w:t>
      </w:r>
      <w:r>
        <w:rPr>
          <w:rFonts w:ascii="Times New Roman;Times;serif" w:hAnsi="Times New Roman;Times;serif"/>
          <w:sz w:val="24"/>
          <w:shd w:fill="FFFFFF" w:val="clear"/>
        </w:rPr>
        <w:t xml:space="preserve">”), respectively, by delivering a Commitment Amount Increase Request substantially in the form attached hereto as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 xml:space="preserve">Exhibit H or in such other form acceptable to the Administrative Agent at least five (5) Business Days prior to the desired effective date of such increase (the </w:t>
      </w:r>
      <w:r>
        <w:rPr>
          <w:rFonts w:ascii="Times New Roman;Times;serif" w:hAnsi="Times New Roman;Times;serif"/>
          <w:sz w:val="24"/>
          <w:shd w:fill="FFFFFF" w:val="clear"/>
        </w:rPr>
        <w:t>“</w:t>
      </w:r>
      <w:r>
        <w:rPr>
          <w:rFonts w:ascii="Times New Roman;Times;serif" w:hAnsi="Times New Roman;Times;serif"/>
          <w:b w:val="false"/>
          <w:i/>
          <w:sz w:val="24"/>
          <w:shd w:fill="FFFFFF" w:val="clear"/>
        </w:rPr>
        <w:t>Commitment Amount Increase”</w:t>
      </w:r>
      <w:r>
        <w:rPr>
          <w:rFonts w:ascii="Times New Roman;Times;serif" w:hAnsi="Times New Roman;Times;serif"/>
          <w:b w:val="false"/>
          <w:i w:val="false"/>
          <w:caps w:val="false"/>
          <w:smallCaps w:val="false"/>
          <w:sz w:val="24"/>
          <w:shd w:fill="FFFFFF" w:val="clear"/>
        </w:rPr>
        <w:t xml:space="preserve">) or establishment of such Incremental Revolving Commitment providing for the advance of new revolving loans (individually an </w:t>
      </w:r>
      <w:r>
        <w:rPr>
          <w:rFonts w:ascii="Times New Roman;Times;serif" w:hAnsi="Times New Roman;Times;serif"/>
          <w:sz w:val="24"/>
          <w:shd w:fill="FFFFFF" w:val="clear"/>
        </w:rPr>
        <w:t>“</w:t>
      </w:r>
      <w:r>
        <w:rPr>
          <w:rFonts w:ascii="Times New Roman;Times;serif" w:hAnsi="Times New Roman;Times;serif"/>
          <w:b w:val="false"/>
          <w:i/>
          <w:sz w:val="24"/>
          <w:shd w:fill="FFFFFF" w:val="clear"/>
        </w:rPr>
        <w:t>Incremental Revolving Loan”</w:t>
      </w:r>
      <w:r>
        <w:rPr>
          <w:rFonts w:ascii="Times New Roman;Times;serif" w:hAnsi="Times New Roman;Times;serif"/>
          <w:caps w:val="false"/>
          <w:smallCaps w:val="false"/>
          <w:sz w:val="24"/>
          <w:shd w:fill="FFFFFF" w:val="clear"/>
        </w:rPr>
        <w:t xml:space="preserve"> </w:t>
      </w:r>
      <w:r>
        <w:rPr>
          <w:rFonts w:ascii="Times New Roman;Times;serif" w:hAnsi="Times New Roman;Times;serif"/>
          <w:b w:val="false"/>
          <w:i w:val="false"/>
          <w:caps w:val="false"/>
          <w:smallCaps w:val="false"/>
          <w:sz w:val="24"/>
          <w:shd w:fill="FFFFFF" w:val="clear"/>
        </w:rPr>
        <w:t xml:space="preserve">and collectively for all the Incremental Revolving Lenders the </w:t>
      </w:r>
      <w:r>
        <w:rPr>
          <w:rFonts w:ascii="Times New Roman;Times;serif" w:hAnsi="Times New Roman;Times;serif"/>
          <w:sz w:val="24"/>
          <w:shd w:fill="FFFFFF" w:val="clear"/>
        </w:rPr>
        <w:t>“</w:t>
      </w:r>
      <w:r>
        <w:rPr>
          <w:rFonts w:ascii="Times New Roman;Times;serif" w:hAnsi="Times New Roman;Times;serif"/>
          <w:b w:val="false"/>
          <w:i/>
          <w:sz w:val="24"/>
          <w:shd w:fill="FFFFFF" w:val="clear"/>
        </w:rPr>
        <w:t>Incremental Revolving Loans”</w:t>
      </w:r>
      <w:r>
        <w:rPr>
          <w:rFonts w:ascii="Times New Roman;Times;serif" w:hAnsi="Times New Roman;Times;serif"/>
          <w:b w:val="false"/>
          <w:i w:val="false"/>
          <w:caps w:val="false"/>
          <w:smallCaps w:val="false"/>
          <w:sz w:val="24"/>
          <w:shd w:fill="FFFFFF" w:val="clear"/>
        </w:rPr>
        <w:t xml:space="preserve">) or such Incremental Term Loan Commitment providing for the advance of new term loans (individually an </w:t>
      </w:r>
      <w:r>
        <w:rPr>
          <w:rFonts w:ascii="Times New Roman;Times;serif" w:hAnsi="Times New Roman;Times;serif"/>
          <w:sz w:val="24"/>
          <w:shd w:fill="FFFFFF" w:val="clear"/>
        </w:rPr>
        <w:t>“</w:t>
      </w:r>
      <w:r>
        <w:rPr>
          <w:rFonts w:ascii="Times New Roman;Times;serif" w:hAnsi="Times New Roman;Times;serif"/>
          <w:b w:val="false"/>
          <w:i/>
          <w:sz w:val="24"/>
          <w:shd w:fill="FFFFFF" w:val="clear"/>
        </w:rPr>
        <w:t>Incremental Term Loan”</w:t>
      </w:r>
      <w:r>
        <w:rPr>
          <w:rFonts w:ascii="Times New Roman;Times;serif" w:hAnsi="Times New Roman;Times;serif"/>
          <w:caps w:val="false"/>
          <w:smallCaps w:val="false"/>
          <w:sz w:val="24"/>
          <w:shd w:fill="FFFFFF" w:val="clear"/>
        </w:rPr>
        <w:t xml:space="preserve"> </w:t>
      </w:r>
      <w:r>
        <w:rPr>
          <w:rFonts w:ascii="Times New Roman;Times;serif" w:hAnsi="Times New Roman;Times;serif"/>
          <w:b w:val="false"/>
          <w:i w:val="false"/>
          <w:caps w:val="false"/>
          <w:smallCaps w:val="false"/>
          <w:sz w:val="24"/>
          <w:shd w:fill="FFFFFF" w:val="clear"/>
        </w:rPr>
        <w:t xml:space="preserve">and collectively for all the Incremental Term Loan Lenders the </w:t>
      </w:r>
      <w:r>
        <w:rPr>
          <w:rFonts w:ascii="Times New Roman;Times;serif" w:hAnsi="Times New Roman;Times;serif"/>
          <w:sz w:val="24"/>
          <w:shd w:fill="FFFFFF" w:val="clear"/>
        </w:rPr>
        <w:t>“</w:t>
      </w:r>
      <w:r>
        <w:rPr>
          <w:rFonts w:ascii="Times New Roman;Times;serif" w:hAnsi="Times New Roman;Times;serif"/>
          <w:b w:val="false"/>
          <w:i/>
          <w:sz w:val="24"/>
          <w:shd w:fill="FFFFFF" w:val="clear"/>
        </w:rPr>
        <w:t>Incremental Term Loans”</w:t>
      </w:r>
      <w:r>
        <w:rPr>
          <w:rFonts w:ascii="Times New Roman;Times;serif" w:hAnsi="Times New Roman;Times;serif"/>
          <w:b w:val="false"/>
          <w:i w:val="false"/>
          <w:caps w:val="false"/>
          <w:smallCaps w:val="false"/>
          <w:sz w:val="24"/>
          <w:shd w:fill="FFFFFF" w:val="clear"/>
        </w:rPr>
        <w:t>; each Commitment Amount Increase, Incremental Revolving Commitment, and Incremental Term Loan Commitment, a “</w:t>
      </w:r>
      <w:r>
        <w:rPr>
          <w:rFonts w:ascii="Times New Roman;Times;serif" w:hAnsi="Times New Roman;Times;serif"/>
          <w:b w:val="false"/>
          <w:i/>
          <w:sz w:val="24"/>
          <w:shd w:fill="FFFFFF" w:val="clear"/>
        </w:rPr>
        <w:t>Commitment Increase</w:t>
      </w:r>
      <w:r>
        <w:rPr>
          <w:rFonts w:ascii="Times New Roman;Times;serif" w:hAnsi="Times New Roman;Times;serif"/>
          <w:caps w:val="false"/>
          <w:smallCaps w:val="false"/>
          <w:sz w:val="24"/>
          <w:shd w:fill="FFFFFF" w:val="clear"/>
        </w:rPr>
        <w:t>”</w:t>
      </w:r>
      <w:r>
        <w:rPr>
          <w:rFonts w:ascii="Times New Roman;Times;serif" w:hAnsi="Times New Roman;Times;serif"/>
          <w:b w:val="false"/>
          <w:i w:val="false"/>
          <w:caps w:val="false"/>
          <w:smallCaps w:val="false"/>
          <w:sz w:val="24"/>
          <w:shd w:fill="FFFFFF" w:val="clear"/>
        </w:rPr>
        <w:t>), identifying one or more additional Lenders (or additional Commitments for existing Lenders, or by a combination of existing Lenders and additional Lenders, and the amount of each such Lender’s additional Commitment or Incremental Term Loan Commitment, as applicable)</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sz w:val="24"/>
        </w:rPr>
        <w:t>provided, however</w:t>
      </w:r>
      <w:r>
        <w:rPr>
          <w:rFonts w:ascii="Times New Roman;Times;serif" w:hAnsi="Times New Roman;Times;serif"/>
          <w:b w:val="false"/>
          <w:i w:val="false"/>
          <w:caps w:val="false"/>
          <w:smallCaps w:val="false"/>
          <w:sz w:val="24"/>
        </w:rPr>
        <w:t>, that (i) the aggregate amount of the Commitments shall not be increased to an amount in excess of $</w:t>
      </w:r>
      <w:bookmarkStart w:id="2325" w:name="_cp_change_377"/>
      <w:bookmarkEnd w:id="2325"/>
      <w:r>
        <w:rPr>
          <w:rFonts w:ascii="Times New Roman;Times;serif" w:hAnsi="Times New Roman;Times;serif"/>
          <w:b w:val="false"/>
          <w:i w:val="false"/>
          <w:caps w:val="false"/>
          <w:smallCaps w:val="false"/>
          <w:color w:val="FF0000"/>
          <w:sz w:val="24"/>
        </w:rPr>
        <w:t>400,000,000</w:t>
      </w:r>
      <w:bookmarkStart w:id="2326" w:name="_cp_change_378"/>
      <w:bookmarkEnd w:id="2326"/>
      <w:r>
        <w:rPr>
          <w:rFonts w:ascii="Times New Roman;Times;serif" w:hAnsi="Times New Roman;Times;serif"/>
          <w:b w:val="false"/>
          <w:i w:val="false"/>
          <w:caps w:val="false"/>
          <w:smallCaps w:val="false"/>
          <w:color w:val="0000FF"/>
          <w:sz w:val="24"/>
          <w:u w:val="single"/>
        </w:rPr>
        <w:t>500,000,000</w:t>
      </w:r>
      <w:r>
        <w:rPr>
          <w:rFonts w:ascii="Times New Roman;Times;serif" w:hAnsi="Times New Roman;Times;serif"/>
          <w:b w:val="false"/>
          <w:i w:val="false"/>
          <w:caps w:val="false"/>
          <w:smallCaps w:val="false"/>
          <w:sz w:val="24"/>
        </w:rPr>
        <w:t xml:space="preserve">, (ii) no Default or Event of Default shall have occurred and be continuing at the time of the request or the effective date of the Commitment Increase, (iii)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at the time of such request and on the effective date of such Commitment Increase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(iv) upon the reasonable request of any additional Lender made at least seven (7) days prior to the effective date of such Commitment Increase, the Borrower shall have provided to such additional Lender, and such additional Lender shall be reasonably satisfied with, the documentation and other information so requested </w:t>
      </w:r>
      <w:bookmarkStart w:id="2327" w:name="_Hlk207700362"/>
      <w:bookmarkEnd w:id="2327"/>
      <w:r>
        <w:rPr>
          <w:rFonts w:ascii="Times New Roman;Times;serif" w:hAnsi="Times New Roman;Times;serif"/>
          <w:b w:val="false"/>
          <w:i w:val="false"/>
          <w:caps w:val="false"/>
          <w:smallCaps w:val="false"/>
          <w:sz w:val="24"/>
        </w:rPr>
        <w:t>in connection with applicable “know your customer” and anti-money-laundering rules and regulations, including the Act, in each case at least three (3) days prior to the effective date of such Commitment Increase and, at least three (3) days prior to the effective date of such Commitment Increase, if the Borrower qualifies as a “legal entity customer” under the Beneficial Ownership Regulation shall have delivered, to each Lender that so requests, a Beneficial Ownership Certification.  The effective date of the Commitment Increase shall be agreed upon by the Borrower and the Administrative Agent.  Upon the effectiveness thereof, the new Lender(s) (or, if applicable, existing Lender(s)) shall advance Loans in an amount sufficient such that after giving effect to its advance each Lender shall have outstanding its Applicable Percentage of Loans.  The Borrower agrees to pay any reasonable expenses of the Administrative Agent relating to any Commitment Increase and arrangement fees related thereto as agreed upon in writing between Administrative Agent and the Borrower, if any.</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Notwithstanding anything herein to the contrary, (x) no Lender shall have any obligation to increase its Commitment and no Lender’s Commitment shall be increased without its consent thereto</w:t>
      </w:r>
      <w:r>
        <w:rPr>
          <w:rFonts w:ascii="Times New Roman;Times;serif" w:hAnsi="Times New Roman;Times;serif"/>
          <w:b w:val="false"/>
          <w:i w:val="false"/>
          <w:caps w:val="false"/>
          <w:smallCaps w:val="false"/>
          <w:sz w:val="24"/>
          <w:shd w:fill="FFFFFF" w:val="clear"/>
        </w:rPr>
        <w:t>, and each Lender may at its option, unconditionally and without cause, decline to increase its Commitment or to provide any Incremental Commitment, (y) no declining Lender shall have any consent rights with respect to such Commitment Increase, and (z) any new Lender shall be acceptable to the Administrative Agent (to the extent the consent of the Administrative Agent would be required in connection with an assignment to such new Lender under Section 12.12(a)(iii) hereof) with such consent not to be unreasonably withheld or delayed.  Upon the effectiveness thereof, Schedule I</w:t>
      </w:r>
      <w:r>
        <w:rPr>
          <w:rFonts w:ascii="Times New Roman;Times;serif" w:hAnsi="Times New Roman;Times;serif"/>
          <w:caps w:val="false"/>
          <w:smallCaps w:val="false"/>
          <w:sz w:val="24"/>
          <w:shd w:fill="FFFFFF" w:val="clear"/>
        </w:rPr>
        <w:t xml:space="preserve"> </w:t>
      </w:r>
      <w:r>
        <w:rPr>
          <w:rFonts w:ascii="Times New Roman;Times;serif" w:hAnsi="Times New Roman;Times;serif"/>
          <w:b w:val="false"/>
          <w:i w:val="false"/>
          <w:caps w:val="false"/>
          <w:smallCaps w:val="false"/>
          <w:sz w:val="24"/>
          <w:shd w:fill="FFFFFF" w:val="clear"/>
        </w:rPr>
        <w:t>shall be deemed amended to reflect any Commitment Increase.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shd w:fill="FFFFFF" w:val="clear"/>
        </w:rPr>
        <w:t>Subject to Section 7.1</w:t>
      </w:r>
      <w:r>
        <w:rPr>
          <w:rFonts w:ascii="Times New Roman;Times;serif" w:hAnsi="Times New Roman;Times;serif"/>
          <w:caps w:val="false"/>
          <w:smallCaps w:val="false"/>
          <w:sz w:val="24"/>
          <w:shd w:fill="FFFFFF" w:val="clear"/>
        </w:rPr>
        <w:t xml:space="preserve"> </w:t>
      </w:r>
      <w:r>
        <w:rPr>
          <w:rFonts w:ascii="Times New Roman;Times;serif" w:hAnsi="Times New Roman;Times;serif"/>
          <w:b w:val="false"/>
          <w:i w:val="false"/>
          <w:caps w:val="false"/>
          <w:smallCaps w:val="false"/>
          <w:sz w:val="24"/>
          <w:shd w:fill="FFFFFF" w:val="clear"/>
        </w:rPr>
        <w:t>hereof, on the effective date of any new Incremental Term Loan Commitments, any new or existing Lender with an Incremental Term Loan Commitment shall advance in a single Borrowing an Incremental Term Loan in the amount of its new Incremental Term Loan Commitment.  The Borrower shall deliver or cause to be delivered any documents reasonably requested by the Administrative Agent in connection with any such transaction and consistent with Section 7.2 hereof.</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4"/>
        </w:rPr>
        <w:t xml:space="preserve">Each request for a </w:t>
      </w:r>
      <w:r>
        <w:rPr>
          <w:rFonts w:ascii="Times New Roman;Times;serif" w:hAnsi="Times New Roman;Times;serif"/>
          <w:sz w:val="22"/>
          <w:shd w:fill="FFFFFF" w:val="clear"/>
        </w:rPr>
        <w:t xml:space="preserve">new Incremental Commitment </w:t>
      </w:r>
      <w:r>
        <w:rPr>
          <w:rFonts w:ascii="Times New Roman;Times;serif" w:hAnsi="Times New Roman;Times;serif"/>
          <w:sz w:val="24"/>
        </w:rPr>
        <w:t>may be made hereunder pursuant to an amendment or restatement (each, an “</w:t>
      </w:r>
      <w:r>
        <w:rPr>
          <w:rFonts w:ascii="Times New Roman;Times;serif" w:hAnsi="Times New Roman;Times;serif"/>
          <w:i/>
          <w:sz w:val="24"/>
        </w:rPr>
        <w:t>Incremental Amendment</w:t>
      </w:r>
      <w:r>
        <w:rPr>
          <w:rFonts w:ascii="Times New Roman;Times;serif" w:hAnsi="Times New Roman;Times;serif"/>
          <w:sz w:val="22"/>
        </w:rPr>
        <w:t>”</w:t>
      </w:r>
      <w:r>
        <w:rPr>
          <w:rFonts w:ascii="Times New Roman;Times;serif" w:hAnsi="Times New Roman;Times;serif"/>
          <w:sz w:val="24"/>
        </w:rPr>
        <w:t>) of this Agreement and, as appropriate, the other Loan Documents, executed by the Borrower, each Incremental Lender participating in such tranche and the Administrative Agent.  Each Incremental Amendment may, without the consent of any other Lenders, effect such amendments to this Agreement and the other Loan Documents as may be necessary or appropriate, in the reasonable opinion of the Administrative Agent, to effect the provisions of this Section 1.15.  All Incremental Loans (a) shall rank pari passu in right of payment and of security, if any, with all other existing Loans and shall not be guaranteed by any additional Guarantors than the existing Loans, (b) shall be subject to covenants and events of default that are identical to or not materially more restrictive to the Borrower than those in the existing Loans (except to the extent such terms apply only after the latest maturity date of the existing Term Loans), and (c) shall have any mandatory prepayments made pursuant to Section 1.8(b) hereof allocated ratably between the existing Loans and the Incremental Loans (if any).  All Incremental Term Loans shall have (i) a final maturity date no earlier than the latest Maturity Date for then-existing Term Loans and (ii) a weighted average life not less than the then remaining weighted average life to maturity of the existing Term Loans.  Except as set forth above, the terms and conditions applicable to Incremental Commitments and Incremental Loans (including interest rates and amortization applicable thereto) shall be determined by the Borrower, the Administrative Agent and the Lenders providing such Incremental Commitments or Incremental Loans.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7.16</w:t>
      </w:r>
      <w:bookmarkStart w:id="2328" w:name="_Toc209549748"/>
      <w:bookmarkEnd w:id="2328"/>
      <w:r>
        <w:rPr>
          <w:rFonts w:ascii="Times New Roman;Times;serif" w:hAnsi="Times New Roman;Times;serif"/>
          <w:sz w:val="24"/>
        </w:rPr>
        <w:t>Reserved.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7.17</w:t>
      </w:r>
      <w:bookmarkStart w:id="2329" w:name="_Toc209549749"/>
      <w:bookmarkEnd w:id="2329"/>
      <w:r>
        <w:rPr>
          <w:rFonts w:ascii="Times New Roman;Times;serif" w:hAnsi="Times New Roman;Times;serif"/>
          <w:sz w:val="24"/>
        </w:rPr>
        <w:t>Reserved.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7.18</w:t>
      </w:r>
      <w:bookmarkStart w:id="2330" w:name="_cp_change_379"/>
      <w:bookmarkEnd w:id="2330"/>
      <w:r>
        <w:rPr>
          <w:rFonts w:ascii="Times New Roman;Times;serif" w:hAnsi="Times New Roman;Times;serif"/>
          <w:color w:val="FF0000"/>
          <w:sz w:val="24"/>
        </w:rPr>
        <w:t>ESG Amendment</w:t>
      </w:r>
      <w:bookmarkStart w:id="2331" w:name="_cp_change_380"/>
      <w:bookmarkStart w:id="2332" w:name="_Toc209549750"/>
      <w:bookmarkEnd w:id="2331"/>
      <w:bookmarkEnd w:id="2332"/>
      <w:r>
        <w:rPr>
          <w:rFonts w:ascii="Times New Roman;Times;serif" w:hAnsi="Times New Roman;Times;serif"/>
          <w:color w:val="0000FF"/>
          <w:sz w:val="24"/>
          <w:u w:val="single"/>
        </w:rPr>
        <w:t>Reserved</w:t>
      </w:r>
      <w:r>
        <w:rPr>
          <w:rFonts w:ascii="Times New Roman;Times;serif" w:hAnsi="Times New Roman;Times;serif"/>
          <w:sz w:val="24"/>
        </w:rPr>
        <w:t>.</w:t>
      </w:r>
      <w:bookmarkStart w:id="2333" w:name="_cp_change_381"/>
      <w:bookmarkEnd w:id="2333"/>
      <w:r>
        <w:rPr>
          <w:rFonts w:ascii="Times New Roman;Times;serif" w:hAnsi="Times New Roman;Times;serif"/>
          <w:color w:val="FF0000"/>
          <w:sz w:val="24"/>
        </w:rPr>
        <w:t xml:space="preserve">  After the Closing Date:</w:t>
      </w:r>
    </w:p>
    <w:p>
      <w:pPr>
        <w:pStyle w:val="TextBody"/>
        <w:bidi w:val="0"/>
        <w:spacing w:before="0" w:after="0"/>
        <w:ind w:left="0" w:right="0" w:firstLine="1440"/>
        <w:jc w:val="both"/>
        <w:rPr>
          <w:rFonts w:ascii="Times New Roman;Times;serif" w:hAnsi="Times New Roman;Times;serif"/>
          <w:i/>
          <w:sz w:val="24"/>
        </w:rPr>
      </w:pPr>
      <w:bookmarkStart w:id="2334" w:name="_cp_change_383"/>
      <w:bookmarkEnd w:id="2334"/>
      <w:r>
        <w:rPr>
          <w:rFonts w:ascii="Times New Roman;Times;serif" w:hAnsi="Times New Roman;Times;serif"/>
          <w:i w:val="false"/>
          <w:caps w:val="false"/>
          <w:smallCaps w:val="false"/>
          <w:color w:val="FF0000"/>
          <w:sz w:val="24"/>
        </w:rPr>
        <w:t xml:space="preserve">(a) </w:t>
      </w:r>
      <w:bookmarkStart w:id="2335" w:name="_cp_change_385"/>
      <w:bookmarkEnd w:id="2335"/>
      <w:r>
        <w:rPr>
          <w:rFonts w:ascii="Times New Roman;Times;serif" w:hAnsi="Times New Roman;Times;serif"/>
          <w:i w:val="false"/>
          <w:caps w:val="false"/>
          <w:smallCaps w:val="false"/>
          <w:color w:val="FF0000"/>
          <w:sz w:val="24"/>
        </w:rPr>
        <w:t xml:space="preserve">The Borrower, in consultation with the Sustainability Structuring Agent, shall be entitled to establish specified Key Performance Indicators (“KPIs”) with respect to certain Environmental, Social and Governance (“ESG”) targets of the Borrower and its Subsidiaries. The Sustainability Structuring Agent and the Borrower may, with the consent of the Required Lenders, amend this Agreement (such amendment, the “ESG Amendment”) solely for the purpose of incorporating the KPIs and other related provisions (the “ESG Pricing Provisions”) into this Agreement.  Any such ESG Amendment shall become effective upon the receipt by the Administrative Agent of executed signature pages and consents to such ESG Amendment from the Borrower, the Administrative Agent and Lenders comprising the Required Lenders.  Upon effectiveness of any such ESG Amendment, based on the Borrower’s performance against the KPIs, certain adjustments (increase, decrease, or no adjustment) to the Applicable Margin may be made; </w:t>
      </w:r>
      <w:r>
        <w:rPr>
          <w:rFonts w:ascii="Times New Roman;Times;serif" w:hAnsi="Times New Roman;Times;serif"/>
          <w:i w:val="false"/>
          <w:caps w:val="false"/>
          <w:smallCaps w:val="false"/>
          <w:color w:val="FF0000"/>
          <w:sz w:val="24"/>
          <w:u w:val="single"/>
        </w:rPr>
        <w:t>provided</w:t>
      </w:r>
      <w:r>
        <w:rPr>
          <w:rFonts w:ascii="Times New Roman;Times;serif" w:hAnsi="Times New Roman;Times;serif"/>
          <w:i/>
          <w:caps w:val="false"/>
          <w:smallCaps w:val="false"/>
          <w:color w:val="FF0000"/>
          <w:sz w:val="24"/>
        </w:rPr>
        <w:t xml:space="preserve"> </w:t>
      </w:r>
      <w:r>
        <w:rPr>
          <w:rFonts w:ascii="Times New Roman;Times;serif" w:hAnsi="Times New Roman;Times;serif"/>
          <w:i w:val="false"/>
          <w:caps w:val="false"/>
          <w:smallCaps w:val="false"/>
          <w:color w:val="FF0000"/>
          <w:sz w:val="24"/>
        </w:rPr>
        <w:t xml:space="preserve">that the amount of any such adjustments made pursuant to an ESG Amendment shall not result in an increase or decrease of more than 2.5 basis points in the Applicable Margin;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color w:val="FF0000"/>
          <w:sz w:val="24"/>
          <w:u w:val="single"/>
        </w:rPr>
        <w:t>provided</w:t>
      </w:r>
      <w:r>
        <w:rPr>
          <w:rFonts w:ascii="Times New Roman;Times;serif" w:hAnsi="Times New Roman;Times;serif"/>
          <w:i w:val="false"/>
          <w:caps w:val="false"/>
          <w:smallCaps w:val="false"/>
          <w:color w:val="FF0000"/>
          <w:sz w:val="24"/>
        </w:rPr>
        <w:t xml:space="preserve">, </w:t>
      </w:r>
      <w:r>
        <w:rPr>
          <w:rFonts w:ascii="Times New Roman;Times;serif" w:hAnsi="Times New Roman;Times;serif"/>
          <w:i w:val="false"/>
          <w:caps w:val="false"/>
          <w:smallCaps w:val="false"/>
          <w:color w:val="FF0000"/>
          <w:sz w:val="24"/>
          <w:u w:val="single"/>
        </w:rPr>
        <w:t>further</w:t>
      </w:r>
      <w:r>
        <w:rPr>
          <w:rFonts w:ascii="Times New Roman;Times;serif" w:hAnsi="Times New Roman;Times;serif"/>
          <w:i w:val="false"/>
          <w:caps w:val="false"/>
          <w:smallCaps w:val="false"/>
          <w:color w:val="FF0000"/>
          <w:sz w:val="24"/>
        </w:rPr>
        <w:t>, that in no event shall such adjustments decrease the Applicable Margin below zero. The pricing adjustments pursuant to the KPIs will require, among other things, reporting and validation of the measurement of the KPIs in a manner that is aligned with the Sustainability Linked Loan Principles at the time of the ESG Amendment and is to be mutually agreed between the Borrower and the Sustainability Structuring Agent (each acting reasonably).  Following the effectiveness of the ESG Amendment, any modification to the ESG Pricing Provisions which does not have the effect of reducing the Applicable Margin to a level not otherwise permitted by this Section shall be subject only to the consent of the Required Lenders.</w:t>
      </w:r>
      <w:bookmarkStart w:id="2336" w:name="_cp_change_384"/>
      <w:bookmarkEnd w:id="2336"/>
    </w:p>
    <w:p>
      <w:pPr>
        <w:pStyle w:val="TextBody"/>
        <w:bidi w:val="0"/>
        <w:spacing w:before="0" w:after="240"/>
        <w:ind w:left="0" w:right="0" w:firstLine="1440"/>
        <w:jc w:val="both"/>
        <w:rPr>
          <w:rFonts w:ascii="Times New Roman;Times;serif" w:hAnsi="Times New Roman;Times;serif"/>
          <w:i/>
          <w:sz w:val="24"/>
        </w:rPr>
      </w:pPr>
      <w:bookmarkStart w:id="2337" w:name="_cp_change_387"/>
      <w:bookmarkEnd w:id="2337"/>
      <w:r>
        <w:rPr>
          <w:rFonts w:ascii="Times New Roman;Times;serif" w:hAnsi="Times New Roman;Times;serif"/>
          <w:i w:val="false"/>
          <w:caps w:val="false"/>
          <w:smallCaps w:val="false"/>
          <w:color w:val="FF0000"/>
          <w:sz w:val="24"/>
        </w:rPr>
        <w:t xml:space="preserve">(b) </w:t>
      </w:r>
      <w:bookmarkStart w:id="2338" w:name="_cp_change_389"/>
      <w:bookmarkEnd w:id="2338"/>
      <w:r>
        <w:rPr>
          <w:rFonts w:ascii="Times New Roman;Times;serif" w:hAnsi="Times New Roman;Times;serif"/>
          <w:i w:val="false"/>
          <w:caps w:val="false"/>
          <w:smallCaps w:val="false"/>
          <w:color w:val="FF0000"/>
          <w:sz w:val="24"/>
        </w:rPr>
        <w:t>The Sustainability Structuring Agent will (i) assist the Borrower in determining the ESG Pricing Provisions in connection with the ESG Amendment and (ii) assist the Borrower in preparing informational materials focused on ESG to be used in connection with the ESG Amendment.</w:t>
      </w:r>
      <w:bookmarkStart w:id="2339" w:name="_cp_change_388"/>
      <w:bookmarkEnd w:id="2339"/>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8.</w:t>
      </w:r>
      <w:bookmarkStart w:id="2340" w:name="_Toc209549751"/>
      <w:bookmarkEnd w:id="2340"/>
      <w:r>
        <w:rPr>
          <w:rFonts w:ascii="Times New Roman;Times;serif" w:hAnsi="Times New Roman;Times;serif"/>
          <w:caps/>
          <w:sz w:val="24"/>
        </w:rPr>
        <w:t>Fees</w:t>
      </w:r>
      <w:r>
        <w:rPr>
          <w:rFonts w:ascii="Times New Roman Bold" w:hAnsi="Times New Roman Bold"/>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8.1</w:t>
      </w:r>
      <w:bookmarkStart w:id="2341" w:name="_Toc209549752"/>
      <w:bookmarkEnd w:id="2341"/>
      <w:r>
        <w:rPr>
          <w:rFonts w:ascii="Times New Roman;Times;serif" w:hAnsi="Times New Roman;Times;serif"/>
          <w:sz w:val="24"/>
        </w:rPr>
        <w:t>Fees.  </w:t>
      </w:r>
      <w:r>
        <w:rPr>
          <w:rFonts w:ascii="Times New Roman;Times;serif" w:hAnsi="Times New Roman;Times;serif"/>
          <w:i/>
          <w:sz w:val="24"/>
        </w:rPr>
        <w:t>Administrative</w:t>
      </w:r>
      <w:r>
        <w:rPr>
          <w:rFonts w:ascii="Times New Roman;Times;serif" w:hAnsi="Times New Roman;Times;serif"/>
          <w:sz w:val="24"/>
        </w:rPr>
        <w:t xml:space="preserve"> </w:t>
      </w:r>
      <w:r>
        <w:rPr>
          <w:rFonts w:ascii="Times New Roman;Times;serif" w:hAnsi="Times New Roman;Times;serif"/>
          <w:i/>
          <w:sz w:val="24"/>
        </w:rPr>
        <w:t>Agent</w:t>
      </w:r>
      <w:r>
        <w:rPr>
          <w:rFonts w:ascii="Times New Roman;Times;serif" w:hAnsi="Times New Roman;Times;serif"/>
          <w:sz w:val="24"/>
        </w:rPr>
        <w:t xml:space="preserve"> </w:t>
      </w:r>
      <w:r>
        <w:rPr>
          <w:rFonts w:ascii="Times New Roman;Times;serif" w:hAnsi="Times New Roman;Times;serif"/>
          <w:i/>
          <w:sz w:val="24"/>
        </w:rPr>
        <w:t>and</w:t>
      </w:r>
      <w:r>
        <w:rPr>
          <w:rFonts w:ascii="Times New Roman;Times;serif" w:hAnsi="Times New Roman;Times;serif"/>
          <w:sz w:val="24"/>
        </w:rPr>
        <w:t xml:space="preserve"> </w:t>
      </w:r>
      <w:r>
        <w:rPr>
          <w:rFonts w:ascii="Times New Roman;Times;serif" w:hAnsi="Times New Roman;Times;serif"/>
          <w:i/>
          <w:sz w:val="24"/>
        </w:rPr>
        <w:t>Other</w:t>
      </w:r>
      <w:r>
        <w:rPr>
          <w:rFonts w:ascii="Times New Roman;Times;serif" w:hAnsi="Times New Roman;Times;serif"/>
          <w:sz w:val="24"/>
        </w:rPr>
        <w:t xml:space="preserve"> </w:t>
      </w:r>
      <w:r>
        <w:rPr>
          <w:rFonts w:ascii="Times New Roman;Times;serif" w:hAnsi="Times New Roman;Times;serif"/>
          <w:i/>
          <w:sz w:val="24"/>
        </w:rPr>
        <w:t>Fees</w:t>
      </w:r>
      <w:r>
        <w:rPr>
          <w:rFonts w:ascii="Times New Roman;Times;serif" w:hAnsi="Times New Roman;Times;serif"/>
          <w:sz w:val="24"/>
        </w:rPr>
        <w:t xml:space="preserve">.  The Borrower shall pay to the Administrative Agent, for its own use and benefit and for the benefit of the Lenders, and each arranger, as applicable, the fees agreed to in the Fee Letters, or as otherwise </w:t>
      </w:r>
      <w:bookmarkStart w:id="2342" w:name="_Hlk207374373"/>
      <w:bookmarkEnd w:id="2342"/>
      <w:r>
        <w:rPr>
          <w:rFonts w:ascii="Times New Roman;Times;serif" w:hAnsi="Times New Roman;Times;serif"/>
          <w:sz w:val="24"/>
        </w:rPr>
        <w:t>agreed to in writing between such parties.</w:t>
      </w:r>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9.</w:t>
      </w:r>
      <w:bookmarkStart w:id="2343" w:name="_Toc209549753"/>
      <w:bookmarkEnd w:id="2343"/>
      <w:r>
        <w:rPr>
          <w:rFonts w:ascii="Times New Roman;Times;serif" w:hAnsi="Times New Roman;Times;serif"/>
          <w:caps/>
          <w:sz w:val="24"/>
        </w:rPr>
        <w:t>Place and Application of Payments</w:t>
      </w:r>
      <w:r>
        <w:rPr>
          <w:rFonts w:ascii="Times New Roman Bold" w:hAnsi="Times New Roman Bold"/>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9.1</w:t>
      </w:r>
      <w:bookmarkStart w:id="2344" w:name="_Toc209549754"/>
      <w:bookmarkEnd w:id="2344"/>
      <w:r>
        <w:rPr>
          <w:rFonts w:ascii="Times New Roman;Times;serif" w:hAnsi="Times New Roman;Times;serif"/>
          <w:sz w:val="24"/>
        </w:rPr>
        <w:t>Place and Application of Payments.  All payments of principal of and interest on the Loans, and of all other Obligations payable by the Borrower under this Agreement and the other Loan Documents, shall be made by the Borrower to the Administrative Agent by no later than 12:00 Noon (Chicago time) on the due date thereof at the office of the Administrative Agent in New York, New York (or such other location as the Administrative Agent may designate to the Borrower) for the benefit of the Lender(s) entitled thereto.  Any payments received after such time shall be deemed to have been received by the Administrative Agent on the next Business Day.  All such payments shall be made in U.S. Dollars, in immediately available funds at the place of payment, in each case without set-off or counterclaim.  The Administrative Agent will promptly thereafter cause to be distributed like funds relating to the payment of principal or interest on Loans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Anything contained herein to the contrary notwithstanding (including, without limitation, Section 1.8(b) hereof), all payments and collections received in respect of the Obligations by the Administrative Agent or any of the Lenders after acceleration or the final maturity of the Obligations or termination of the Commitments as a result of an Event of Default shall be remitted to the Administrative Agent and distributed as follows: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(a)first, to the payment of any outstanding costs and expenses incurred by the Administrative Agent in protecting, preserving or enforcing rights under the Loan Documents, and in any event including all costs and expenses of a character which the Borrower has agreed to pay the Administrative Agent under Section 12.15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(b)second, to the payment of any outstanding interest and fees due under the Loan Documents to be allocated pro rata in accordance with the aggregate unpaid amounts owing to each holder thereof;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(c)third, to the payment of principal on the Loans, any Hedging Liability and Funds Transfer and Deposit Account Liability, with the aggregate amount paid to, or held as collateral security for, the Lenders and each Hedging Counterparty, and, in the case of Hedging Liability, their Affiliates, to be allocated pro rata in accordance with the aggregate unpaid amounts owing to each holder thereof;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(d)fourth, to the payment of all other unpaid Obligations and all other indebtedness, obligations, and liabilities of the Borrower and its Subsidiaries evidenced by the Loan Documents (including, without limitation, Funds Transfer and Deposit Account Liability) to be allocated pro rata in accordance with the aggregate unpaid amounts owing to each holder thereof; and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(e)finally, to the Borrower or whoever else may be lawfully entitled thereto.</w:t>
      </w:r>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10.</w:t>
      </w:r>
      <w:bookmarkStart w:id="2345" w:name="_Toc209549755"/>
      <w:bookmarkEnd w:id="2345"/>
      <w:r>
        <w:rPr>
          <w:rFonts w:ascii="Times New Roman;Times;serif" w:hAnsi="Times New Roman;Times;serif"/>
          <w:caps/>
          <w:sz w:val="24"/>
        </w:rPr>
        <w:t>Guaranties</w:t>
      </w:r>
      <w:r>
        <w:rPr>
          <w:rFonts w:ascii="Times New Roman Bold" w:hAnsi="Times New Roman Bold"/>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10.1</w:t>
      </w:r>
      <w:bookmarkStart w:id="2346" w:name="_Toc209549756"/>
      <w:bookmarkEnd w:id="2346"/>
      <w:r>
        <w:rPr>
          <w:rFonts w:ascii="Times New Roman;Times;serif" w:hAnsi="Times New Roman;Times;serif"/>
          <w:sz w:val="24"/>
        </w:rPr>
        <w:t>Guaranties.  The payment and performance of the Obligations, Hedging Liability, and Funds Transfer and Deposit Account Liability shall at all times be guaranteed by each direct and indirect Material Subsidiary of the Borrower pursuant to Section 13 hereof or pursuant to one or more guaranty agreements in form and substance acceptable to the Administrative Agent, as the same may be amended, modified or supplemented from time to time (individually a “</w:t>
      </w:r>
      <w:r>
        <w:rPr>
          <w:rFonts w:ascii="Times New Roman;Times;serif" w:hAnsi="Times New Roman;Times;serif"/>
          <w:i/>
          <w:sz w:val="24"/>
        </w:rPr>
        <w:t>Guaranty”</w:t>
      </w:r>
      <w:r>
        <w:rPr>
          <w:rFonts w:ascii="Times New Roman;Times;serif" w:hAnsi="Times New Roman;Times;serif"/>
          <w:sz w:val="24"/>
        </w:rPr>
        <w:t xml:space="preserve"> and collectively the “</w:t>
      </w:r>
      <w:r>
        <w:rPr>
          <w:rFonts w:ascii="Times New Roman;Times;serif" w:hAnsi="Times New Roman;Times;serif"/>
          <w:i/>
          <w:sz w:val="24"/>
        </w:rPr>
        <w:t>Guaranties”</w:t>
      </w:r>
      <w:r>
        <w:rPr>
          <w:rFonts w:ascii="Times New Roman;Times;serif" w:hAnsi="Times New Roman;Times;serif"/>
          <w:sz w:val="24"/>
        </w:rPr>
        <w:t xml:space="preserve"> and each such Material Subsidiary executing and delivering a Guaranty being referred to herein as a “</w:t>
      </w:r>
      <w:r>
        <w:rPr>
          <w:rFonts w:ascii="Times New Roman;Times;serif" w:hAnsi="Times New Roman;Times;serif"/>
          <w:i/>
          <w:sz w:val="24"/>
        </w:rPr>
        <w:t>Guarantor”</w:t>
      </w:r>
      <w:r>
        <w:rPr>
          <w:rFonts w:ascii="Times New Roman;Times;serif" w:hAnsi="Times New Roman;Times;serif"/>
          <w:sz w:val="24"/>
        </w:rPr>
        <w:t xml:space="preserve"> and collectively the “</w:t>
      </w:r>
      <w:r>
        <w:rPr>
          <w:rFonts w:ascii="Times New Roman;Times;serif" w:hAnsi="Times New Roman;Times;serif"/>
          <w:i/>
          <w:sz w:val="24"/>
        </w:rPr>
        <w:t>Guarantors”</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xml:space="preserve"> that, with respect to any Guarantor, Hedging Liability guaranteed by such Guarantor shall exclude all Excluded Swap Obligations.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10.2</w:t>
      </w:r>
      <w:bookmarkStart w:id="2347" w:name="_Toc209549757"/>
      <w:bookmarkEnd w:id="2347"/>
      <w:r>
        <w:rPr>
          <w:rFonts w:ascii="Times New Roman;Times;serif" w:hAnsi="Times New Roman;Times;serif"/>
          <w:sz w:val="24"/>
        </w:rPr>
        <w:t xml:space="preserve">Further Assurances.   In the event the Borrower or any Guarantor forms or acquires any other Material Subsidiary after the date hereof, except as otherwise provided in Section 4.1, the Borrower shall promptly upon such formation or acquisition cause such newly formed or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acquired Material Subsidiary to execute a Guaranty or an Additional Guarantor Supplement in the form of Exhibit G attached hereto (the </w:t>
      </w:r>
      <w:r>
        <w:rPr>
          <w:rFonts w:ascii="Times New Roman;Times;serif" w:hAnsi="Times New Roman;Times;serif"/>
          <w:sz w:val="24"/>
        </w:rPr>
        <w:t>“</w:t>
      </w:r>
      <w:r>
        <w:rPr>
          <w:rFonts w:ascii="Times New Roman;Times;serif" w:hAnsi="Times New Roman;Times;serif"/>
          <w:b w:val="false"/>
          <w:i/>
          <w:sz w:val="24"/>
        </w:rPr>
        <w:t>Additional</w:t>
      </w:r>
      <w:r>
        <w:rPr>
          <w:rFonts w:ascii="Times New Roman;Times;serif" w:hAnsi="Times New Roman;Times;serif"/>
          <w:caps w:val="false"/>
          <w:smallCaps w:val="false"/>
          <w:sz w:val="24"/>
        </w:rPr>
        <w:t xml:space="preserve"> </w:t>
      </w:r>
      <w:r>
        <w:rPr>
          <w:rFonts w:ascii="Times New Roman;Times;serif" w:hAnsi="Times New Roman;Times;serif"/>
          <w:b w:val="false"/>
          <w:i/>
          <w:sz w:val="24"/>
        </w:rPr>
        <w:t>Guarantor</w:t>
      </w:r>
      <w:r>
        <w:rPr>
          <w:rFonts w:ascii="Times New Roman;Times;serif" w:hAnsi="Times New Roman;Times;serif"/>
          <w:caps w:val="false"/>
          <w:smallCaps w:val="false"/>
          <w:sz w:val="24"/>
        </w:rPr>
        <w:t xml:space="preserve"> </w:t>
      </w:r>
      <w:r>
        <w:rPr>
          <w:rFonts w:ascii="Times New Roman;Times;serif" w:hAnsi="Times New Roman;Times;serif"/>
          <w:b w:val="false"/>
          <w:i/>
          <w:sz w:val="24"/>
        </w:rPr>
        <w:t>Supplement”</w:t>
      </w:r>
      <w:r>
        <w:rPr>
          <w:rFonts w:ascii="Times New Roman;Times;serif" w:hAnsi="Times New Roman;Times;serif"/>
          <w:b w:val="false"/>
          <w:i w:val="false"/>
          <w:caps w:val="false"/>
          <w:smallCaps w:val="false"/>
          <w:sz w:val="24"/>
        </w:rPr>
        <w:t>) as the Administrative Agent may then require, and the Borrower shall also deliver to the Administrative Agent, or cause such Material Subsidiary to deliver to the Administrative Agent, at the Borrower’s cost and expense, such other instruments, documents, certificates, and opinions reasonably required by the Administrative Agent in connection therewith.</w:t>
      </w:r>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11.</w:t>
      </w:r>
      <w:bookmarkStart w:id="2348" w:name="_Toc209549758"/>
      <w:bookmarkEnd w:id="2348"/>
      <w:r>
        <w:rPr>
          <w:rFonts w:ascii="Times New Roman;Times;serif" w:hAnsi="Times New Roman;Times;serif"/>
          <w:caps/>
          <w:sz w:val="24"/>
        </w:rPr>
        <w:t>Definitions; Interpretation</w:t>
      </w:r>
      <w:r>
        <w:rPr>
          <w:rFonts w:ascii="Times New Roman Bold" w:hAnsi="Times New Roman Bold"/>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11.1</w:t>
      </w:r>
      <w:bookmarkStart w:id="2349" w:name="_Toc209549759"/>
      <w:bookmarkEnd w:id="2349"/>
      <w:r>
        <w:rPr>
          <w:rFonts w:ascii="Times New Roman;Times;serif" w:hAnsi="Times New Roman;Times;serif"/>
          <w:sz w:val="24"/>
        </w:rPr>
        <w:t>Definitions.  The following terms when used herein shall have the following meanings:</w:t>
      </w:r>
    </w:p>
    <w:p>
      <w:pPr>
        <w:pStyle w:val="TextBody"/>
        <w:bidi w:val="0"/>
        <w:spacing w:before="0" w:after="0"/>
        <w:ind w:left="0" w:right="0" w:firstLine="720"/>
        <w:jc w:val="both"/>
        <w:rPr/>
      </w:pPr>
      <w:bookmarkStart w:id="2350" w:name="_Hlk178326963"/>
      <w:bookmarkEnd w:id="2350"/>
      <w:r>
        <w:rPr/>
        <w:t>“</w:t>
      </w:r>
      <w:r>
        <w:rPr>
          <w:rFonts w:ascii="Times New Roman;Times;serif" w:hAnsi="Times New Roman;Times;serif"/>
          <w:sz w:val="24"/>
        </w:rPr>
        <w:t>1031 Property” means, as of any Borrowing Base Determination Date, any Property owned by a 1031 Property Holder which is intended to qualify for tax treatment under Section 1031 of the Code and which meets all of the requirements of the definition of Eligible Property.  For purposes of determining Total Asset Value, such 1031 Property shall be deemed to have been owned or leased by the Borrower or a Guarantor from the date acquired by the 1031 Property Holder that owns such 1031 Property.</w:t>
      </w:r>
    </w:p>
    <w:p>
      <w:pPr>
        <w:pStyle w:val="TextBody"/>
        <w:bidi w:val="0"/>
        <w:spacing w:before="280" w:after="283"/>
        <w:ind w:left="0" w:right="0" w:firstLine="720"/>
        <w:jc w:val="both"/>
        <w:rPr/>
      </w:pPr>
      <w:r>
        <w:rPr/>
        <w:t>​</w:t>
      </w:r>
    </w:p>
    <w:p>
      <w:pPr>
        <w:pStyle w:val="TextBody"/>
        <w:bidi w:val="0"/>
        <w:spacing w:before="0" w:after="0"/>
        <w:ind w:left="0" w:right="0" w:firstLine="720"/>
        <w:jc w:val="both"/>
        <w:rPr/>
      </w:pPr>
      <w:r>
        <w:rPr/>
        <w:t>“</w:t>
      </w:r>
      <w:r>
        <w:rPr>
          <w:rFonts w:ascii="Times" w:hAnsi="Times"/>
          <w:sz w:val="24"/>
        </w:rPr>
        <w:t>1031 Property Holder” means the “qualified intermediary” or “exchange accommodation titleholder” with respect to a 1031 Property as contemplated under Section 1031 of the Code, the regulations of the U.S. Department of Treasury adopted thereunder and related revenue procedures related thereto.</w:t>
      </w:r>
    </w:p>
    <w:p>
      <w:pPr>
        <w:pStyle w:val="TextBody"/>
        <w:bidi w:val="0"/>
        <w:spacing w:before="240" w:after="0"/>
        <w:ind w:left="0" w:right="0" w:firstLine="720"/>
        <w:jc w:val="both"/>
        <w:rPr/>
      </w:pPr>
      <w:r>
        <w:rPr/>
        <w:t>“</w:t>
      </w:r>
      <w:bookmarkStart w:id="2351" w:name="_Hlk207366253"/>
      <w:bookmarkEnd w:id="2351"/>
      <w:r>
        <w:rPr>
          <w:rFonts w:ascii="Times" w:hAnsi="Times"/>
          <w:sz w:val="24"/>
        </w:rPr>
        <w:t>2029 Aggregate Term Facility Amount</w:t>
      </w:r>
      <w:r>
        <w:rPr>
          <w:rFonts w:ascii="Times New Roman;Times;serif" w:hAnsi="Times New Roman;Times;serif"/>
          <w:sz w:val="24"/>
        </w:rPr>
        <w:t xml:space="preserve">” </w:t>
      </w:r>
      <w:r>
        <w:rPr>
          <w:rFonts w:ascii="Times" w:hAnsi="Times"/>
          <w:sz w:val="24"/>
        </w:rPr>
        <w:t>means</w:t>
      </w:r>
      <w:bookmarkStart w:id="2352" w:name="_cp_change_390"/>
      <w:bookmarkEnd w:id="2352"/>
      <w:r>
        <w:rPr>
          <w:rFonts w:ascii="Times" w:hAnsi="Times"/>
          <w:color w:val="0000FF"/>
          <w:sz w:val="24"/>
          <w:u w:val="single"/>
        </w:rPr>
        <w:t>, as of the Second Amendment Effective Date,</w:t>
      </w:r>
      <w:r>
        <w:rPr>
          <w:rFonts w:ascii="Times New Roman;Times;serif" w:hAnsi="Times New Roman;Times;serif"/>
          <w:sz w:val="24"/>
        </w:rPr>
        <w:t xml:space="preserve"> </w:t>
      </w:r>
      <w:r>
        <w:rPr>
          <w:rFonts w:ascii="Times" w:hAnsi="Times"/>
          <w:sz w:val="24"/>
        </w:rPr>
        <w:t>$</w:t>
      </w:r>
      <w:bookmarkStart w:id="2353" w:name="_cp_change_391"/>
      <w:bookmarkEnd w:id="2353"/>
      <w:r>
        <w:rPr>
          <w:rFonts w:ascii="Times" w:hAnsi="Times"/>
          <w:color w:val="FF0000"/>
          <w:sz w:val="24"/>
        </w:rPr>
        <w:t>100,000,000</w:t>
      </w:r>
      <w:bookmarkStart w:id="2354" w:name="_cp_change_392"/>
      <w:bookmarkEnd w:id="2354"/>
      <w:r>
        <w:rPr>
          <w:rFonts w:ascii="Times" w:hAnsi="Times"/>
          <w:color w:val="0000FF"/>
          <w:sz w:val="24"/>
          <w:u w:val="single"/>
        </w:rPr>
        <w:t>125,000,000</w:t>
      </w:r>
      <w:r>
        <w:rPr>
          <w:rFonts w:ascii="Times" w:hAnsi="Times"/>
          <w:sz w:val="24"/>
        </w:rPr>
        <w:t>.</w:t>
      </w:r>
    </w:p>
    <w:p>
      <w:pPr>
        <w:pStyle w:val="TextBody"/>
        <w:bidi w:val="0"/>
        <w:spacing w:before="240" w:after="0"/>
        <w:ind w:left="0" w:right="0" w:firstLine="720"/>
        <w:jc w:val="both"/>
        <w:rPr/>
      </w:pPr>
      <w:r>
        <w:rPr/>
        <w:t>“</w:t>
      </w:r>
      <w:r>
        <w:rPr>
          <w:rFonts w:ascii="Times" w:hAnsi="Times"/>
          <w:sz w:val="24"/>
        </w:rPr>
        <w:t>2029 Term Credit Facility” means the credit facility for the 2029 Term Loans described in Section 1.2(a) hereof.</w:t>
      </w:r>
    </w:p>
    <w:p>
      <w:pPr>
        <w:pStyle w:val="TextBody"/>
        <w:bidi w:val="0"/>
        <w:spacing w:before="240" w:after="0"/>
        <w:ind w:left="0" w:right="0" w:firstLine="720"/>
        <w:jc w:val="both"/>
        <w:rPr/>
      </w:pPr>
      <w:r>
        <w:rPr/>
        <w:t>“</w:t>
      </w:r>
      <w:r>
        <w:rPr>
          <w:rFonts w:ascii="Times" w:hAnsi="Times"/>
          <w:sz w:val="24"/>
        </w:rPr>
        <w:t>2029 Term Loan” is defined in Section 1.2(a) hereof.</w:t>
      </w:r>
    </w:p>
    <w:p>
      <w:pPr>
        <w:pStyle w:val="TextBody"/>
        <w:bidi w:val="0"/>
        <w:spacing w:before="240" w:after="0"/>
        <w:ind w:left="0" w:right="0" w:firstLine="720"/>
        <w:jc w:val="both"/>
        <w:rPr/>
      </w:pPr>
      <w:r>
        <w:rPr/>
        <w:t>“</w:t>
      </w:r>
      <w:r>
        <w:rPr>
          <w:rFonts w:ascii="Times" w:hAnsi="Times"/>
          <w:sz w:val="24"/>
        </w:rPr>
        <w:t xml:space="preserve">2029 Term Loan Commitment” means, as to any Lender, the obligation of such Lender to make its 2029 Term Loan on the Closing Date </w:t>
      </w:r>
      <w:bookmarkStart w:id="2355" w:name="_cp_change_393"/>
      <w:bookmarkEnd w:id="2355"/>
      <w:r>
        <w:rPr>
          <w:rFonts w:ascii="Times" w:hAnsi="Times"/>
          <w:color w:val="0000FF"/>
          <w:sz w:val="24"/>
          <w:u w:val="single"/>
        </w:rPr>
        <w:t xml:space="preserve">or the Second Amendment Effective Date, as applicable, </w:t>
      </w:r>
      <w:r>
        <w:rPr>
          <w:rFonts w:ascii="Times" w:hAnsi="Times"/>
          <w:sz w:val="24"/>
        </w:rPr>
        <w:t xml:space="preserve">in the principal amount not to exceed the amount set forth opposite such Lender’s name under the heading 2029 Term Loan Commitment on Schedule I attached hereto and made a part hereof. </w:t>
      </w:r>
    </w:p>
    <w:p>
      <w:pPr>
        <w:pStyle w:val="TextBody"/>
        <w:bidi w:val="0"/>
        <w:spacing w:before="240" w:after="0"/>
        <w:ind w:left="0" w:right="0" w:firstLine="720"/>
        <w:jc w:val="both"/>
        <w:rPr/>
      </w:pPr>
      <w:r>
        <w:rPr/>
        <w:t>“</w:t>
      </w:r>
      <w:r>
        <w:rPr>
          <w:rFonts w:ascii="Times" w:hAnsi="Times"/>
          <w:sz w:val="24"/>
        </w:rPr>
        <w:t xml:space="preserve">2029 Term Loan Lenders” means </w:t>
      </w:r>
      <w:bookmarkStart w:id="2356" w:name="_Hlk65770259"/>
      <w:bookmarkEnd w:id="2356"/>
      <w:r>
        <w:rPr>
          <w:rFonts w:ascii="Times" w:hAnsi="Times"/>
          <w:sz w:val="24"/>
        </w:rPr>
        <w:t>each Lender hereunder with a 2029 Term Loan Commitment or holding a 2029 Term Loan, including each assignee Lender pursuant to Section 12.12 hereof.</w:t>
      </w:r>
    </w:p>
    <w:p>
      <w:pPr>
        <w:pStyle w:val="TextBody"/>
        <w:bidi w:val="0"/>
        <w:spacing w:before="240" w:after="0"/>
        <w:ind w:left="0" w:right="0" w:firstLine="720"/>
        <w:jc w:val="both"/>
        <w:rPr/>
      </w:pPr>
      <w:r>
        <w:rPr>
          <w:shd w:fill="FFFFFF" w:val="clear"/>
        </w:rPr>
        <w:t>“</w:t>
      </w:r>
      <w:r>
        <w:rPr>
          <w:rFonts w:ascii="Times" w:hAnsi="Times"/>
          <w:sz w:val="24"/>
          <w:shd w:fill="FFFFFF" w:val="clear"/>
        </w:rPr>
        <w:t>2029 Term Loan Percentage” means for each 2029 Term Loan Lender, the percentage of the 2029 Term Loan Commitments represented by such 2029 Term Loan Lender’s 2029 Term Loan Commitment, or if the 2029 Term Loan Commitments have been terminated or have expired, the percentage held by such 2029 Term Loan Lender of the aggregate amount of all 2029 Term Loans then outstanding.  </w:t>
      </w:r>
      <w:r>
        <w:rPr>
          <w:rFonts w:ascii="Times" w:hAnsi="Times"/>
          <w:sz w:val="24"/>
        </w:rPr>
        <w:t xml:space="preserve">The initial 2029 Term Loan Percentage of each Lender in respect of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w:hAnsi="Times"/>
          <w:sz w:val="24"/>
        </w:rPr>
        <w:t xml:space="preserve">2029 Term Credit Facility is set forth opposite the name of such Lender on </w:t>
      </w:r>
      <w:r>
        <w:rPr>
          <w:rFonts w:ascii="Times" w:hAnsi="Times"/>
          <w:sz w:val="24"/>
          <w:u w:val="single"/>
        </w:rPr>
        <w:t>Schedule 1</w:t>
      </w:r>
      <w:r>
        <w:rPr>
          <w:rFonts w:ascii="Times New Roman;Times;serif" w:hAnsi="Times New Roman;Times;serif"/>
          <w:sz w:val="24"/>
        </w:rPr>
        <w:t xml:space="preserve"> </w:t>
      </w:r>
      <w:r>
        <w:rPr>
          <w:rFonts w:ascii="Times" w:hAnsi="Times"/>
          <w:sz w:val="24"/>
        </w:rPr>
        <w:t>or in the Assignment and Assumption pursuant to which such Lender becomes a party hereto, as applicable.</w:t>
      </w:r>
    </w:p>
    <w:p>
      <w:pPr>
        <w:pStyle w:val="TextBody"/>
        <w:bidi w:val="0"/>
        <w:spacing w:before="240" w:after="0"/>
        <w:ind w:left="0" w:right="0" w:firstLine="720"/>
        <w:jc w:val="both"/>
        <w:rPr>
          <w:color w:val="0000FF"/>
          <w:u w:val="single"/>
        </w:rPr>
      </w:pPr>
      <w:bookmarkStart w:id="2357" w:name="_cp_change_395"/>
      <w:bookmarkEnd w:id="2357"/>
      <w:r>
        <w:rPr>
          <w:color w:val="0000FF"/>
          <w:u w:val="single"/>
        </w:rPr>
        <w:t>“</w:t>
      </w:r>
      <w:r>
        <w:rPr>
          <w:rFonts w:ascii="Times" w:hAnsi="Times"/>
          <w:color w:val="0000FF"/>
          <w:sz w:val="24"/>
          <w:u w:val="single"/>
        </w:rPr>
        <w:t>2030 Aggregate Term Facility Amount” means $125,000,000.</w:t>
      </w:r>
      <w:bookmarkStart w:id="2358" w:name="_cp_change_394"/>
      <w:bookmarkEnd w:id="2358"/>
    </w:p>
    <w:p>
      <w:pPr>
        <w:pStyle w:val="TextBody"/>
        <w:bidi w:val="0"/>
        <w:spacing w:before="240" w:after="0"/>
        <w:ind w:left="0" w:right="0" w:firstLine="720"/>
        <w:jc w:val="both"/>
        <w:rPr>
          <w:color w:val="0000FF"/>
          <w:u w:val="single"/>
        </w:rPr>
      </w:pPr>
      <w:bookmarkStart w:id="2359" w:name="_cp_change_397"/>
      <w:bookmarkEnd w:id="2359"/>
      <w:r>
        <w:rPr>
          <w:color w:val="0000FF"/>
          <w:u w:val="single"/>
        </w:rPr>
        <w:t>“</w:t>
      </w:r>
      <w:r>
        <w:rPr>
          <w:rFonts w:ascii="Times" w:hAnsi="Times"/>
          <w:color w:val="0000FF"/>
          <w:sz w:val="24"/>
          <w:u w:val="single"/>
        </w:rPr>
        <w:t>2030 Term Credit Facility” means the credit facility for the 2030 Term Loans described in Section 1.2(b) hereof.</w:t>
      </w:r>
      <w:bookmarkStart w:id="2360" w:name="_cp_change_396"/>
      <w:bookmarkEnd w:id="2360"/>
    </w:p>
    <w:p>
      <w:pPr>
        <w:pStyle w:val="TextBody"/>
        <w:bidi w:val="0"/>
        <w:spacing w:before="240" w:after="0"/>
        <w:ind w:left="0" w:right="0" w:firstLine="720"/>
        <w:jc w:val="both"/>
        <w:rPr>
          <w:color w:val="0000FF"/>
          <w:u w:val="single"/>
        </w:rPr>
      </w:pPr>
      <w:bookmarkStart w:id="2361" w:name="_cp_change_399"/>
      <w:bookmarkEnd w:id="2361"/>
      <w:r>
        <w:rPr>
          <w:color w:val="0000FF"/>
          <w:u w:val="single"/>
        </w:rPr>
        <w:t>“</w:t>
      </w:r>
      <w:r>
        <w:rPr>
          <w:rFonts w:ascii="Times" w:hAnsi="Times"/>
          <w:color w:val="0000FF"/>
          <w:sz w:val="24"/>
          <w:u w:val="single"/>
        </w:rPr>
        <w:t>2030 Term Loan” is defined in Section 1.2(b) hereof.</w:t>
      </w:r>
      <w:bookmarkStart w:id="2362" w:name="_cp_change_398"/>
      <w:bookmarkEnd w:id="2362"/>
    </w:p>
    <w:p>
      <w:pPr>
        <w:pStyle w:val="TextBody"/>
        <w:bidi w:val="0"/>
        <w:spacing w:before="240" w:after="0"/>
        <w:ind w:left="0" w:right="0" w:firstLine="720"/>
        <w:jc w:val="both"/>
        <w:rPr>
          <w:color w:val="0000FF"/>
          <w:u w:val="single"/>
        </w:rPr>
      </w:pPr>
      <w:bookmarkStart w:id="2363" w:name="_cp_change_401"/>
      <w:bookmarkEnd w:id="2363"/>
      <w:r>
        <w:rPr>
          <w:color w:val="0000FF"/>
          <w:u w:val="single"/>
        </w:rPr>
        <w:t>“</w:t>
      </w:r>
      <w:r>
        <w:rPr>
          <w:rFonts w:ascii="Times" w:hAnsi="Times"/>
          <w:color w:val="0000FF"/>
          <w:sz w:val="24"/>
          <w:u w:val="single"/>
        </w:rPr>
        <w:t xml:space="preserve">2030 Term Loan Commitment” means, as to any Lender, the obligation of such Lender to make its 2030 Term Loan on the Second Amendment Effective Date in the principal amount not to exceed the amount set forth opposite such Lender’s name under the heading 2030 Term Loan Commitment on Schedule I attached hereto and made a part hereof. </w:t>
      </w:r>
      <w:bookmarkStart w:id="2364" w:name="_cp_change_400"/>
      <w:bookmarkEnd w:id="2364"/>
    </w:p>
    <w:p>
      <w:pPr>
        <w:pStyle w:val="TextBody"/>
        <w:bidi w:val="0"/>
        <w:spacing w:before="240" w:after="0"/>
        <w:ind w:left="0" w:right="0" w:firstLine="720"/>
        <w:jc w:val="both"/>
        <w:rPr>
          <w:color w:val="0000FF"/>
          <w:u w:val="single"/>
        </w:rPr>
      </w:pPr>
      <w:bookmarkStart w:id="2365" w:name="_cp_change_403"/>
      <w:bookmarkEnd w:id="2365"/>
      <w:r>
        <w:rPr>
          <w:color w:val="0000FF"/>
          <w:u w:val="single"/>
        </w:rPr>
        <w:t>“</w:t>
      </w:r>
      <w:r>
        <w:rPr>
          <w:rFonts w:ascii="Times" w:hAnsi="Times"/>
          <w:color w:val="0000FF"/>
          <w:sz w:val="24"/>
          <w:u w:val="single"/>
        </w:rPr>
        <w:t>2030 Term Loan Lenders” means each Lender hereunder with a 2030 Term Loan Commitment or holding a 2030 Term Loan, including each assignee Lender pursuant to Section 12.12 hereof.</w:t>
      </w:r>
      <w:bookmarkStart w:id="2366" w:name="_cp_change_402"/>
      <w:bookmarkEnd w:id="2366"/>
    </w:p>
    <w:p>
      <w:pPr>
        <w:pStyle w:val="TextBody"/>
        <w:bidi w:val="0"/>
        <w:spacing w:before="240" w:after="0"/>
        <w:ind w:left="0" w:right="0" w:firstLine="720"/>
        <w:jc w:val="both"/>
        <w:rPr/>
      </w:pPr>
      <w:bookmarkStart w:id="2367" w:name="_cp_change_405"/>
      <w:bookmarkEnd w:id="2367"/>
      <w:r>
        <w:rPr>
          <w:color w:val="0000FF"/>
          <w:u w:val="single"/>
          <w:shd w:fill="FFFFFF" w:val="clear"/>
        </w:rPr>
        <w:t>“</w:t>
      </w:r>
      <w:r>
        <w:rPr>
          <w:rFonts w:ascii="Times" w:hAnsi="Times"/>
          <w:color w:val="0000FF"/>
          <w:sz w:val="24"/>
          <w:u w:val="single"/>
          <w:shd w:fill="FFFFFF" w:val="clear"/>
        </w:rPr>
        <w:t>2030 Term Loan Percentage” means for each 2030 Term Loan Lender, the percentage of the 2030 Term Loan Commitments represented by such 2030 Term Loan Lender’s 2030 Term Loan Commitment, or if the 2030 Term Loan Commitments have been terminated or have expired, the percentage held by such 2030 Term Loan Lender of the aggregate amount of all 2030 Term Loans then outstanding.  </w:t>
      </w:r>
      <w:r>
        <w:rPr>
          <w:rFonts w:ascii="Times" w:hAnsi="Times"/>
          <w:color w:val="0000FF"/>
          <w:sz w:val="24"/>
          <w:u w:val="single"/>
        </w:rPr>
        <w:t>The initial 2030 Term Loan Percentage of each Lender in respect of the 2030 Term Credit Facility is set forth opposite the name of such Lender on Schedule I or in the Assignment and Assumption pursuant to which such Lender becomes a party hereto, as applicable.</w:t>
      </w:r>
      <w:bookmarkStart w:id="2368" w:name="_cp_change_404"/>
      <w:bookmarkEnd w:id="2368"/>
    </w:p>
    <w:p>
      <w:pPr>
        <w:pStyle w:val="TextBody"/>
        <w:bidi w:val="0"/>
        <w:spacing w:before="240" w:after="0"/>
        <w:ind w:left="0" w:right="0" w:firstLine="720"/>
        <w:jc w:val="both"/>
        <w:rPr/>
      </w:pPr>
      <w:r>
        <w:rPr/>
        <w:t>“</w:t>
      </w:r>
      <w:r>
        <w:rPr>
          <w:rFonts w:ascii="Times" w:hAnsi="Times"/>
          <w:sz w:val="24"/>
        </w:rPr>
        <w:t>Additional Guarantor Supplement” is defined in Section 4.2 hereof.</w:t>
      </w:r>
    </w:p>
    <w:p>
      <w:pPr>
        <w:pStyle w:val="TextBody"/>
        <w:bidi w:val="0"/>
        <w:spacing w:before="240" w:after="0"/>
        <w:ind w:left="0" w:right="0" w:firstLine="720"/>
        <w:jc w:val="both"/>
        <w:rPr>
          <w:color w:val="FF0000"/>
        </w:rPr>
      </w:pPr>
      <w:bookmarkStart w:id="2369" w:name="_cp_change_407"/>
      <w:bookmarkEnd w:id="2369"/>
      <w:r>
        <w:rPr>
          <w:color w:val="FF0000"/>
        </w:rPr>
        <w:t>“</w:t>
      </w:r>
      <w:r>
        <w:rPr>
          <w:rFonts w:ascii="Times" w:hAnsi="Times"/>
          <w:color w:val="FF0000"/>
          <w:sz w:val="24"/>
        </w:rPr>
        <w:t>Adjusted Daily Simple SOFR” means with respect to a Daily Simple SOFR Rate Loan, the per annum rate equal to the sum of (a) Daily Simple SOFR and (b) the applicable SOFR Index Adjustment; provided, that if Adjusted Daily Simple SOFR as so determined would be less than the Floor, such rate shall be deemed to be equal to the Floor for purposes of this Agreement.</w:t>
      </w:r>
      <w:bookmarkStart w:id="2370" w:name="_cp_change_406"/>
      <w:bookmarkEnd w:id="2370"/>
    </w:p>
    <w:p>
      <w:pPr>
        <w:pStyle w:val="TextBody"/>
        <w:bidi w:val="0"/>
        <w:spacing w:before="240" w:after="0"/>
        <w:ind w:left="0" w:right="0" w:firstLine="720"/>
        <w:jc w:val="both"/>
        <w:rPr/>
      </w:pPr>
      <w:r>
        <w:rPr/>
        <w:t>“</w:t>
      </w:r>
      <w:r>
        <w:rPr>
          <w:rFonts w:ascii="Times" w:hAnsi="Times"/>
          <w:sz w:val="24"/>
        </w:rPr>
        <w:t>Adjusted EBITDA” means EBITDA minus the Annual Capital Expenditure Reserve.</w:t>
      </w:r>
    </w:p>
    <w:p>
      <w:pPr>
        <w:pStyle w:val="TextBody"/>
        <w:bidi w:val="0"/>
        <w:spacing w:before="240" w:after="0"/>
        <w:ind w:left="0" w:right="0" w:firstLine="720"/>
        <w:jc w:val="both"/>
        <w:rPr/>
      </w:pPr>
      <w:r>
        <w:rPr/>
        <w:t>“</w:t>
      </w:r>
      <w:r>
        <w:rPr>
          <w:rFonts w:ascii="Times" w:hAnsi="Times"/>
          <w:sz w:val="24"/>
        </w:rPr>
        <w:t>Adjusted FFO” means for any period, “funds from operations” as defined in accordance with resolutions adopted by the Board of Governors of the National Association of Real Estate Investment Trusts (NAREIT) as in effect from time to time; provided, that Adjusted FFO shall (i) be based on net income after payment of distributions necessary to pay holders of preferred stock of the Borrower, and (ii) at all times exclude (a) charges for impairment losses from property sales, (b) stock-based compensation, (c) write-offs or reserves of straight-line rent related to sold assets, (d) amortization of debt costs, (e) non-recurring charges, including, without limitation, acquisition expenses, non-cash charges related to the write-off of deferred equity and financing costs and one-time charges related to the transition to self-management and (f) other non-cash items as mutually agreed upon by the Borrower and Administrative Agent.  The Borrower’s Ownership Share of Adjusted FFO of its Unconsolidated Affiliates will be included when determining Adjusted FFO of the Borrower and its Subsidiaries, subject to the adjustments set forth in this definition.</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color w:val="FF0000"/>
        </w:rPr>
      </w:pPr>
      <w:bookmarkStart w:id="2371" w:name="_cp_change_409"/>
      <w:bookmarkEnd w:id="2371"/>
      <w:r>
        <w:rPr>
          <w:color w:val="FF0000"/>
        </w:rPr>
        <w:t>“</w:t>
      </w:r>
      <w:r>
        <w:rPr>
          <w:rFonts w:ascii="Times" w:hAnsi="Times"/>
          <w:color w:val="FF0000"/>
          <w:sz w:val="24"/>
        </w:rPr>
        <w:t>Adjusted Term SOFR” means for any Available Tenor and Interest Period with respect to a Term SOFR Rate Loan, the per annum rate equal to the sum of (a) Term SOFR for such Interest Period and (b) the SOFR Index Adjustment; provided, that if Adjusted Term SOFR as so determined would be less than the Floor, such rate shall be deemed to be equal to the Floor for purposes of this Agreement.</w:t>
      </w:r>
      <w:bookmarkStart w:id="2372" w:name="_cp_change_408"/>
      <w:bookmarkEnd w:id="2372"/>
    </w:p>
    <w:p>
      <w:pPr>
        <w:pStyle w:val="TextBody"/>
        <w:bidi w:val="0"/>
        <w:spacing w:before="240" w:after="0"/>
        <w:ind w:left="0" w:right="0" w:firstLine="720"/>
        <w:jc w:val="both"/>
        <w:rPr/>
      </w:pPr>
      <w:r>
        <w:rPr/>
        <w:t>“</w:t>
      </w:r>
      <w:r>
        <w:rPr>
          <w:rFonts w:ascii="Times" w:hAnsi="Times"/>
          <w:sz w:val="24"/>
        </w:rPr>
        <w:t>Administrative Agent” means KeyBank National Association, in its capacity as Administrative Agent hereunder, and any successor in such capacity pursuant to Section 11.6 hereof.</w:t>
      </w:r>
    </w:p>
    <w:p>
      <w:pPr>
        <w:pStyle w:val="TextBody"/>
        <w:bidi w:val="0"/>
        <w:spacing w:before="240" w:after="0"/>
        <w:ind w:left="0" w:right="0" w:firstLine="720"/>
        <w:jc w:val="both"/>
        <w:rPr/>
      </w:pPr>
      <w:r>
        <w:rPr/>
        <w:t>“</w:t>
      </w:r>
      <w:r>
        <w:rPr>
          <w:rFonts w:ascii="Times" w:hAnsi="Times"/>
          <w:sz w:val="24"/>
        </w:rPr>
        <w:t>Administrative Questionnaire” means an Administrative Questionnaire in a form supplied by the Administrative Agent.</w:t>
      </w:r>
    </w:p>
    <w:p>
      <w:pPr>
        <w:pStyle w:val="TextBody"/>
        <w:bidi w:val="0"/>
        <w:spacing w:before="240" w:after="0"/>
        <w:ind w:left="0" w:right="0" w:firstLine="720"/>
        <w:jc w:val="both"/>
        <w:rPr/>
      </w:pPr>
      <w:r>
        <w:rPr/>
        <w:t>“</w:t>
      </w:r>
      <w:r>
        <w:rPr>
          <w:rFonts w:ascii="Times" w:hAnsi="Times"/>
          <w:sz w:val="24"/>
        </w:rPr>
        <w:t>Affected Financial Institution” means (a) any EEA Financial Institution or (b) any UK Financial Institution.</w:t>
      </w:r>
    </w:p>
    <w:p>
      <w:pPr>
        <w:pStyle w:val="TextBody"/>
        <w:bidi w:val="0"/>
        <w:spacing w:before="240" w:after="0"/>
        <w:ind w:left="0" w:right="0" w:firstLine="720"/>
        <w:jc w:val="both"/>
        <w:rPr/>
      </w:pPr>
      <w:r>
        <w:rPr/>
        <w:t>“</w:t>
      </w:r>
      <w:r>
        <w:rPr>
          <w:rFonts w:ascii="Times" w:hAnsi="Times"/>
          <w:sz w:val="24"/>
        </w:rPr>
        <w:t>Affected Lender” is defined in Section 1.13 hereof.</w:t>
      </w:r>
    </w:p>
    <w:p>
      <w:pPr>
        <w:pStyle w:val="TextBody"/>
        <w:bidi w:val="0"/>
        <w:spacing w:before="240" w:after="0"/>
        <w:ind w:left="0" w:right="0" w:firstLine="720"/>
        <w:jc w:val="both"/>
        <w:rPr/>
      </w:pPr>
      <w:r>
        <w:rPr/>
        <w:t>“</w:t>
      </w:r>
      <w:r>
        <w:rPr>
          <w:rFonts w:ascii="Times" w:hAnsi="Times"/>
          <w:sz w:val="24"/>
        </w:rPr>
        <w:t>Affiliate” 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provided that, in any event for purposes of this definition, any Person that owns, directly or indirectly, 20% or more of the securities having the ordinary voting power for the election of directors or governing body of a corporation or 20% or more of the partnership or other ownership interest of any other Person (other than as a limited partner of such other Person) will be deemed to control such corporation or other Person.</w:t>
      </w:r>
    </w:p>
    <w:p>
      <w:pPr>
        <w:pStyle w:val="TextBody"/>
        <w:bidi w:val="0"/>
        <w:spacing w:before="240" w:after="0"/>
        <w:ind w:left="0" w:right="0" w:firstLine="720"/>
        <w:jc w:val="both"/>
        <w:rPr/>
      </w:pPr>
      <w:r>
        <w:rPr/>
        <w:t>“</w:t>
      </w:r>
      <w:r>
        <w:rPr>
          <w:rFonts w:ascii="Times" w:hAnsi="Times"/>
          <w:sz w:val="24"/>
        </w:rPr>
        <w:t>Agreement” means this Credit Agreement, as the same may be amended, modified, restated or supplemented from time to time pursuant to the terms hereof.</w:t>
      </w:r>
    </w:p>
    <w:p>
      <w:pPr>
        <w:pStyle w:val="TextBody"/>
        <w:bidi w:val="0"/>
        <w:spacing w:before="240" w:after="0"/>
        <w:ind w:left="0" w:right="0" w:firstLine="720"/>
        <w:jc w:val="both"/>
        <w:rPr/>
      </w:pPr>
      <w:r>
        <w:rPr/>
        <w:t>“</w:t>
      </w:r>
      <w:r>
        <w:rPr>
          <w:rFonts w:ascii="Times" w:hAnsi="Times"/>
          <w:sz w:val="24"/>
        </w:rPr>
        <w:t>Alpine” means Alpine Income Property Trust, Inc, a Maryland corporation.</w:t>
      </w:r>
    </w:p>
    <w:p>
      <w:pPr>
        <w:pStyle w:val="TextBody"/>
        <w:bidi w:val="0"/>
        <w:spacing w:before="240" w:after="0"/>
        <w:ind w:left="0" w:right="0" w:firstLine="720"/>
        <w:jc w:val="both"/>
        <w:rPr/>
      </w:pPr>
      <w:r>
        <w:rPr/>
        <w:t>“</w:t>
      </w:r>
      <w:r>
        <w:rPr>
          <w:rFonts w:ascii="Times" w:hAnsi="Times"/>
          <w:sz w:val="24"/>
        </w:rPr>
        <w:t>Annual Capital Expenditure Reserve” means the sum of (a) an amount equal to the product of (i) $0.15 multiplied by (ii) the aggregate gross leasable area, determined on a square footage basis, for retail properties, Retail Mixed-Use Properties and industrial properties, plus (b) an amount equal to the product of (i) $0.50 multiplied by (ii) the aggregate gross leasable area, determined on a square footage basis, for all other properties; provided, however, that this definition of Annual Capital Expenditure Reserve shall not apply to any Land Assets or any Ground Leases so long as the Borrower is not obligated for such Capital Expenditures.</w:t>
      </w:r>
    </w:p>
    <w:p>
      <w:pPr>
        <w:pStyle w:val="TextBody"/>
        <w:bidi w:val="0"/>
        <w:spacing w:before="240" w:after="0"/>
        <w:ind w:left="0" w:right="0" w:firstLine="720"/>
        <w:jc w:val="both"/>
        <w:rPr/>
      </w:pPr>
      <w:r>
        <w:rPr/>
        <w:t>“</w:t>
      </w:r>
      <w:r>
        <w:rPr>
          <w:rFonts w:ascii="Times" w:hAnsi="Times"/>
          <w:sz w:val="24"/>
        </w:rPr>
        <w:t>Anti-Corruption Law” means the FCPA and any law, rule or regulation of any jurisdiction concerning or relating to bribery or corruption that are applicable to the Borrower or any Subsidiary or Affiliate.</w:t>
      </w:r>
    </w:p>
    <w:p>
      <w:pPr>
        <w:pStyle w:val="TextBody"/>
        <w:bidi w:val="0"/>
        <w:spacing w:before="240" w:after="0"/>
        <w:ind w:left="0" w:right="0" w:firstLine="720"/>
        <w:jc w:val="both"/>
        <w:rPr/>
      </w:pPr>
      <w:r>
        <w:rPr/>
        <w:t>“</w:t>
      </w:r>
      <w:r>
        <w:rPr>
          <w:rFonts w:ascii="Times" w:hAnsi="Times"/>
          <w:sz w:val="24"/>
        </w:rPr>
        <w:t xml:space="preserve">Applicable Margin” means, with respect to the 2029 </w:t>
      </w:r>
      <w:bookmarkStart w:id="2373" w:name="_cp_change_410"/>
      <w:bookmarkEnd w:id="2373"/>
      <w:r>
        <w:rPr>
          <w:rFonts w:ascii="Times" w:hAnsi="Times"/>
          <w:color w:val="0000FF"/>
          <w:sz w:val="24"/>
          <w:u w:val="single"/>
        </w:rPr>
        <w:t xml:space="preserve">Term Loans and the 2030 </w:t>
      </w:r>
      <w:r>
        <w:rPr>
          <w:rFonts w:ascii="Times" w:hAnsi="Times"/>
          <w:sz w:val="24"/>
        </w:rPr>
        <w:t xml:space="preserve">Term Loans, until the first Pricing Date, the rates shown opposite Level II below, and thereafter, from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one Pricing Date to the next the rates per annum determined in accordance with the following schedule:</w:t>
      </w:r>
    </w:p>
    <w:tbl>
      <w:tblPr>
        <w:tblW w:w="10205" w:type="dxa"/>
        <w:jc w:val="center"/>
        <w:tblInd w:w="0" w:type="dxa"/>
        <w:tblLayout w:type="fixed"/>
        <w:tblCellMar>
          <w:top w:w="0" w:type="dxa"/>
          <w:left w:w="0" w:type="dxa"/>
          <w:bottom w:w="0" w:type="dxa"/>
          <w:right w:w="0" w:type="dxa"/>
        </w:tblCellMar>
      </w:tblPr>
      <w:tblGrid>
        <w:gridCol w:w="766"/>
        <w:gridCol w:w="3751"/>
        <w:gridCol w:w="2795"/>
        <w:gridCol w:w="2893"/>
      </w:tblGrid>
      <w:tr>
        <w:trPr/>
        <w:tc>
          <w:tcPr>
            <w:tcW w:w="766" w:type="dxa"/>
            <w:tcBorders/>
            <w:vAlign w:val="center"/>
          </w:tcPr>
          <w:p>
            <w:pPr>
              <w:pStyle w:val="TableHeading"/>
              <w:bidi w:val="0"/>
              <w:spacing w:before="0" w:after="0"/>
              <w:ind w:left="0" w:right="0" w:hanging="0"/>
              <w:jc w:val="center"/>
              <w:rPr>
                <w:rFonts w:ascii="Times" w:hAnsi="Times"/>
                <w:b w:val="false"/>
                <w:smallCaps/>
                <w:sz w:val="24"/>
              </w:rPr>
            </w:pPr>
            <w:r>
              <w:rPr>
                <w:rFonts w:ascii="Times" w:hAnsi="Times"/>
                <w:b w:val="false"/>
                <w:smallCaps/>
                <w:sz w:val="24"/>
              </w:rPr>
              <w:t>Level</w:t>
            </w:r>
          </w:p>
        </w:tc>
        <w:tc>
          <w:tcPr>
            <w:tcW w:w="3751" w:type="dxa"/>
            <w:tcBorders/>
            <w:vAlign w:val="center"/>
          </w:tcPr>
          <w:p>
            <w:pPr>
              <w:pStyle w:val="TableHeading"/>
              <w:bidi w:val="0"/>
              <w:spacing w:before="0" w:after="0"/>
              <w:ind w:left="0" w:right="0" w:hanging="0"/>
              <w:jc w:val="center"/>
              <w:rPr>
                <w:rFonts w:ascii="Times" w:hAnsi="Times"/>
                <w:b w:val="false"/>
                <w:smallCaps/>
                <w:sz w:val="24"/>
              </w:rPr>
            </w:pPr>
            <w:r>
              <w:rPr>
                <w:rFonts w:ascii="Times" w:hAnsi="Times"/>
                <w:b w:val="false"/>
                <w:smallCaps/>
                <w:sz w:val="24"/>
              </w:rPr>
              <w:t>Total Indebtedness to Total Asset Value Ratio for Such Pricing Date</w:t>
            </w:r>
          </w:p>
        </w:tc>
        <w:tc>
          <w:tcPr>
            <w:tcW w:w="2795" w:type="dxa"/>
            <w:tcBorders/>
            <w:vAlign w:val="center"/>
          </w:tcPr>
          <w:p>
            <w:pPr>
              <w:pStyle w:val="TableHeading"/>
              <w:bidi w:val="0"/>
              <w:spacing w:before="0" w:after="0"/>
              <w:ind w:left="0" w:right="0" w:hanging="0"/>
              <w:jc w:val="center"/>
              <w:rPr>
                <w:rFonts w:ascii="Times" w:hAnsi="Times"/>
                <w:b w:val="false"/>
                <w:smallCaps/>
                <w:sz w:val="24"/>
              </w:rPr>
            </w:pPr>
            <w:r>
              <w:rPr>
                <w:rFonts w:ascii="Times" w:hAnsi="Times"/>
                <w:b w:val="false"/>
                <w:smallCaps/>
                <w:sz w:val="24"/>
              </w:rPr>
              <w:t>Applicable Margin for Base Rate Loans shall be:</w:t>
            </w:r>
          </w:p>
        </w:tc>
        <w:tc>
          <w:tcPr>
            <w:tcW w:w="2893" w:type="dxa"/>
            <w:tcBorders/>
            <w:vAlign w:val="center"/>
          </w:tcPr>
          <w:p>
            <w:pPr>
              <w:pStyle w:val="TableHeading"/>
              <w:bidi w:val="0"/>
              <w:spacing w:before="0" w:after="0"/>
              <w:ind w:left="0" w:right="0" w:hanging="0"/>
              <w:jc w:val="center"/>
              <w:rPr>
                <w:rFonts w:ascii="Times" w:hAnsi="Times"/>
                <w:b w:val="false"/>
                <w:smallCaps/>
                <w:sz w:val="24"/>
              </w:rPr>
            </w:pPr>
            <w:r>
              <w:rPr>
                <w:rFonts w:ascii="Times" w:hAnsi="Times"/>
                <w:b w:val="false"/>
                <w:smallCaps/>
                <w:sz w:val="24"/>
              </w:rPr>
              <w:t>Applicable Margin for SOFR Rate Loans Shall Be:</w:t>
            </w:r>
          </w:p>
        </w:tc>
      </w:tr>
      <w:tr>
        <w:trPr/>
        <w:tc>
          <w:tcPr>
            <w:tcW w:w="766"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I</w:t>
            </w:r>
          </w:p>
        </w:tc>
        <w:tc>
          <w:tcPr>
            <w:tcW w:w="3751" w:type="dxa"/>
            <w:tcBorders/>
            <w:vAlign w:val="center"/>
          </w:tcPr>
          <w:p>
            <w:pPr>
              <w:pStyle w:val="TableContents"/>
              <w:bidi w:val="0"/>
              <w:spacing w:before="240" w:after="0"/>
              <w:ind w:left="0" w:right="0" w:hanging="0"/>
              <w:jc w:val="both"/>
              <w:rPr>
                <w:rFonts w:ascii="Times" w:hAnsi="Times"/>
                <w:sz w:val="24"/>
              </w:rPr>
            </w:pPr>
            <w:r>
              <w:rPr>
                <w:rFonts w:ascii="Times" w:hAnsi="Times"/>
                <w:sz w:val="24"/>
              </w:rPr>
              <w:t>Less than or equal to 0.40 to 1.00</w:t>
            </w:r>
          </w:p>
        </w:tc>
        <w:tc>
          <w:tcPr>
            <w:tcW w:w="2795"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0.20%</w:t>
            </w:r>
          </w:p>
        </w:tc>
        <w:tc>
          <w:tcPr>
            <w:tcW w:w="2893"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1.20%</w:t>
            </w:r>
          </w:p>
        </w:tc>
      </w:tr>
      <w:tr>
        <w:trPr/>
        <w:tc>
          <w:tcPr>
            <w:tcW w:w="766"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II</w:t>
            </w:r>
          </w:p>
        </w:tc>
        <w:tc>
          <w:tcPr>
            <w:tcW w:w="3751" w:type="dxa"/>
            <w:tcBorders/>
            <w:vAlign w:val="center"/>
          </w:tcPr>
          <w:p>
            <w:pPr>
              <w:pStyle w:val="TableContents"/>
              <w:bidi w:val="0"/>
              <w:spacing w:before="240" w:after="0"/>
              <w:ind w:left="0" w:right="0" w:hanging="0"/>
              <w:jc w:val="both"/>
              <w:rPr>
                <w:rFonts w:ascii="Times" w:hAnsi="Times"/>
                <w:sz w:val="24"/>
              </w:rPr>
            </w:pPr>
            <w:r>
              <w:rPr>
                <w:rFonts w:ascii="Times" w:hAnsi="Times"/>
                <w:sz w:val="24"/>
              </w:rPr>
              <w:t>Less than or equal to 0.45 to 1.00, but greater than 0.40 to 1.00</w:t>
            </w:r>
          </w:p>
        </w:tc>
        <w:tc>
          <w:tcPr>
            <w:tcW w:w="2795"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0.30%</w:t>
            </w:r>
          </w:p>
        </w:tc>
        <w:tc>
          <w:tcPr>
            <w:tcW w:w="2893"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1.30%</w:t>
            </w:r>
          </w:p>
        </w:tc>
      </w:tr>
      <w:tr>
        <w:trPr/>
        <w:tc>
          <w:tcPr>
            <w:tcW w:w="766"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III</w:t>
            </w:r>
          </w:p>
        </w:tc>
        <w:tc>
          <w:tcPr>
            <w:tcW w:w="3751" w:type="dxa"/>
            <w:tcBorders/>
            <w:vAlign w:val="center"/>
          </w:tcPr>
          <w:p>
            <w:pPr>
              <w:pStyle w:val="TableContents"/>
              <w:bidi w:val="0"/>
              <w:spacing w:before="240" w:after="0"/>
              <w:ind w:left="0" w:right="0" w:hanging="0"/>
              <w:jc w:val="both"/>
              <w:rPr>
                <w:rFonts w:ascii="Times" w:hAnsi="Times"/>
                <w:sz w:val="24"/>
              </w:rPr>
            </w:pPr>
            <w:r>
              <w:rPr>
                <w:rFonts w:ascii="Times" w:hAnsi="Times"/>
                <w:sz w:val="24"/>
              </w:rPr>
              <w:t>Less than or equal to 0.50 to 1.00, but greater than 0.45 to 1.00</w:t>
            </w:r>
          </w:p>
        </w:tc>
        <w:tc>
          <w:tcPr>
            <w:tcW w:w="2795"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0.45%</w:t>
            </w:r>
          </w:p>
        </w:tc>
        <w:tc>
          <w:tcPr>
            <w:tcW w:w="2893"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1.45%</w:t>
            </w:r>
          </w:p>
        </w:tc>
      </w:tr>
      <w:tr>
        <w:trPr/>
        <w:tc>
          <w:tcPr>
            <w:tcW w:w="766"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IV</w:t>
            </w:r>
          </w:p>
        </w:tc>
        <w:tc>
          <w:tcPr>
            <w:tcW w:w="3751" w:type="dxa"/>
            <w:tcBorders/>
            <w:vAlign w:val="center"/>
          </w:tcPr>
          <w:p>
            <w:pPr>
              <w:pStyle w:val="TableContents"/>
              <w:bidi w:val="0"/>
              <w:spacing w:before="240" w:after="0"/>
              <w:ind w:left="0" w:right="0" w:hanging="0"/>
              <w:jc w:val="both"/>
              <w:rPr>
                <w:rFonts w:ascii="Times" w:hAnsi="Times"/>
                <w:sz w:val="24"/>
              </w:rPr>
            </w:pPr>
            <w:r>
              <w:rPr>
                <w:rFonts w:ascii="Times" w:hAnsi="Times"/>
                <w:sz w:val="24"/>
              </w:rPr>
              <w:t>Less than or equal to 0.55 to 1.00, but greater than 0.50 to 1.00</w:t>
            </w:r>
          </w:p>
        </w:tc>
        <w:tc>
          <w:tcPr>
            <w:tcW w:w="2795"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0.60%</w:t>
            </w:r>
          </w:p>
        </w:tc>
        <w:tc>
          <w:tcPr>
            <w:tcW w:w="2893"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1.60%</w:t>
            </w:r>
          </w:p>
        </w:tc>
      </w:tr>
      <w:tr>
        <w:trPr/>
        <w:tc>
          <w:tcPr>
            <w:tcW w:w="766"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V</w:t>
            </w:r>
          </w:p>
        </w:tc>
        <w:tc>
          <w:tcPr>
            <w:tcW w:w="3751" w:type="dxa"/>
            <w:tcBorders/>
            <w:vAlign w:val="center"/>
          </w:tcPr>
          <w:p>
            <w:pPr>
              <w:pStyle w:val="TableContents"/>
              <w:bidi w:val="0"/>
              <w:spacing w:before="240" w:after="0"/>
              <w:ind w:left="0" w:right="0" w:hanging="0"/>
              <w:jc w:val="both"/>
              <w:rPr>
                <w:rFonts w:ascii="Times" w:hAnsi="Times"/>
                <w:sz w:val="24"/>
              </w:rPr>
            </w:pPr>
            <w:r>
              <w:rPr>
                <w:rFonts w:ascii="Times" w:hAnsi="Times"/>
                <w:sz w:val="24"/>
              </w:rPr>
              <w:t>Less than or equal to 0.60 to 1.00, but greater than 0.55 to 1.00</w:t>
            </w:r>
          </w:p>
        </w:tc>
        <w:tc>
          <w:tcPr>
            <w:tcW w:w="2795"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0.90%</w:t>
            </w:r>
          </w:p>
        </w:tc>
        <w:tc>
          <w:tcPr>
            <w:tcW w:w="2893"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1.90%</w:t>
            </w:r>
          </w:p>
        </w:tc>
      </w:tr>
      <w:tr>
        <w:trPr/>
        <w:tc>
          <w:tcPr>
            <w:tcW w:w="766"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VI</w:t>
            </w:r>
          </w:p>
        </w:tc>
        <w:tc>
          <w:tcPr>
            <w:tcW w:w="3751" w:type="dxa"/>
            <w:tcBorders/>
            <w:vAlign w:val="center"/>
          </w:tcPr>
          <w:p>
            <w:pPr>
              <w:pStyle w:val="TableContents"/>
              <w:bidi w:val="0"/>
              <w:spacing w:before="240" w:after="0"/>
              <w:ind w:left="0" w:right="0" w:hanging="0"/>
              <w:jc w:val="both"/>
              <w:rPr>
                <w:rFonts w:ascii="Times" w:hAnsi="Times"/>
                <w:sz w:val="24"/>
              </w:rPr>
            </w:pPr>
            <w:r>
              <w:rPr>
                <w:rFonts w:ascii="Times" w:hAnsi="Times"/>
                <w:sz w:val="24"/>
              </w:rPr>
              <w:t>Greater than 0.60 to 1.00</w:t>
            </w:r>
          </w:p>
        </w:tc>
        <w:tc>
          <w:tcPr>
            <w:tcW w:w="2795"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1.15%</w:t>
            </w:r>
          </w:p>
        </w:tc>
        <w:tc>
          <w:tcPr>
            <w:tcW w:w="2893" w:type="dxa"/>
            <w:tcBorders/>
            <w:vAlign w:val="center"/>
          </w:tcPr>
          <w:p>
            <w:pPr>
              <w:pStyle w:val="TableContents"/>
              <w:bidi w:val="0"/>
              <w:spacing w:before="240" w:after="0"/>
              <w:ind w:left="0" w:right="0" w:hanging="0"/>
              <w:jc w:val="center"/>
              <w:rPr>
                <w:rFonts w:ascii="Times" w:hAnsi="Times"/>
                <w:sz w:val="24"/>
              </w:rPr>
            </w:pPr>
            <w:r>
              <w:rPr>
                <w:rFonts w:ascii="Times" w:hAnsi="Times"/>
                <w:sz w:val="24"/>
              </w:rPr>
              <w:t>2.15%</w:t>
            </w:r>
          </w:p>
        </w:tc>
      </w:tr>
    </w:tbl>
    <w:p>
      <w:pPr>
        <w:pStyle w:val="TextBody"/>
        <w:bidi w:val="0"/>
        <w:spacing w:before="240" w:after="0"/>
        <w:ind w:left="0" w:right="0" w:hanging="0"/>
        <w:jc w:val="both"/>
        <w:rPr>
          <w:rFonts w:ascii="Times" w:hAnsi="Times"/>
          <w:sz w:val="24"/>
        </w:rPr>
      </w:pPr>
      <w:r>
        <w:rPr>
          <w:rFonts w:ascii="Times" w:hAnsi="Times"/>
          <w:sz w:val="24"/>
        </w:rPr>
        <w:t xml:space="preserve">For purposes hereof, the term “Pricing Date” means, for any fiscal quarter of the Borrower, the last date on which the Borrower’s most recent Compliance Certificate and financial statements (and, in the case of the year-end financial statements, audit report) for the fiscal quarter then ended are due, pursuant to Section 8.5 hereof.  The Applicable Margin shall be established based on the Total Indebtedness to Total Asset Value ratio for the most recently completed fiscal quarter and the Applicable Margin established on a Pricing Date shall remain in effect until the next Pricing Date.  If the Borrower has not delivered its Compliance Certificate and financial statements by the date the Compliance Certificate and financial statements (and, in the case of the year-end financial statements, audit report) are required to be delivered under Section 8.5 hereof, then until such Compliance Certificate and financial statements and/or audit report are delivered, the Applicable Margin shall be the highest Applicable Margin (i.e., Level VI shall apply).  If the Borrower subsequently delivers such Compliance Certificate and financial statements before the next Pricing Date, the Applicable Margin established by such late delivered Compliance Certificate and financial statements shall take effect from the date of delivery until the next Pricing Date.  In all other circumstances, the Applicable Margin established by such Compliance Certificate and financial statements shall be in effect from the Pricing Date that occurs immediately after the end of the fiscal quarter covered by such financial statements until the next Pricing Date.  The Borrower, Administrative Agent and Lenders understand that the applicable interest rate for the Obligations and certain fees set forth herein may be determined and/or adjusted from time to time based upon certain financial ratios and/or other information to be provided or certified to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Administrative Agent and Lenders by the Borrower (the "Borrower Information").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provided that no recalculation shall be done for any period that is more than 2 years earlier than the date of recalculation.  The Administrative Agent shall promptly notify the Borrower in writing of any additional interest and fees due because of such recalculation, and the Borrower shall pay such additional interest or fees due to the Administrative Agent, for the account of each Lender, within five (5) Business Days of receipt of such written notice.  Any recalculation of interest or fees required by this provision shall survive the termination of this Agreement, and this provision shall not in any way limit any of the Administrative Agent's or any Lender's other rights under this Agreement.  Each determination of the Applicable Margin made by the Administrative Agent in accordance with the foregoing shall be conclusive, absent manifest error, and binding on the Borrower and the Lenders if reasonably determined.  Any Incremental Revolving Loan and Incremental Term Loan shall bear interest at an “applicable margin” based upon the then determined Applicable Margin set forth in each Incremental Amendment for each Incremental Credit.</w:t>
      </w:r>
    </w:p>
    <w:p>
      <w:pPr>
        <w:pStyle w:val="TextBody"/>
        <w:bidi w:val="0"/>
        <w:spacing w:before="240" w:after="0"/>
        <w:ind w:left="0" w:right="0" w:firstLine="720"/>
        <w:jc w:val="both"/>
        <w:rPr/>
      </w:pPr>
      <w:r>
        <w:rPr/>
        <w:t>“</w:t>
      </w:r>
      <w:r>
        <w:rPr>
          <w:rFonts w:ascii="Times" w:hAnsi="Times"/>
          <w:sz w:val="24"/>
        </w:rPr>
        <w:t xml:space="preserve">Applicable Percentage” </w:t>
      </w:r>
      <w:r>
        <w:rPr>
          <w:rFonts w:ascii="Times" w:hAnsi="Times"/>
          <w:sz w:val="24"/>
          <w:shd w:fill="FFFFFF" w:val="clear"/>
        </w:rPr>
        <w:t xml:space="preserve">means, for any Lender, its 2029 </w:t>
      </w:r>
      <w:bookmarkStart w:id="2374" w:name="_cp_change_411"/>
      <w:bookmarkEnd w:id="2374"/>
      <w:r>
        <w:rPr>
          <w:rFonts w:ascii="Times" w:hAnsi="Times"/>
          <w:color w:val="0000FF"/>
          <w:sz w:val="24"/>
          <w:u w:val="single"/>
          <w:shd w:fill="FFFFFF" w:val="clear"/>
        </w:rPr>
        <w:t xml:space="preserve">Term Loan Percentage, 2030 </w:t>
      </w:r>
      <w:r>
        <w:rPr>
          <w:rFonts w:ascii="Times" w:hAnsi="Times"/>
          <w:sz w:val="24"/>
          <w:shd w:fill="FFFFFF" w:val="clear"/>
        </w:rPr>
        <w:t xml:space="preserve">Term Loan Percentage, Incremental Revolving Percentage, or Incremental Term Loan Percentage, as applicable; and where the term “Percentage” is applied on an aggregate basis, such aggregate percentage shall be calculated by aggregating the separate components of the 2029 Term Loan Percentage, </w:t>
      </w:r>
      <w:bookmarkStart w:id="2375" w:name="_cp_change_412"/>
      <w:bookmarkEnd w:id="2375"/>
      <w:r>
        <w:rPr>
          <w:rFonts w:ascii="Times" w:hAnsi="Times"/>
          <w:color w:val="0000FF"/>
          <w:sz w:val="24"/>
          <w:u w:val="single"/>
          <w:shd w:fill="FFFFFF" w:val="clear"/>
        </w:rPr>
        <w:t xml:space="preserve">2030 Term Loan Percentage, </w:t>
      </w:r>
      <w:r>
        <w:rPr>
          <w:rFonts w:ascii="Times" w:hAnsi="Times"/>
          <w:sz w:val="24"/>
          <w:shd w:fill="FFFFFF" w:val="clear"/>
        </w:rPr>
        <w:t>Incremental Revolving Percentage, or Incremental Term Loan Percentage and expressing such components on a single percentage basis.</w:t>
      </w:r>
    </w:p>
    <w:p>
      <w:pPr>
        <w:pStyle w:val="TextBody"/>
        <w:bidi w:val="0"/>
        <w:spacing w:before="240" w:after="0"/>
        <w:ind w:left="0" w:right="0" w:firstLine="720"/>
        <w:jc w:val="both"/>
        <w:rPr/>
      </w:pPr>
      <w:r>
        <w:rPr/>
        <w:t>“</w:t>
      </w:r>
      <w:r>
        <w:rPr>
          <w:rFonts w:ascii="Times" w:hAnsi="Times"/>
          <w:sz w:val="24"/>
        </w:rPr>
        <w:t>Approved Fund” means any Fund that is administered or managed by (a) a Lender, (b) an Affiliate of a Lender or (c) an entity or an Affiliate of an entity that administers or manages a Lender.</w:t>
      </w:r>
    </w:p>
    <w:p>
      <w:pPr>
        <w:pStyle w:val="TextBody"/>
        <w:bidi w:val="0"/>
        <w:spacing w:before="240" w:after="0"/>
        <w:ind w:left="0" w:right="0" w:firstLine="720"/>
        <w:jc w:val="both"/>
        <w:rPr>
          <w:color w:val="0000FF"/>
          <w:u w:val="single"/>
        </w:rPr>
      </w:pPr>
      <w:bookmarkStart w:id="2376" w:name="_cp_change_414"/>
      <w:bookmarkEnd w:id="2376"/>
      <w:r>
        <w:rPr>
          <w:color w:val="0000FF"/>
          <w:u w:val="single"/>
        </w:rPr>
        <w:t>“</w:t>
      </w:r>
      <w:r>
        <w:rPr>
          <w:rFonts w:ascii="Times" w:hAnsi="Times"/>
          <w:color w:val="0000FF"/>
          <w:sz w:val="24"/>
          <w:u w:val="single"/>
        </w:rPr>
        <w:t>Arranger” means, with respect to any Facility, each of the entities identified as a “Joint Lead Arranger” or similar title with respect to such Facility on the cover page of this Agreement.</w:t>
      </w:r>
      <w:bookmarkStart w:id="2377" w:name="_cp_change_413"/>
      <w:bookmarkEnd w:id="2377"/>
    </w:p>
    <w:p>
      <w:pPr>
        <w:pStyle w:val="TextBody"/>
        <w:bidi w:val="0"/>
        <w:spacing w:before="240" w:after="0"/>
        <w:ind w:left="0" w:right="0" w:firstLine="720"/>
        <w:jc w:val="both"/>
        <w:rPr/>
      </w:pPr>
      <w:r>
        <w:rPr/>
        <w:t>“</w:t>
      </w:r>
      <w:r>
        <w:rPr>
          <w:rFonts w:ascii="Times" w:hAnsi="Times"/>
          <w:sz w:val="24"/>
        </w:rPr>
        <w:t>Assets Under Development” means any real property under construction (excluding any completed Property under minor renovation) until such property has received a certificate of occupancy.</w:t>
      </w:r>
    </w:p>
    <w:p>
      <w:pPr>
        <w:pStyle w:val="TextBody"/>
        <w:bidi w:val="0"/>
        <w:spacing w:before="240" w:after="0"/>
        <w:ind w:left="0" w:right="0" w:firstLine="720"/>
        <w:jc w:val="both"/>
        <w:rPr/>
      </w:pPr>
      <w:r>
        <w:rPr/>
        <w:t>“</w:t>
      </w:r>
      <w:r>
        <w:rPr>
          <w:rFonts w:ascii="Times" w:hAnsi="Times"/>
          <w:sz w:val="24"/>
        </w:rPr>
        <w:t>Assignment and Acceptance” means an assignment and acceptance entered into by a Lender and an Eligible Assignee (with the consent of any party whose consent is required by Section 12.12 hereof), and accepted by the Administrative Agent, in substantially the form of Exhibit F or any other form approved by the Administrative Agent.</w:t>
      </w:r>
    </w:p>
    <w:p>
      <w:pPr>
        <w:pStyle w:val="TextBody"/>
        <w:bidi w:val="0"/>
        <w:spacing w:before="240" w:after="0"/>
        <w:ind w:left="0" w:right="0" w:firstLine="720"/>
        <w:jc w:val="both"/>
        <w:rPr/>
      </w:pPr>
      <w:r>
        <w:rPr/>
        <w:t>“</w:t>
      </w:r>
      <w:r>
        <w:rPr>
          <w:rFonts w:ascii="Times" w:hAnsi="Times"/>
          <w:sz w:val="24"/>
        </w:rPr>
        <w:t xml:space="preserve">Authorized Representative” means those persons shown on the list of officers provided by the Borrower pursuant to Section 7.2 hereof or on any update of any such list provided by the Borrower to the Administrative Agent, or any further or different officers of the Borrower so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named by any Authorized Representative of the Borrower in a written notice to the Administrative Agent.</w:t>
      </w:r>
    </w:p>
    <w:p>
      <w:pPr>
        <w:pStyle w:val="TextBody"/>
        <w:bidi w:val="0"/>
        <w:spacing w:before="240" w:after="0"/>
        <w:ind w:left="0" w:right="0" w:firstLine="720"/>
        <w:jc w:val="both"/>
        <w:rPr/>
      </w:pPr>
      <w:r>
        <w:rPr/>
        <w:t>“</w:t>
      </w:r>
      <w:r>
        <w:rPr>
          <w:rFonts w:ascii="Times" w:hAnsi="Times"/>
          <w:sz w:val="24"/>
        </w:rPr>
        <w:t>Available Tenor”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10.6(d).</w:t>
      </w:r>
    </w:p>
    <w:p>
      <w:pPr>
        <w:pStyle w:val="TextBody"/>
        <w:bidi w:val="0"/>
        <w:spacing w:before="240" w:after="0"/>
        <w:ind w:left="0" w:right="0" w:firstLine="720"/>
        <w:jc w:val="both"/>
        <w:rPr/>
      </w:pPr>
      <w:r>
        <w:rPr/>
        <w:t>“</w:t>
      </w:r>
      <w:r>
        <w:rPr>
          <w:rFonts w:ascii="Times" w:hAnsi="Times"/>
          <w:sz w:val="24"/>
        </w:rPr>
        <w:t>Bail-In Action” means the exercise of any Write-Down and Conversion Powers by the applicable Resolution Authority in respect of any liability of an Affected Financial Institution.</w:t>
      </w:r>
    </w:p>
    <w:p>
      <w:pPr>
        <w:pStyle w:val="TextBody"/>
        <w:bidi w:val="0"/>
        <w:spacing w:before="240" w:after="0"/>
        <w:ind w:left="0" w:right="0" w:firstLine="720"/>
        <w:jc w:val="both"/>
        <w:rPr/>
      </w:pPr>
      <w:r>
        <w:rPr/>
        <w:t>“</w:t>
      </w:r>
      <w:r>
        <w:rPr>
          <w:rFonts w:ascii="Times" w:hAnsi="Times"/>
          <w:sz w:val="24"/>
        </w:rPr>
        <w:t>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240" w:after="0"/>
        <w:ind w:left="0" w:right="0" w:firstLine="720"/>
        <w:jc w:val="both"/>
        <w:rPr/>
      </w:pPr>
      <w:r>
        <w:rPr/>
        <w:t>“</w:t>
      </w:r>
      <w:r>
        <w:rPr>
          <w:rFonts w:ascii="Times" w:hAnsi="Times"/>
          <w:sz w:val="24"/>
        </w:rPr>
        <w:t>Bankruptcy Event” means, with respect to any Person, any event of the type described in clause (j) or (k) of Section 9.1 hereof with respect to such Person.</w:t>
      </w:r>
    </w:p>
    <w:p>
      <w:pPr>
        <w:pStyle w:val="TextBody"/>
        <w:bidi w:val="0"/>
        <w:spacing w:before="240" w:after="0"/>
        <w:ind w:left="0" w:right="0" w:firstLine="720"/>
        <w:jc w:val="both"/>
        <w:rPr/>
      </w:pPr>
      <w:bookmarkStart w:id="2378" w:name="_Hlk71541346"/>
      <w:bookmarkEnd w:id="2378"/>
      <w:r>
        <w:rPr/>
        <w:t>“</w:t>
      </w:r>
      <w:r>
        <w:rPr>
          <w:rFonts w:ascii="Times" w:hAnsi="Times"/>
          <w:sz w:val="24"/>
        </w:rPr>
        <w:t xml:space="preserve">Base Rate” means, for any day, the rate per annum equal to the greatest of:  (a) the rate of interest announced or otherwise 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Administrative Agent’s best or lowest rate), (b) the sum of (i) the Federal Funds Rate for such day, plus (ii) 1/2 of 1%, or (c) the sum of (i) </w:t>
      </w:r>
      <w:bookmarkStart w:id="2379" w:name="_cp_change_415"/>
      <w:bookmarkEnd w:id="2379"/>
      <w:r>
        <w:rPr>
          <w:rFonts w:ascii="Times" w:hAnsi="Times"/>
          <w:color w:val="FF0000"/>
          <w:sz w:val="24"/>
        </w:rPr>
        <w:t xml:space="preserve">Adjusted </w:t>
      </w:r>
      <w:r>
        <w:rPr>
          <w:rFonts w:ascii="Times" w:hAnsi="Times"/>
          <w:sz w:val="24"/>
        </w:rPr>
        <w:t>Term SOFR for a one month tenor in effect on such day plus (ii) 1.0%.  Any change in the Base Rate due to a change in the prime rate, the Federal Funds Rate or Term SOFR, as applicable, shall be effective from and including the effective date of the change in such rate.  If the Base Rate is being used as an alternative rate of interest pursuant to Section 10.2 or Section 10.6 hereof, then the Base Rate shall be the greater of clauses (a) and (b) above and shall be determined without reference to clause (c) above; provided, that if the Base Rate as determined above shall ever be less than the Floor, then Base Rate shall be deemed to be the Floor.</w:t>
      </w:r>
    </w:p>
    <w:p>
      <w:pPr>
        <w:pStyle w:val="TextBody"/>
        <w:bidi w:val="0"/>
        <w:spacing w:before="240" w:after="0"/>
        <w:ind w:left="0" w:right="0" w:firstLine="720"/>
        <w:jc w:val="both"/>
        <w:rPr/>
      </w:pPr>
      <w:r>
        <w:rPr/>
        <w:t>“</w:t>
      </w:r>
      <w:r>
        <w:rPr>
          <w:rFonts w:ascii="Times" w:hAnsi="Times"/>
          <w:sz w:val="24"/>
        </w:rPr>
        <w:t>Base Rate Loan” means a Loan bearing interest at the Base Rate.</w:t>
      </w:r>
    </w:p>
    <w:p>
      <w:pPr>
        <w:pStyle w:val="TextBody"/>
        <w:bidi w:val="0"/>
        <w:spacing w:before="240" w:after="0"/>
        <w:ind w:left="0" w:right="0" w:firstLine="720"/>
        <w:jc w:val="both"/>
        <w:rPr/>
      </w:pPr>
      <w:r>
        <w:rPr/>
        <w:t>“</w:t>
      </w:r>
      <w:r>
        <w:rPr>
          <w:rFonts w:ascii="Times" w:hAnsi="Times"/>
          <w:sz w:val="24"/>
        </w:rPr>
        <w:t xml:space="preserve">Benchmark” means, initially, (a) with respect to Daily Simple SOFR Rate Loans, Daily Simple SOFR and (b), with respect to Term SOFR Rate Loans, the Term SOFR Reference Rate; provided that if a Benchmark Transition Event has occurred with respect to the then-current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 xml:space="preserve">Benchmark, then “Benchmark” means the applicable Benchmark Replacement to the extent that such Benchmark Replacement has replaced such prior benchmark rate pursuant to Section 10.6. </w:t>
      </w:r>
    </w:p>
    <w:p>
      <w:pPr>
        <w:pStyle w:val="TextBody"/>
        <w:bidi w:val="0"/>
        <w:spacing w:before="240" w:after="0"/>
        <w:ind w:left="0" w:right="0" w:firstLine="720"/>
        <w:jc w:val="both"/>
        <w:rPr/>
      </w:pPr>
      <w:r>
        <w:rPr/>
        <w:t>“</w:t>
      </w:r>
      <w:r>
        <w:rPr>
          <w:rFonts w:ascii="Times" w:hAnsi="Times"/>
          <w:sz w:val="24"/>
        </w:rPr>
        <w:t>Benchmark Replacement” means, with respect to any Benchmark Transition Event for the then-current Benchmark, 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U.S. Dollars at such time and (ii) the related Benchmark Replacement Adjustment, if any; provided that, if such Benchmark Replacement as so determined would be less than the Floor, such Benchmark Replacement will be deemed to be the Floor for the purposes of this Agreement and the other Loan Documents.</w:t>
      </w:r>
    </w:p>
    <w:p>
      <w:pPr>
        <w:pStyle w:val="TextBody"/>
        <w:bidi w:val="0"/>
        <w:spacing w:before="240" w:after="0"/>
        <w:ind w:left="0" w:right="0" w:firstLine="720"/>
        <w:jc w:val="both"/>
        <w:rPr/>
      </w:pPr>
      <w:r>
        <w:rPr/>
        <w:t>“</w:t>
      </w:r>
      <w:r>
        <w:rPr>
          <w:rFonts w:ascii="Times" w:hAnsi="Times"/>
          <w:sz w:val="24"/>
        </w:rPr>
        <w:t>Benchmark Replacement Adjustment”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if any,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 at such time.</w:t>
      </w:r>
    </w:p>
    <w:p>
      <w:pPr>
        <w:pStyle w:val="TextBody"/>
        <w:bidi w:val="0"/>
        <w:spacing w:before="240" w:after="0"/>
        <w:ind w:left="0" w:right="0" w:firstLine="720"/>
        <w:jc w:val="both"/>
        <w:rPr/>
      </w:pPr>
      <w:r>
        <w:rPr/>
        <w:t>“</w:t>
      </w:r>
      <w:r>
        <w:rPr>
          <w:rFonts w:ascii="Times" w:hAnsi="Times"/>
          <w:sz w:val="24"/>
        </w:rPr>
        <w:t>Benchmark Replacement Date” means the earliest to occur of the following events with respect to the then-current Benchmark:</w:t>
      </w:r>
    </w:p>
    <w:p>
      <w:pPr>
        <w:pStyle w:val="TextBody"/>
        <w:bidi w:val="0"/>
        <w:spacing w:before="240" w:after="0"/>
        <w:ind w:left="0" w:right="0" w:hanging="0"/>
        <w:jc w:val="left"/>
        <w:rPr>
          <w:rFonts w:ascii="Times New Roman;Times;serif" w:hAnsi="Times New Roman;Times;serif"/>
          <w:sz w:val="24"/>
        </w:rPr>
      </w:pPr>
      <w:r>
        <w:rPr>
          <w:rFonts w:ascii="Times" w:hAnsi="Times"/>
          <w:b w:val="false"/>
          <w:i w:val="false"/>
          <w:caps w:val="false"/>
          <w:smallCaps w:val="false"/>
          <w:sz w:val="24"/>
        </w:rPr>
        <w:t>(a)</w:t>
      </w:r>
      <w:r>
        <w:rPr>
          <w:rFonts w:ascii="Times" w:hAnsi="Times"/>
          <w:sz w:val="24"/>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240" w:after="0"/>
        <w:ind w:left="0" w:right="0" w:hanging="0"/>
        <w:jc w:val="left"/>
        <w:rPr>
          <w:rFonts w:ascii="Times New Roman;Times;serif" w:hAnsi="Times New Roman;Times;serif"/>
          <w:sz w:val="24"/>
        </w:rPr>
      </w:pPr>
      <w:r>
        <w:rPr>
          <w:rFonts w:ascii="Times" w:hAnsi="Times"/>
          <w:b w:val="false"/>
          <w:i w:val="false"/>
          <w:caps w:val="false"/>
          <w:smallCaps w:val="false"/>
          <w:sz w:val="24"/>
        </w:rPr>
        <w:t>(b)</w:t>
      </w:r>
      <w:r>
        <w:rPr>
          <w:rFonts w:ascii="Times" w:hAnsi="Times"/>
          <w:sz w:val="24"/>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w:hAnsi="Times"/>
          <w:sz w:val="24"/>
        </w:rPr>
      </w:pPr>
      <w:r>
        <w:rPr>
          <w:rFonts w:ascii="Times" w:hAnsi="Times"/>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240" w:after="0"/>
        <w:ind w:left="0" w:right="0" w:firstLine="720"/>
        <w:jc w:val="both"/>
        <w:rPr/>
      </w:pPr>
      <w:r>
        <w:rPr/>
        <w:t>“</w:t>
      </w:r>
      <w:r>
        <w:rPr>
          <w:rFonts w:ascii="Times" w:hAnsi="Times"/>
          <w:sz w:val="24"/>
        </w:rPr>
        <w:t>Benchmark Transition Event” means, with respect to the then-current Benchmark, the occurrence of one or more of the following events with respect to such Benchmark:</w:t>
      </w:r>
    </w:p>
    <w:p>
      <w:pPr>
        <w:pStyle w:val="TextBody"/>
        <w:bidi w:val="0"/>
        <w:spacing w:before="240" w:after="0"/>
        <w:ind w:left="0" w:right="0" w:hanging="0"/>
        <w:jc w:val="left"/>
        <w:rPr>
          <w:rFonts w:ascii="Times New Roman;Times;serif" w:hAnsi="Times New Roman;Times;serif"/>
          <w:sz w:val="24"/>
        </w:rPr>
      </w:pPr>
      <w:r>
        <w:rPr>
          <w:rFonts w:ascii="Times" w:hAnsi="Times"/>
          <w:b w:val="false"/>
          <w:i w:val="false"/>
          <w:caps w:val="false"/>
          <w:smallCaps w:val="false"/>
          <w:sz w:val="24"/>
        </w:rPr>
        <w:t>(a)</w:t>
      </w:r>
      <w:r>
        <w:rPr>
          <w:rFonts w:ascii="Times" w:hAnsi="Times"/>
          <w:sz w:val="24"/>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240" w:after="0"/>
        <w:ind w:left="0" w:right="0" w:hanging="0"/>
        <w:jc w:val="left"/>
        <w:rPr>
          <w:rFonts w:ascii="Times New Roman;Times;serif" w:hAnsi="Times New Roman;Times;serif"/>
          <w:sz w:val="24"/>
        </w:rPr>
      </w:pPr>
      <w:r>
        <w:rPr>
          <w:rFonts w:ascii="Times" w:hAnsi="Times"/>
          <w:b w:val="false"/>
          <w:i w:val="false"/>
          <w:caps w:val="false"/>
          <w:smallCaps w:val="false"/>
          <w:sz w:val="24"/>
        </w:rPr>
        <w:t>(b)</w:t>
      </w:r>
      <w:r>
        <w:rPr>
          <w:rFonts w:ascii="Times" w:hAnsi="Times"/>
          <w:sz w:val="24"/>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240" w:after="0"/>
        <w:ind w:left="0" w:right="0" w:hanging="0"/>
        <w:jc w:val="left"/>
        <w:rPr>
          <w:rFonts w:ascii="Times New Roman;Times;serif" w:hAnsi="Times New Roman;Times;serif"/>
          <w:sz w:val="24"/>
        </w:rPr>
      </w:pPr>
      <w:r>
        <w:rPr>
          <w:rFonts w:ascii="Times" w:hAnsi="Times"/>
          <w:b w:val="false"/>
          <w:i w:val="false"/>
          <w:caps w:val="false"/>
          <w:smallCaps w:val="false"/>
          <w:sz w:val="24"/>
        </w:rPr>
        <w:t>(c)</w:t>
      </w:r>
      <w:r>
        <w:rPr>
          <w:rFonts w:ascii="Times" w:hAnsi="Times"/>
          <w:sz w:val="24"/>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pStyle w:val="TextBody"/>
        <w:bidi w:val="0"/>
        <w:spacing w:before="240" w:after="0"/>
        <w:ind w:left="0" w:right="0" w:firstLine="720"/>
        <w:jc w:val="both"/>
        <w:rPr>
          <w:rFonts w:ascii="Times" w:hAnsi="Times"/>
          <w:sz w:val="24"/>
        </w:rPr>
      </w:pPr>
      <w:r>
        <w:rPr>
          <w:rFonts w:ascii="Times" w:hAnsi="Times"/>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240" w:after="0"/>
        <w:ind w:left="0" w:right="0" w:firstLine="720"/>
        <w:jc w:val="both"/>
        <w:rPr/>
      </w:pPr>
      <w:r>
        <w:rPr/>
        <w:t>“</w:t>
      </w:r>
      <w:r>
        <w:rPr>
          <w:rFonts w:ascii="Times" w:hAnsi="Times"/>
          <w:sz w:val="24"/>
        </w:rPr>
        <w:t>Benchmark Transition Start Date” means, with respect to any Benchmark,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w:hAnsi="Times"/>
          <w:sz w:val="24"/>
        </w:rPr>
        <w:t>Benchmark Unavailability Period” means, with respect to any then-current Benchmark, the period (if any) (i)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Section 10.6 and (ii) ending at the time that a Benchmark Replacement has replaced such Benchmark for all purposes hereunder and under any Loan Document in accordance with Section 10.6.</w:t>
      </w:r>
    </w:p>
    <w:p>
      <w:pPr>
        <w:pStyle w:val="TextBody"/>
        <w:bidi w:val="0"/>
        <w:spacing w:before="240" w:after="0"/>
        <w:ind w:left="0" w:right="0" w:firstLine="720"/>
        <w:jc w:val="both"/>
        <w:rPr/>
      </w:pPr>
      <w:r>
        <w:rPr/>
        <w:t>“</w:t>
      </w:r>
      <w:r>
        <w:rPr>
          <w:rFonts w:ascii="Times" w:hAnsi="Times"/>
          <w:sz w:val="24"/>
        </w:rPr>
        <w:t>Beneficial Ownership Certification” means a certification regarding beneficial ownership as required by the Beneficial Ownership Regulation.</w:t>
      </w:r>
    </w:p>
    <w:p>
      <w:pPr>
        <w:pStyle w:val="TextBody"/>
        <w:bidi w:val="0"/>
        <w:spacing w:before="240" w:after="0"/>
        <w:ind w:left="0" w:right="0" w:firstLine="720"/>
        <w:jc w:val="both"/>
        <w:rPr/>
      </w:pPr>
      <w:r>
        <w:rPr/>
        <w:t>“</w:t>
      </w:r>
      <w:r>
        <w:rPr>
          <w:rFonts w:ascii="Times" w:hAnsi="Times"/>
          <w:sz w:val="24"/>
        </w:rPr>
        <w:t>Beneficial Ownership Regulation” means 31 C.F.R. § 1010.230.</w:t>
      </w:r>
    </w:p>
    <w:p>
      <w:pPr>
        <w:pStyle w:val="TextBody"/>
        <w:bidi w:val="0"/>
        <w:spacing w:before="240" w:after="0"/>
        <w:ind w:left="0" w:right="0" w:firstLine="720"/>
        <w:jc w:val="both"/>
        <w:rPr/>
      </w:pPr>
      <w:r>
        <w:rPr/>
        <w:t>“</w:t>
      </w:r>
      <w:r>
        <w:rPr>
          <w:rFonts w:ascii="Times" w:hAnsi="Times"/>
          <w:sz w:val="24"/>
        </w:rPr>
        <w:t>Borrower” is defined in the introductory paragraph of this Agreement.</w:t>
      </w:r>
    </w:p>
    <w:p>
      <w:pPr>
        <w:pStyle w:val="TextBody"/>
        <w:bidi w:val="0"/>
        <w:spacing w:before="240" w:after="0"/>
        <w:ind w:left="0" w:right="0" w:firstLine="720"/>
        <w:jc w:val="both"/>
        <w:rPr/>
      </w:pPr>
      <w:r>
        <w:rPr/>
        <w:t>“</w:t>
      </w:r>
      <w:r>
        <w:rPr>
          <w:rFonts w:ascii="Times" w:hAnsi="Times"/>
          <w:sz w:val="24"/>
        </w:rPr>
        <w:t xml:space="preserve">Borrowing” means the total of Loans of a single type advanced, continued for an additional Interest Period, or converted from a different type into such type by the Lenders on a single date and, in the case of Term SOFR Rate Loans, for a single Interest Period.  Borrowings of Loans are made and maintained ratably from each of the Lenders according to their Applicable Percentages.  A Borrowing is “advanced” on the day Lenders advance funds comprising such Borrowing to the Borrower, is “continued” on the date a new Interest Period for the same type of Loans commences for such Borrowing, and is “converted” when such Borrowing is changed from one type of Loans to the other, all as determined pursuant to Section 1.6 hereof. </w:t>
      </w:r>
      <w:bookmarkStart w:id="2380" w:name="_Hlk114048099"/>
      <w:bookmarkEnd w:id="2380"/>
    </w:p>
    <w:p>
      <w:pPr>
        <w:pStyle w:val="TextBody"/>
        <w:bidi w:val="0"/>
        <w:spacing w:before="240" w:after="0"/>
        <w:ind w:left="0" w:right="0" w:firstLine="720"/>
        <w:jc w:val="both"/>
        <w:rPr/>
      </w:pPr>
      <w:r>
        <w:rPr/>
        <w:t>“</w:t>
      </w:r>
      <w:r>
        <w:rPr>
          <w:rFonts w:ascii="Times" w:hAnsi="Times"/>
          <w:sz w:val="24"/>
        </w:rPr>
        <w:t>Borrowing Base” means, at any date of its determination, an amount equal to:</w:t>
      </w:r>
    </w:p>
    <w:p>
      <w:pPr>
        <w:pStyle w:val="TextBody"/>
        <w:bidi w:val="0"/>
        <w:spacing w:before="24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(x)</w:t>
      </w:r>
      <w:r>
        <w:rPr>
          <w:rFonts w:ascii="Times New Roman;Times;serif" w:hAnsi="Times New Roman;Times;serif"/>
          <w:sz w:val="24"/>
        </w:rPr>
        <w:t>the lesser of (A) (i) (x) during a Leverage Ratio Increase Period, 65% and (y) at all other times, 60%, multiplied by (ii) the Borrowing Base Value of all Borrowing Base Assets on such date and (B) the Debt Service Coverage Amount of all Borrowing Base Assets on such date, minus</w:t>
      </w:r>
    </w:p>
    <w:p>
      <w:pPr>
        <w:pStyle w:val="TextBody"/>
        <w:bidi w:val="0"/>
        <w:spacing w:before="240" w:after="0"/>
        <w:ind w:left="0" w:right="0" w:hanging="0"/>
        <w:jc w:val="both"/>
        <w:rPr>
          <w:rFonts w:ascii="Times" w:hAnsi="Times"/>
          <w:sz w:val="24"/>
        </w:rPr>
      </w:pPr>
      <w:r>
        <w:rPr>
          <w:rFonts w:ascii="Times" w:hAnsi="Times"/>
          <w:sz w:val="24"/>
        </w:rPr>
        <w:t>(y)if an Other Guaranty Trigger has occurred (but a Collateral Trigger Event has not occurred), the aggregate amount of Other Unsecured Indebtedness including the Convertible Senior Notes.</w:t>
      </w:r>
    </w:p>
    <w:p>
      <w:pPr>
        <w:pStyle w:val="TextBody"/>
        <w:bidi w:val="0"/>
        <w:spacing w:before="280" w:after="0"/>
        <w:ind w:left="0" w:right="0" w:firstLine="720"/>
        <w:jc w:val="both"/>
        <w:rPr/>
      </w:pPr>
      <w:r>
        <w:rPr/>
        <w:t>“</w:t>
      </w:r>
      <w:r>
        <w:rPr>
          <w:rFonts w:ascii="Times New Roman;Times;serif" w:hAnsi="Times New Roman;Times;serif"/>
          <w:sz w:val="24"/>
        </w:rPr>
        <w:t>Borrowing Base Asset” means, as of any date of determination, each Borrowing Base Real Property Asset, each Borrowing Base Mortgage Receivable and all Borrowing Base PINE Common Equity.</w:t>
      </w:r>
    </w:p>
    <w:p>
      <w:pPr>
        <w:pStyle w:val="TextBody"/>
        <w:bidi w:val="0"/>
        <w:spacing w:before="240" w:after="0"/>
        <w:ind w:left="0" w:right="0" w:firstLine="720"/>
        <w:jc w:val="both"/>
        <w:rPr/>
      </w:pPr>
      <w:r>
        <w:rPr/>
        <w:t>“</w:t>
      </w:r>
      <w:r>
        <w:rPr>
          <w:rFonts w:ascii="Times" w:hAnsi="Times"/>
          <w:sz w:val="24"/>
        </w:rPr>
        <w:t>Borrowing Base Certificate” means the certificate in the form of Exhibit I hereto, or in such other form acceptable to the Administrative Agent, to be delivered to the Administrative Agent pursuant to Sections 7.2(i), 7.3 and 8.5(d) hereof.</w:t>
      </w:r>
    </w:p>
    <w:p>
      <w:pPr>
        <w:pStyle w:val="TextBody"/>
        <w:bidi w:val="0"/>
        <w:spacing w:before="240" w:after="0"/>
        <w:ind w:left="0" w:right="0" w:firstLine="720"/>
        <w:jc w:val="both"/>
        <w:rPr/>
      </w:pPr>
      <w:r>
        <w:rPr/>
        <w:t>“</w:t>
      </w:r>
      <w:r>
        <w:rPr>
          <w:rFonts w:ascii="Times" w:hAnsi="Times"/>
          <w:sz w:val="24"/>
        </w:rPr>
        <w:t>Borrowing Base Determination Date” means each date on which the Borrowing Base is certified in writing to the Administrative Agent, as follows:</w:t>
      </w:r>
    </w:p>
    <w:p>
      <w:pPr>
        <w:pStyle w:val="TextBody"/>
        <w:bidi w:val="0"/>
        <w:spacing w:before="240" w:after="0"/>
        <w:ind w:left="720" w:right="0" w:hanging="0"/>
        <w:jc w:val="both"/>
        <w:rPr>
          <w:rFonts w:ascii="Times New Roman;Times;serif" w:hAnsi="Times New Roman;Times;serif"/>
          <w:sz w:val="24"/>
        </w:rPr>
      </w:pPr>
      <w:r>
        <w:rPr>
          <w:rFonts w:ascii="Times" w:hAnsi="Times"/>
          <w:sz w:val="24"/>
        </w:rPr>
        <w:t>(a)Quarterly.  As of the last day of each</w:t>
      </w:r>
      <w:r>
        <w:rPr>
          <w:rFonts w:ascii="Times New Roman;Times;serif" w:hAnsi="Times New Roman;Times;serif"/>
          <w:sz w:val="24"/>
        </w:rPr>
        <w:t xml:space="preserve"> </w:t>
      </w:r>
      <w:r>
        <w:rPr>
          <w:rFonts w:ascii="Times" w:hAnsi="Times"/>
          <w:sz w:val="24"/>
        </w:rPr>
        <w:t>Fiscal Quarter.</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w:hAnsi="Times"/>
          <w:sz w:val="24"/>
        </w:rPr>
      </w:pPr>
      <w:r>
        <w:rPr>
          <w:rFonts w:ascii="Times" w:hAnsi="Times"/>
          <w:sz w:val="24"/>
        </w:rPr>
        <w:t>(b)Property Adjustments.  Following each addition or deletion of an Eligible Asset, the Borrowing Base Value shall be adjusted accordingly.</w:t>
      </w:r>
    </w:p>
    <w:p>
      <w:pPr>
        <w:pStyle w:val="TextBody"/>
        <w:bidi w:val="0"/>
        <w:spacing w:before="280" w:after="0"/>
        <w:ind w:left="0" w:right="0" w:firstLine="720"/>
        <w:jc w:val="both"/>
        <w:rPr/>
      </w:pPr>
      <w:r>
        <w:rPr/>
        <w:t>“</w:t>
      </w:r>
      <w:r>
        <w:rPr>
          <w:rFonts w:ascii="Times New Roman;Times;serif" w:hAnsi="Times New Roman;Times;serif"/>
          <w:sz w:val="24"/>
        </w:rPr>
        <w:t xml:space="preserve">Borrowing Base Mortgage Receivable” </w:t>
      </w:r>
      <w:bookmarkStart w:id="2381" w:name="_Hlk183420205"/>
      <w:bookmarkEnd w:id="2381"/>
      <w:r>
        <w:rPr>
          <w:rFonts w:ascii="Times New Roman;Times;serif" w:hAnsi="Times New Roman;Times;serif"/>
          <w:sz w:val="24"/>
        </w:rPr>
        <w:t>means as of any date of determination, each Eligible Mortgage Receivable that has been designated as a “Borrowing Base Mortgage Receivable” in accordance with the provisions of this Agreement and has not otherwise been excluded or removed from the calculation of the Borrowing Base.</w:t>
      </w:r>
    </w:p>
    <w:p>
      <w:pPr>
        <w:pStyle w:val="TextBody"/>
        <w:bidi w:val="0"/>
        <w:spacing w:before="280" w:after="0"/>
        <w:ind w:left="0" w:right="0" w:firstLine="720"/>
        <w:jc w:val="both"/>
        <w:rPr/>
      </w:pPr>
      <w:r>
        <w:rPr/>
        <w:t>“</w:t>
      </w:r>
      <w:r>
        <w:rPr>
          <w:rFonts w:ascii="Times New Roman;Times;serif" w:hAnsi="Times New Roman;Times;serif"/>
          <w:sz w:val="24"/>
        </w:rPr>
        <w:t>Borrowing Base NOI” means for the most recent Rolling Period, the aggregate Property NOI attributable to the Borrowing Base Real Property Assets plus (i) for the purposes of calculating the “Debt Service Coverage Ratio”, fifty percent (50%) of (x) cash income actually received from Borrowing Base Mortgage Receivables during such Rolling Period plus (y) cash dividends actually received from Borrowing Base PINE Common Equity during such Rolling Period and (ii) for the purposes of calculating the “Minimum Unsecured Coverage Ratio” set forth in Section 8.20(g), one hundred percent (100%) of (x) cash income actually received from Borrowing Base Mortgage Receivables during such Rolling Period plus (y) cash dividends actually received from Borrowing Base PINE Common Equity during such Rolling Period; provided, that (A) no more than 10% of the Borrowing Base NOI may be attributable to Borrowing Base Mortgage Receivables and Borrowing Base PINE Common Equity, in the aggregate (for the avoidance of doubt, a Borrowing Base Mortgage Receivables and Borrowing Base PINE Common Equity that exceeds this sublimit may be included in the calculation of Borrowing Base NOI; provided, that any amount over 10% of the Borrowing Base NOI is excluded from the calculation of the Borrowing Base NOI) and (B) no more than 5% of the Borrowing Base NOI may be attributable to Borrowing Base PINE Common Equity in the aggregate (for the avoidance of doubt, any portion of Borrowing Base PINE Common Equity that exceeds this sublimit may be included in the calculation of Borrowing Base NOI; provided that any amount over 5% of the Borrowing Base NOI is excluded from the calculation of the Borrowing Base NOI).  Only the Borrower’s or Subsidiaries’ Ownership Share of any Borrowing Base Assets held by Unconsolidated Affiliates shall be included when determining Borrowing Base NOI of Borrower and its Subsidiaries.</w:t>
      </w:r>
    </w:p>
    <w:p>
      <w:pPr>
        <w:pStyle w:val="TextBody"/>
        <w:bidi w:val="0"/>
        <w:spacing w:before="280" w:after="0"/>
        <w:ind w:left="0" w:right="0" w:firstLine="720"/>
        <w:jc w:val="both"/>
        <w:rPr/>
      </w:pPr>
      <w:r>
        <w:rPr/>
        <w:t>“</w:t>
      </w:r>
      <w:r>
        <w:rPr>
          <w:rFonts w:ascii="Times New Roman;Times;serif" w:hAnsi="Times New Roman;Times;serif"/>
          <w:sz w:val="24"/>
        </w:rPr>
        <w:t>Borrowing Base PINE Common Equity” means as of any date of determination, all Eligible PINE Common Equity that has been designated as “Borrowing Base PINE Common Equity” in accordance with the provisions of this Agreement and has not otherwise been excluded or removed from the calculation of the Borrowing Base.</w:t>
      </w:r>
    </w:p>
    <w:p>
      <w:pPr>
        <w:pStyle w:val="TextBody"/>
        <w:bidi w:val="0"/>
        <w:spacing w:before="280" w:after="0"/>
        <w:ind w:left="0" w:right="0" w:firstLine="720"/>
        <w:jc w:val="both"/>
        <w:rPr/>
      </w:pPr>
      <w:r>
        <w:rPr/>
        <w:t>“</w:t>
      </w:r>
      <w:r>
        <w:rPr>
          <w:rFonts w:ascii="Times New Roman;Times;serif" w:hAnsi="Times New Roman;Times;serif"/>
          <w:sz w:val="24"/>
        </w:rPr>
        <w:t>Borrowing Base Real Property Asset” means, as of any date of determination, each Eligible Property that has been designated as a “Borrowing Base Real Property Asset” in accordance with the provisions of this Agreement and has not otherwise been excluded or removed from the calculation of the Borrowing Base.</w:t>
      </w:r>
    </w:p>
    <w:p>
      <w:pPr>
        <w:pStyle w:val="TextBody"/>
        <w:bidi w:val="0"/>
        <w:spacing w:before="280" w:after="0"/>
        <w:ind w:left="0" w:right="0" w:firstLine="720"/>
        <w:jc w:val="both"/>
        <w:rPr/>
      </w:pPr>
      <w:r>
        <w:rPr/>
        <w:t>“</w:t>
      </w:r>
      <w:r>
        <w:rPr>
          <w:rFonts w:ascii="Times New Roman;Times;serif" w:hAnsi="Times New Roman;Times;serif"/>
          <w:sz w:val="24"/>
        </w:rPr>
        <w:t>Borrowing Base Requirements” means with respect to the calculation of the Borrowing Base, collectively that:</w:t>
      </w:r>
    </w:p>
    <w:p>
      <w:pPr>
        <w:pStyle w:val="TextBody"/>
        <w:bidi w:val="0"/>
        <w:spacing w:before="280" w:after="0"/>
        <w:ind w:left="720" w:right="0" w:hanging="0"/>
        <w:jc w:val="both"/>
        <w:rPr>
          <w:rFonts w:ascii="Times New Roman;Times;serif" w:hAnsi="Times New Roman;Times;serif"/>
          <w:sz w:val="24"/>
        </w:rPr>
      </w:pPr>
      <w:r>
        <w:rPr>
          <w:rFonts w:ascii="Times New Roman;Times;serif" w:hAnsi="Times New Roman;Times;serif"/>
          <w:sz w:val="24"/>
        </w:rPr>
        <w:t>(a)at all times such calculation shall be based on no less than fifteen (15) Borrowing Base Real Property Assets with a gross leasable area of not less than 25,000 square feet each;</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(b)the Borrowing Base Value shall not be less than $400,000,000;</w:t>
      </w:r>
    </w:p>
    <w:p>
      <w:pPr>
        <w:pStyle w:val="TextBody"/>
        <w:bidi w:val="0"/>
        <w:spacing w:before="280" w:after="0"/>
        <w:ind w:left="720" w:right="0" w:hanging="0"/>
        <w:jc w:val="both"/>
        <w:rPr>
          <w:rFonts w:ascii="Times New Roman;Times;serif" w:hAnsi="Times New Roman;Times;serif"/>
          <w:sz w:val="24"/>
        </w:rPr>
      </w:pPr>
      <w:r>
        <w:rPr>
          <w:rFonts w:ascii="Times New Roman;Times;serif" w:hAnsi="Times New Roman;Times;serif"/>
          <w:sz w:val="24"/>
        </w:rPr>
        <w:t>(c)no more than 15% of the Borrowing Base Value may be comprised of Borrowing Base Real Property Assets which are not retail properties, Retail Mixed-Use Properties or office properties (</w:t>
      </w:r>
      <w:bookmarkStart w:id="2382" w:name="_Hlk113466633"/>
      <w:bookmarkEnd w:id="2382"/>
      <w:r>
        <w:rPr>
          <w:rFonts w:ascii="Times New Roman;Times;serif" w:hAnsi="Times New Roman;Times;serif"/>
          <w:sz w:val="24"/>
        </w:rPr>
        <w:t>for the avoidance of doubt, a Borrowing Base Real Property Asset that exceeds this sublimit may be included in the calculation of Borrowing Base Value, provided any amount over 15% of the Borrowing Base Value is excluded from the calculation of the Borrowing Base Value);</w:t>
      </w:r>
    </w:p>
    <w:p>
      <w:pPr>
        <w:pStyle w:val="TextBody"/>
        <w:bidi w:val="0"/>
        <w:spacing w:before="280" w:after="0"/>
        <w:ind w:left="720" w:right="0" w:hanging="0"/>
        <w:jc w:val="both"/>
        <w:rPr>
          <w:rFonts w:ascii="Times New Roman;Times;serif" w:hAnsi="Times New Roman;Times;serif"/>
          <w:sz w:val="24"/>
        </w:rPr>
      </w:pPr>
      <w:r>
        <w:rPr>
          <w:rFonts w:ascii="Times New Roman;Times;serif" w:hAnsi="Times New Roman;Times;serif"/>
          <w:sz w:val="24"/>
        </w:rPr>
        <w:t>(d)no more than 20% of the Borrowing Base Value may be comprised of any one Borrowing Base Real Property Asset (for the avoidance of doubt, an Borrowing Base Real Property Asset that exceeds this sublimit may be included in the calculation of Borrowing Base Value, provided any amount over 20% of the Borrowing Base Value is excluded from the calculation of the Borrowing Base Value);</w:t>
      </w:r>
      <w:bookmarkStart w:id="2383" w:name="_Hlk152107915"/>
      <w:bookmarkEnd w:id="2383"/>
    </w:p>
    <w:p>
      <w:pPr>
        <w:pStyle w:val="TextBody"/>
        <w:bidi w:val="0"/>
        <w:spacing w:before="280" w:after="0"/>
        <w:ind w:left="720" w:right="0" w:hanging="0"/>
        <w:jc w:val="both"/>
        <w:rPr>
          <w:rFonts w:ascii="Times New Roman;Times;serif" w:hAnsi="Times New Roman;Times;serif"/>
          <w:sz w:val="24"/>
        </w:rPr>
      </w:pPr>
      <w:r>
        <w:rPr>
          <w:rFonts w:ascii="Times New Roman;Times;serif" w:hAnsi="Times New Roman;Times;serif"/>
          <w:sz w:val="24"/>
        </w:rPr>
        <w:t>(e)no more than (i) (A) prior to September 30, 2025, 40% and (B) on and after September 30, 2025, 35% of the Borrowing Base Value may be comprised of Borrowing Base Real Property Assets which are located in the same Major Target MSA Location and (ii) 25% of the Borrowing Base Value may be comprised of Borrowing Base Real Property Assets which are located in the same Non-Major Target MSA Location (for the avoidance of doubt, a Borrowing Base Real Property Asset that exceeds any of the foregoing sublimits may be included in the calculation of Borrowing Base Value, provided any amount over 40%, 35% or 25%, as applicable, of the Borrowing Base Value is excluded from the calculation of the Borrowing Base Value);</w:t>
      </w:r>
    </w:p>
    <w:p>
      <w:pPr>
        <w:pStyle w:val="TextBody"/>
        <w:bidi w:val="0"/>
        <w:spacing w:before="280" w:after="0"/>
        <w:ind w:left="720" w:right="0" w:hanging="0"/>
        <w:jc w:val="both"/>
        <w:rPr>
          <w:rFonts w:ascii="Times New Roman;Times;serif" w:hAnsi="Times New Roman;Times;serif"/>
          <w:sz w:val="24"/>
        </w:rPr>
      </w:pPr>
      <w:r>
        <w:rPr>
          <w:rFonts w:ascii="Times New Roman;Times;serif" w:hAnsi="Times New Roman;Times;serif"/>
          <w:sz w:val="24"/>
        </w:rPr>
        <w:t xml:space="preserve">(f)the Borrowing Base Real Property Assets must have a weighted average Occupancy Rate of at least 85%; </w:t>
      </w:r>
    </w:p>
    <w:p>
      <w:pPr>
        <w:pStyle w:val="TextBody"/>
        <w:bidi w:val="0"/>
        <w:spacing w:before="280" w:after="0"/>
        <w:ind w:left="720" w:right="0" w:hanging="0"/>
        <w:jc w:val="both"/>
        <w:rPr>
          <w:rFonts w:ascii="Times New Roman;Times;serif" w:hAnsi="Times New Roman;Times;serif"/>
          <w:sz w:val="24"/>
        </w:rPr>
      </w:pPr>
      <w:r>
        <w:rPr>
          <w:rFonts w:ascii="Times New Roman;Times;serif" w:hAnsi="Times New Roman;Times;serif"/>
          <w:sz w:val="24"/>
        </w:rPr>
        <w:t>(g)no more than 15% of the Borrowing Base Value may be comprised of Borrowing Base Real Property Assets constituting Eligible Leasehold Interests (for the avoidance of doubt, a Borrowing Base Real Property Asset that exceeds this sublimit may be included in the calculation of Borrowing Base Value, provided any amount over 15% of the Borrowing Base Value is excluded from the calculation of the Borrowing Base Value);</w:t>
      </w:r>
    </w:p>
    <w:p>
      <w:pPr>
        <w:pStyle w:val="TextBody"/>
        <w:bidi w:val="0"/>
        <w:spacing w:before="280" w:after="0"/>
        <w:ind w:left="720" w:right="0" w:hanging="0"/>
        <w:jc w:val="both"/>
        <w:rPr>
          <w:rFonts w:ascii="Times New Roman;Times;serif" w:hAnsi="Times New Roman;Times;serif"/>
          <w:sz w:val="24"/>
        </w:rPr>
      </w:pPr>
      <w:r>
        <w:rPr>
          <w:rFonts w:ascii="Times New Roman;Times;serif" w:hAnsi="Times New Roman;Times;serif"/>
          <w:sz w:val="24"/>
        </w:rPr>
        <w:t>(h)no more than 10% of the Borrowing Base Value may be attributable to Borrowing Base Mortgage Receivables and Borrowing Base PINE Common Equity in the aggregate (for the avoidance of doubt, a Borrowing Base Mortgage Receivable and Borrowing Base PINE Common Equity that exceeds this sublimit may be included in the calculation of Borrowing Base Value; provided, that any amount over 10% of the Borrowing Base Value is excluded from the calculation of the Borrowing Base Value); and</w:t>
      </w:r>
    </w:p>
    <w:p>
      <w:pPr>
        <w:pStyle w:val="TextBody"/>
        <w:bidi w:val="0"/>
        <w:spacing w:before="280" w:after="0"/>
        <w:ind w:left="720" w:right="0" w:hanging="0"/>
        <w:jc w:val="both"/>
        <w:rPr>
          <w:rFonts w:ascii="Times New Roman;Times;serif" w:hAnsi="Times New Roman;Times;serif"/>
          <w:sz w:val="24"/>
        </w:rPr>
      </w:pPr>
      <w:r>
        <w:rPr>
          <w:rFonts w:ascii="Times New Roman;Times;serif" w:hAnsi="Times New Roman;Times;serif"/>
          <w:sz w:val="24"/>
        </w:rPr>
        <w:t xml:space="preserve">(i)no more than 5% of the Borrowing Base Value may be attributable to Borrowing Base PINE Common Equity in the aggregate (for the avoidance of doubt, any portion of Borrowing Base PINE Common Equity that exceeds this sublimit may be included in the calculation of Borrowing Base Value; provided, that any amount over 5%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of the Borrowing Base Value is excluded from the calculation of the Borrowing Base Value).</w:t>
      </w:r>
    </w:p>
    <w:p>
      <w:pPr>
        <w:pStyle w:val="TextBody"/>
        <w:bidi w:val="0"/>
        <w:spacing w:before="280" w:after="0"/>
        <w:ind w:left="0" w:right="0" w:firstLine="720"/>
        <w:jc w:val="both"/>
        <w:rPr/>
      </w:pPr>
      <w:r>
        <w:rPr/>
        <w:t>“</w:t>
      </w:r>
      <w:r>
        <w:rPr>
          <w:rFonts w:ascii="Times New Roman;Times;serif" w:hAnsi="Times New Roman;Times;serif"/>
          <w:sz w:val="24"/>
        </w:rPr>
        <w:t>Borrowing Base Value” means an amount equal to the sum of (a) for all Borrowing Base Real Property Assets owned for more than twelve (12) months, the quotient of (i) the Borrowing Base NOI attributable to such Borrowing Base Real Property Assets divided by (ii) the Capitalization Rate plus (b) for all Borrowing Base Real Property Assets owned for twelve (12) months or less, the undepreciated book value (as defined by GAAP) of any such Borrowing Base Real Property Asset plus (c) the book value of any Borrowing Base Mortgage Receivables and Borrowing Base PINE Common Equity as of such date in accordance with GAAP; provided that Borrowing Base Value shall be reduced by excluding a portion of the Property NOI or book value, as applicable, of any Borrowing Base Assets attributable to any Borrowing Base Assets that exceed the concentration limits in the Borrowing Base Requirements; provided, that for any individual Borrowing Base Real Property Asset, the Borrowing Base Value shall not be less than zero dollars ($0.00).  Only the Borrower’s or Subsidiaries’ Ownership Share of any Borrowing Base Assets held by Unconsolidated Affiliates shall be included when determining Borrowing Base Value of Borrower and its Subsidiaries.</w:t>
      </w:r>
    </w:p>
    <w:p>
      <w:pPr>
        <w:pStyle w:val="TextBody"/>
        <w:bidi w:val="0"/>
        <w:spacing w:before="240" w:after="0"/>
        <w:ind w:left="0" w:right="0" w:firstLine="720"/>
        <w:jc w:val="both"/>
        <w:rPr/>
      </w:pPr>
      <w:r>
        <w:rPr/>
        <w:t>“</w:t>
      </w:r>
      <w:r>
        <w:rPr>
          <w:rFonts w:ascii="Times" w:hAnsi="Times"/>
          <w:sz w:val="24"/>
        </w:rPr>
        <w:t>Business Day” means (i) any day other than Saturday, Sunday or any other day on which commercial banks in Cleveland, Ohio or New York, New York are authorized or required by law to close and (ii) with respect to any matters relating to SOFR Rate Loans, a SOFR Business Day.</w:t>
      </w:r>
    </w:p>
    <w:p>
      <w:pPr>
        <w:pStyle w:val="TextBody"/>
        <w:bidi w:val="0"/>
        <w:spacing w:before="240" w:after="0"/>
        <w:ind w:left="0" w:right="0" w:firstLine="720"/>
        <w:jc w:val="both"/>
        <w:rPr/>
      </w:pPr>
      <w:r>
        <w:rPr/>
        <w:t>“</w:t>
      </w:r>
      <w:r>
        <w:rPr>
          <w:rFonts w:ascii="Times" w:hAnsi="Times"/>
          <w:sz w:val="24"/>
        </w:rPr>
        <w:t>Capital Expenditures” 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are required to be capitalized on the balance sheet of such Person in accordance with GAAP.</w:t>
      </w:r>
    </w:p>
    <w:p>
      <w:pPr>
        <w:pStyle w:val="TextBody"/>
        <w:bidi w:val="0"/>
        <w:spacing w:before="240" w:after="0"/>
        <w:ind w:left="0" w:right="0" w:firstLine="720"/>
        <w:jc w:val="both"/>
        <w:rPr/>
      </w:pPr>
      <w:r>
        <w:rPr/>
        <w:t>“</w:t>
      </w:r>
      <w:r>
        <w:rPr>
          <w:rFonts w:ascii="Times" w:hAnsi="Times"/>
          <w:sz w:val="24"/>
        </w:rPr>
        <w:t>Capital Lease” means any lease of Property or other assets which in accordance with GAAP is required to be capitalized on the balance sheet of the lessee.</w:t>
      </w:r>
    </w:p>
    <w:p>
      <w:pPr>
        <w:pStyle w:val="TextBody"/>
        <w:bidi w:val="0"/>
        <w:spacing w:before="240" w:after="0"/>
        <w:ind w:left="0" w:right="0" w:firstLine="720"/>
        <w:jc w:val="both"/>
        <w:rPr/>
      </w:pPr>
      <w:r>
        <w:rPr/>
        <w:t>“</w:t>
      </w:r>
      <w:r>
        <w:rPr>
          <w:rFonts w:ascii="Times" w:hAnsi="Times"/>
          <w:sz w:val="24"/>
        </w:rPr>
        <w:t>Capitalization Rate” means (i) 6.25% for existing single-tenant Properties occupied by tenants maintaining a (A) BBB- Rating or better from S&amp;P’s or Fitch, or (B) Baa3 Rating or better from Moody’s, (ii) 6.50% for grocery anchored retail properties, (iii) 7.00% for all other retail and Retail Mixed-Use Properties, (iv) 8.00% for all other Properties not covered under the foregoing clauses (i), (ii) or (iii); provided, that for all Properties that are subject to Ground Leases, the applicable Capitalization Rate shall be determined as if the Borrower was the owner of the fully-completed building located on such Property.</w:t>
      </w:r>
    </w:p>
    <w:p>
      <w:pPr>
        <w:pStyle w:val="TextBody"/>
        <w:bidi w:val="0"/>
        <w:spacing w:before="240" w:after="0"/>
        <w:ind w:left="0" w:right="0" w:firstLine="720"/>
        <w:jc w:val="both"/>
        <w:rPr/>
      </w:pPr>
      <w:r>
        <w:rPr/>
        <w:t>“</w:t>
      </w:r>
      <w:r>
        <w:rPr>
          <w:rFonts w:ascii="Times" w:hAnsi="Times"/>
          <w:sz w:val="24"/>
        </w:rPr>
        <w:t>Capitalized Lease Obligation” means, for any Person, the amount of the liability shown on the balance sheet of such Person in respect of a Capital Lease determined in accordance with GAAP.</w:t>
      </w:r>
    </w:p>
    <w:p>
      <w:pPr>
        <w:pStyle w:val="TextBody"/>
        <w:bidi w:val="0"/>
        <w:spacing w:before="240" w:after="0"/>
        <w:ind w:left="0" w:right="0" w:firstLine="720"/>
        <w:jc w:val="both"/>
        <w:rPr/>
      </w:pPr>
      <w:r>
        <w:rPr/>
        <w:t>“</w:t>
      </w:r>
      <w:r>
        <w:rPr>
          <w:rFonts w:ascii="Times" w:hAnsi="Times"/>
          <w:sz w:val="24"/>
        </w:rPr>
        <w:t>CBA” means CME Group Benchmark Administration Ltd.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w:hAnsi="Times"/>
          <w:sz w:val="24"/>
        </w:rPr>
        <w:t xml:space="preserve">CERCLA” means the Comprehensive Environmental Response, Compensation and Liability Act of 1980, as amended by the Superfund Amendments and Reauthorization Act of 1986, 42 U.S.C. </w:t>
      </w:r>
      <w:r>
        <w:rPr>
          <w:rFonts w:ascii="Times" w:hAnsi="Times"/>
          <w:b/>
          <w:sz w:val="24"/>
        </w:rPr>
        <w:t>§§</w:t>
      </w:r>
      <w:r>
        <w:rPr>
          <w:rFonts w:ascii="Times" w:hAnsi="Times"/>
          <w:sz w:val="24"/>
        </w:rPr>
        <w:t>9601 et seq., and any future amendments.</w:t>
      </w:r>
    </w:p>
    <w:p>
      <w:pPr>
        <w:pStyle w:val="TextBody"/>
        <w:bidi w:val="0"/>
        <w:spacing w:before="240" w:after="0"/>
        <w:ind w:left="0" w:right="0" w:firstLine="720"/>
        <w:jc w:val="both"/>
        <w:rPr/>
      </w:pPr>
      <w:bookmarkStart w:id="2384" w:name="_DV_C355"/>
      <w:bookmarkEnd w:id="2384"/>
      <w:r>
        <w:rPr/>
        <w:t>“</w:t>
      </w:r>
      <w:r>
        <w:rPr>
          <w:rFonts w:ascii="Times" w:hAnsi="Times"/>
          <w:sz w:val="24"/>
        </w:rPr>
        <w:t>Change in Law”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240" w:after="0"/>
        <w:ind w:left="0" w:right="0" w:firstLine="720"/>
        <w:jc w:val="both"/>
        <w:rPr/>
      </w:pPr>
      <w:r>
        <w:rPr/>
        <w:t>“</w:t>
      </w:r>
      <w:r>
        <w:rPr>
          <w:rFonts w:ascii="Times" w:hAnsi="Times"/>
          <w:sz w:val="24"/>
        </w:rPr>
        <w:t>Change of Control” means any of (a) the acquisition by any “person” or “group” (as such terms are used in sections 13(d) and 14(d) of the Securities Exchange Act of 1934, as amended) at any time that causes such person or group to become the “beneficial owner” (as defined in Rules 13d-3 and 13d-5 under the Securities Exchange Act of 1934, as amended) of 51% or more of the outstanding capital stock or other equity interests of the Borrower on a fully-diluted basis, other than acquisitions of such interests by any party who is an officer or director of the Borrower as of the Closing Date or (b) the failure of individuals who are members of the board of directors (or similar governing body) of the Borrower on the Closing Date (together with any new or replacement directors whose initial nomination for election was approved by a majority of the directors who were either directors on the Closing Date or previously so approved) to constitute a majority of the board of directors (or similar governing body) of the Borrower.</w:t>
      </w:r>
    </w:p>
    <w:p>
      <w:pPr>
        <w:pStyle w:val="TextBody"/>
        <w:bidi w:val="0"/>
        <w:spacing w:before="240" w:after="0"/>
        <w:ind w:left="0" w:right="0" w:firstLine="720"/>
        <w:jc w:val="both"/>
        <w:rPr/>
      </w:pPr>
      <w:r>
        <w:rPr/>
        <w:t>“</w:t>
      </w:r>
      <w:r>
        <w:rPr>
          <w:rFonts w:ascii="Times" w:hAnsi="Times"/>
          <w:sz w:val="24"/>
        </w:rPr>
        <w:t>Closing Date” means the date of this Agreement or such later Business Day upon which each condition described in Section 7.2 shall be satisfied or waived in a manner acceptable to the Administrative Agent in its discretion.</w:t>
      </w:r>
    </w:p>
    <w:p>
      <w:pPr>
        <w:pStyle w:val="TextBody"/>
        <w:bidi w:val="0"/>
        <w:spacing w:before="240" w:after="0"/>
        <w:ind w:left="0" w:right="0" w:firstLine="720"/>
        <w:jc w:val="both"/>
        <w:rPr/>
      </w:pPr>
      <w:r>
        <w:rPr/>
        <w:t>“</w:t>
      </w:r>
      <w:r>
        <w:rPr>
          <w:rFonts w:ascii="Times" w:hAnsi="Times"/>
          <w:sz w:val="24"/>
        </w:rPr>
        <w:t>Code” means the Internal Revenue Code of 1986, as amended, and any successor statute thereto.</w:t>
      </w:r>
    </w:p>
    <w:p>
      <w:pPr>
        <w:pStyle w:val="TextBody"/>
        <w:bidi w:val="0"/>
        <w:spacing w:before="240" w:after="0"/>
        <w:ind w:left="0" w:right="0" w:firstLine="720"/>
        <w:jc w:val="both"/>
        <w:rPr/>
      </w:pPr>
      <w:r>
        <w:rPr/>
        <w:t>“</w:t>
      </w:r>
      <w:r>
        <w:rPr>
          <w:rFonts w:ascii="Times" w:hAnsi="Times"/>
          <w:sz w:val="24"/>
        </w:rPr>
        <w:t>Collateral Account” is defined in Section 9.4(b) hereof.</w:t>
      </w:r>
    </w:p>
    <w:p>
      <w:pPr>
        <w:pStyle w:val="TextBody"/>
        <w:bidi w:val="0"/>
        <w:spacing w:before="280" w:after="0"/>
        <w:ind w:left="0" w:right="0" w:firstLine="720"/>
        <w:jc w:val="both"/>
        <w:rPr/>
      </w:pPr>
      <w:r>
        <w:rPr/>
        <w:t>“</w:t>
      </w:r>
      <w:r>
        <w:rPr>
          <w:rFonts w:ascii="Times New Roman;Times;serif" w:hAnsi="Times New Roman;Times;serif"/>
          <w:sz w:val="24"/>
        </w:rPr>
        <w:t>Collateral Assignment” means, collectively, each collateral assignment delivered to the Administrative Agent pursuant to Section 8.24(c) hereunder, as the same may be amended, modified, supplemented or restated from time to time.</w:t>
      </w:r>
    </w:p>
    <w:p>
      <w:pPr>
        <w:pStyle w:val="TextBody"/>
        <w:bidi w:val="0"/>
        <w:spacing w:before="240" w:after="0"/>
        <w:ind w:left="0" w:right="0" w:firstLine="720"/>
        <w:jc w:val="both"/>
        <w:rPr/>
      </w:pPr>
      <w:r>
        <w:rPr/>
        <w:t>“</w:t>
      </w:r>
      <w:r>
        <w:rPr>
          <w:rFonts w:ascii="Times" w:hAnsi="Times"/>
          <w:sz w:val="24"/>
        </w:rPr>
        <w:t xml:space="preserve">Collateral Documents” </w:t>
      </w:r>
      <w:r>
        <w:rPr>
          <w:rFonts w:ascii="Times New Roman;Times;serif" w:hAnsi="Times New Roman;Times;serif"/>
          <w:sz w:val="24"/>
        </w:rPr>
        <w:t xml:space="preserve">means the Mortgages, Collateral Assignments and Pledge and Control Agreements, if any, and any other security agreement, pledge agreement or other security document  that shall be executed by the Borrower or the Guarantors in favor of the Administrative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Agent and the Lenders pursuant to Section 8.24(c) hereunder, as the same may be amended, modified, supplemented or restated from time to time.</w:t>
      </w:r>
    </w:p>
    <w:p>
      <w:pPr>
        <w:pStyle w:val="TextBody"/>
        <w:bidi w:val="0"/>
        <w:spacing w:before="240" w:after="0"/>
        <w:ind w:left="0" w:right="0" w:firstLine="720"/>
        <w:jc w:val="both"/>
        <w:rPr/>
      </w:pPr>
      <w:r>
        <w:rPr/>
        <w:t>“</w:t>
      </w:r>
      <w:r>
        <w:rPr>
          <w:rFonts w:ascii="Times" w:hAnsi="Times"/>
          <w:sz w:val="24"/>
        </w:rPr>
        <w:t>Collateral Trigger Event” is defined in Section 8.24(b) hereof.</w:t>
      </w:r>
    </w:p>
    <w:p>
      <w:pPr>
        <w:pStyle w:val="TextBody"/>
        <w:bidi w:val="0"/>
        <w:spacing w:before="240" w:after="0"/>
        <w:ind w:left="0" w:right="0" w:firstLine="720"/>
        <w:jc w:val="both"/>
        <w:rPr/>
      </w:pPr>
      <w:r>
        <w:rPr/>
        <w:t>“</w:t>
      </w:r>
      <w:r>
        <w:rPr>
          <w:rFonts w:ascii="Times" w:hAnsi="Times"/>
          <w:sz w:val="24"/>
        </w:rPr>
        <w:t xml:space="preserve">Commitment” means a 2029 </w:t>
      </w:r>
      <w:bookmarkStart w:id="2385" w:name="_cp_change_416"/>
      <w:bookmarkEnd w:id="2385"/>
      <w:r>
        <w:rPr>
          <w:rFonts w:ascii="Times" w:hAnsi="Times"/>
          <w:color w:val="0000FF"/>
          <w:sz w:val="24"/>
          <w:u w:val="single"/>
        </w:rPr>
        <w:t xml:space="preserve">Term Loan Commitment, a </w:t>
      </w:r>
      <w:r>
        <w:rPr>
          <w:rFonts w:ascii="Times" w:hAnsi="Times"/>
          <w:color w:val="0000FF"/>
          <w:sz w:val="24"/>
          <w:u w:val="single"/>
          <w:shd w:fill="FFFFFF" w:val="clear"/>
        </w:rPr>
        <w:t xml:space="preserve">2030 </w:t>
      </w:r>
      <w:r>
        <w:rPr>
          <w:rFonts w:ascii="Times" w:hAnsi="Times"/>
          <w:sz w:val="24"/>
          <w:shd w:fill="FFFFFF" w:val="clear"/>
        </w:rPr>
        <w:t xml:space="preserve">Term Loan Commitment, </w:t>
      </w:r>
      <w:r>
        <w:rPr>
          <w:rFonts w:ascii="Times" w:hAnsi="Times"/>
          <w:sz w:val="24"/>
        </w:rPr>
        <w:t>an Incremental Revolving Commitment, or an Incremental Term Loan Commitment, as the context may require.</w:t>
      </w:r>
    </w:p>
    <w:p>
      <w:pPr>
        <w:pStyle w:val="TextBody"/>
        <w:bidi w:val="0"/>
        <w:spacing w:before="240" w:after="0"/>
        <w:ind w:left="0" w:right="0" w:firstLine="720"/>
        <w:jc w:val="both"/>
        <w:rPr/>
      </w:pPr>
      <w:r>
        <w:rPr/>
        <w:t>“</w:t>
      </w:r>
      <w:r>
        <w:rPr>
          <w:rFonts w:ascii="Times" w:hAnsi="Times"/>
          <w:sz w:val="24"/>
        </w:rPr>
        <w:t>Commitment Amount Increase” has the meaning assigned to such term in Section 1.15.</w:t>
      </w:r>
    </w:p>
    <w:p>
      <w:pPr>
        <w:pStyle w:val="TextBody"/>
        <w:bidi w:val="0"/>
        <w:spacing w:before="240" w:after="0"/>
        <w:ind w:left="0" w:right="0" w:firstLine="720"/>
        <w:jc w:val="both"/>
        <w:rPr/>
      </w:pPr>
      <w:r>
        <w:rPr/>
        <w:t>“</w:t>
      </w:r>
      <w:r>
        <w:rPr>
          <w:rFonts w:ascii="Times" w:hAnsi="Times"/>
          <w:sz w:val="24"/>
        </w:rPr>
        <w:t>Commitment Increase” has the meaning assigned to such term in Section 1.15.</w:t>
      </w:r>
    </w:p>
    <w:p>
      <w:pPr>
        <w:pStyle w:val="TextBody"/>
        <w:bidi w:val="0"/>
        <w:spacing w:before="240" w:after="0"/>
        <w:ind w:left="0" w:right="0" w:firstLine="720"/>
        <w:jc w:val="both"/>
        <w:rPr/>
      </w:pPr>
      <w:r>
        <w:rPr/>
        <w:t>“</w:t>
      </w:r>
      <w:r>
        <w:rPr>
          <w:rFonts w:ascii="Times" w:hAnsi="Times"/>
          <w:sz w:val="24"/>
        </w:rPr>
        <w:t>Commodity Exchange Act” means the Commodity Exchange Act (7 U.S.C. § 1 et seq.), as amended from time to time, and any successor statute.</w:t>
      </w:r>
    </w:p>
    <w:p>
      <w:pPr>
        <w:pStyle w:val="TextBody"/>
        <w:bidi w:val="0"/>
        <w:spacing w:before="240" w:after="0"/>
        <w:ind w:left="0" w:right="0" w:firstLine="720"/>
        <w:jc w:val="both"/>
        <w:rPr/>
      </w:pPr>
      <w:r>
        <w:rPr/>
        <w:t>“</w:t>
      </w:r>
      <w:r>
        <w:rPr>
          <w:rFonts w:ascii="Times" w:hAnsi="Times"/>
          <w:sz w:val="24"/>
        </w:rPr>
        <w:t>Compliance Certificate” is defined in Section 8.5(e) hereof.</w:t>
      </w:r>
    </w:p>
    <w:p>
      <w:pPr>
        <w:pStyle w:val="TextBody"/>
        <w:bidi w:val="0"/>
        <w:spacing w:before="240" w:after="0"/>
        <w:ind w:left="0" w:right="0" w:firstLine="720"/>
        <w:jc w:val="both"/>
        <w:rPr/>
      </w:pPr>
      <w:r>
        <w:rPr/>
        <w:t>“</w:t>
      </w:r>
      <w:r>
        <w:rPr>
          <w:rFonts w:ascii="Times" w:hAnsi="Times"/>
          <w:sz w:val="24"/>
        </w:rPr>
        <w:t>Conforming Changes” means, with respect to either the use or administration of Daily Simple SOFR or Term SOFR, or the use, administration, adoption or implementation of any Benchmark Replacement, any technical, administrative or operational changes (including changes to the definition of “Base Rate,” the definition of “Business Day,” the definition of “SOFR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1.11 and other technical, administrative or operational matters) that the Administrative Agent reasonably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240" w:after="0"/>
        <w:ind w:left="0" w:right="0" w:firstLine="720"/>
        <w:jc w:val="both"/>
        <w:rPr/>
      </w:pPr>
      <w:r>
        <w:rPr/>
        <w:t>“</w:t>
      </w:r>
      <w:r>
        <w:rPr>
          <w:rFonts w:ascii="Times" w:hAnsi="Times"/>
          <w:sz w:val="24"/>
        </w:rPr>
        <w:t>Connection Income Taxes” means Other Connection Taxes that are imposed on or measured by net income (however denominated) or that are franchise Taxes or branch profit Taxes.</w:t>
      </w:r>
    </w:p>
    <w:p>
      <w:pPr>
        <w:pStyle w:val="TextBody"/>
        <w:bidi w:val="0"/>
        <w:spacing w:before="240" w:after="0"/>
        <w:ind w:left="0" w:right="0" w:firstLine="720"/>
        <w:jc w:val="both"/>
        <w:rPr/>
      </w:pPr>
      <w:r>
        <w:rPr/>
        <w:t>“</w:t>
      </w:r>
      <w:r>
        <w:rPr>
          <w:rFonts w:ascii="Times" w:hAnsi="Times"/>
          <w:sz w:val="24"/>
        </w:rPr>
        <w:t>Controlled Group” means all members of a controlled group of corporations and all trades or businesses (whether or not incorporated) under common control which, together with the Borrower, are treated as a single employer under Section 414 of the Code.</w:t>
      </w:r>
    </w:p>
    <w:p>
      <w:pPr>
        <w:pStyle w:val="TextBody"/>
        <w:bidi w:val="0"/>
        <w:spacing w:before="240" w:after="0"/>
        <w:ind w:left="0" w:right="0" w:firstLine="720"/>
        <w:jc w:val="both"/>
        <w:rPr/>
      </w:pPr>
      <w:r>
        <w:rPr/>
        <w:t>“</w:t>
      </w:r>
      <w:r>
        <w:rPr>
          <w:rFonts w:ascii="Times" w:hAnsi="Times"/>
          <w:sz w:val="24"/>
        </w:rPr>
        <w:t>Convertible Senior Notes” means the Borrower’s 3.875% Convertible Senior Notes due 2025.</w:t>
      </w:r>
    </w:p>
    <w:p>
      <w:pPr>
        <w:pStyle w:val="TextBody"/>
        <w:bidi w:val="0"/>
        <w:spacing w:before="240" w:after="0"/>
        <w:ind w:left="0" w:right="0" w:firstLine="720"/>
        <w:jc w:val="both"/>
        <w:rPr/>
      </w:pPr>
      <w:r>
        <w:rPr/>
        <w:t>“</w:t>
      </w:r>
      <w:r>
        <w:rPr>
          <w:rFonts w:ascii="Times" w:hAnsi="Times"/>
          <w:sz w:val="24"/>
        </w:rPr>
        <w:t>Covered Entity” has the meaning specified in Section 12.29.</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w:hAnsi="Times"/>
          <w:sz w:val="24"/>
        </w:rPr>
        <w:t>Daily Simple SOFR” means, for any day (a “SOFR Rate Day”), a rate per annum equal to SOFR for the day (such day, the “SOFR Determination Day”) that is five (5) SOFR Business Days prior to (i) if such SOFR Rate Day is a SOFR Business Day, such SOFR Rate Day or (ii) if such SOFR Rate Day is not a SOFR Business Day, the SOFR Business Day immediately preceding such SOFR Rate Day, in each case, as and when SOFR for such SOFR Rate Day is published by the SOFR Administrator on the SOFR Administrator’s Website.  If by 5:00 pm (New York City time) on the second (2nd) SOFR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SOFR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pStyle w:val="TextBody"/>
        <w:bidi w:val="0"/>
        <w:spacing w:before="240" w:after="0"/>
        <w:ind w:left="0" w:right="0" w:firstLine="720"/>
        <w:jc w:val="both"/>
        <w:rPr/>
      </w:pPr>
      <w:r>
        <w:rPr/>
        <w:t>“</w:t>
      </w:r>
      <w:r>
        <w:rPr>
          <w:rFonts w:ascii="Times" w:hAnsi="Times"/>
          <w:sz w:val="24"/>
        </w:rPr>
        <w:t xml:space="preserve">Daily Simple SOFR Rate Loan” means a Loan bearing interest at a rate based on </w:t>
      </w:r>
      <w:bookmarkStart w:id="2386" w:name="_cp_change_417"/>
      <w:bookmarkEnd w:id="2386"/>
      <w:r>
        <w:rPr>
          <w:rFonts w:ascii="Times" w:hAnsi="Times"/>
          <w:color w:val="FF0000"/>
          <w:sz w:val="24"/>
        </w:rPr>
        <w:t xml:space="preserve">Adjusted </w:t>
      </w:r>
      <w:r>
        <w:rPr>
          <w:rFonts w:ascii="Times" w:hAnsi="Times"/>
          <w:sz w:val="24"/>
        </w:rPr>
        <w:t>Daily Simple SOFR.</w:t>
      </w:r>
    </w:p>
    <w:p>
      <w:pPr>
        <w:pStyle w:val="TextBody"/>
        <w:bidi w:val="0"/>
        <w:spacing w:before="240" w:after="0"/>
        <w:ind w:left="0" w:right="0" w:firstLine="720"/>
        <w:jc w:val="both"/>
        <w:rPr/>
      </w:pPr>
      <w:r>
        <w:rPr/>
        <w:t>“</w:t>
      </w:r>
      <w:r>
        <w:rPr>
          <w:rFonts w:ascii="Times" w:hAnsi="Times"/>
          <w:sz w:val="24"/>
        </w:rPr>
        <w:t>Debt Service Coverage Amount” means the principal amount of a loan that would be serviced by the Borrowing Base NOI for the Rolling Period most recently ended for which financial statements have been delivered pursuant to Section 8.5 hereof at a debt service coverage ratio of 1.40 to 1.00 with interest and principal payments (in each case assuming a 30-year amortization) at the greatest of (i) 5.75% per annum, (ii) a Term SOFR Rate Loan with an Interest Period of one (1) month (including the Applicable Margin) as of the last day of the most recent fiscal quarter and (iii) the 10-year treasury rate on the last day of such period plus 2.5%; provided that Borrowing Base NOI shall be reduced by excluding a portion of Property NOI attributable to Borrowing Base Real Property Assets that exceed the concentration limits in the Borrowing Base Requirements or of cash interest income or dividends from Borrowing Base Mortgage Receivables or Borrowing Base PINE Common Equity that exceed the concentration limits in the Borrowing Base Requirements.</w:t>
      </w:r>
    </w:p>
    <w:p>
      <w:pPr>
        <w:pStyle w:val="TextBody"/>
        <w:bidi w:val="0"/>
        <w:spacing w:before="240" w:after="0"/>
        <w:ind w:left="0" w:right="0" w:firstLine="720"/>
        <w:jc w:val="both"/>
        <w:rPr/>
      </w:pPr>
      <w:bookmarkStart w:id="2387" w:name="_DV_C1204"/>
      <w:bookmarkEnd w:id="2387"/>
      <w:r>
        <w:rPr/>
        <w:t>“</w:t>
      </w:r>
      <w:r>
        <w:rPr>
          <w:rFonts w:ascii="Times" w:hAnsi="Times"/>
          <w:sz w:val="24"/>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240" w:after="0"/>
        <w:ind w:left="0" w:right="0" w:firstLine="720"/>
        <w:jc w:val="both"/>
        <w:rPr/>
      </w:pPr>
      <w:r>
        <w:rPr/>
        <w:t>“</w:t>
      </w:r>
      <w:r>
        <w:rPr>
          <w:rFonts w:ascii="Times" w:hAnsi="Times"/>
          <w:sz w:val="24"/>
        </w:rPr>
        <w:t>Default” means any event or condition the occurrence of which would, with the passage of time or the giving of notice, or both, constitute an Event of Default.</w:t>
      </w:r>
    </w:p>
    <w:p>
      <w:pPr>
        <w:pStyle w:val="TextBody"/>
        <w:bidi w:val="0"/>
        <w:spacing w:before="240" w:after="0"/>
        <w:ind w:left="0" w:right="0" w:firstLine="720"/>
        <w:jc w:val="both"/>
        <w:rPr/>
      </w:pPr>
      <w:r>
        <w:rPr/>
        <w:t>“</w:t>
      </w:r>
      <w:r>
        <w:rPr>
          <w:rFonts w:ascii="Times" w:hAnsi="Times"/>
          <w:sz w:val="24"/>
        </w:rPr>
        <w:t>Defaulted Loan” is defined in the definition of “Defaulting Lender” in this Section 5.1.</w:t>
      </w:r>
    </w:p>
    <w:p>
      <w:pPr>
        <w:pStyle w:val="TextBody"/>
        <w:bidi w:val="0"/>
        <w:spacing w:before="240" w:after="0"/>
        <w:ind w:left="0" w:right="0" w:firstLine="720"/>
        <w:jc w:val="both"/>
        <w:rPr/>
      </w:pPr>
      <w:r>
        <w:rPr/>
        <w:t>“</w:t>
      </w:r>
      <w:r>
        <w:rPr>
          <w:rFonts w:ascii="Times" w:hAnsi="Times"/>
          <w:sz w:val="24"/>
        </w:rPr>
        <w:t xml:space="preserve">Defaulting Lender” means any Lender that (a) has failed to fund any portion of the Loans required to be funded by it hereunder (herein, a “Defaulted Loan”) within two (2) Business Days of the date required to be funded by it hereunder unless such failure has been cured, (b) has otherwise failed to pay over to the Administrative Agent or any other Lender any other amount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required to be paid by it hereunder (except for up to $25,000 in the aggregate from a Lender which is owing for less than five (5) Business Days) within two (2) Business Days of the date when due, unless the subject of a good faith dispute or unless such failure has been cured, (c) has experienced a Bankruptcy Event or (d) a receiver or conservator has been appointed for such Lender or (e) has become the subject of a Bail-In Action.</w:t>
      </w:r>
    </w:p>
    <w:p>
      <w:pPr>
        <w:pStyle w:val="TextBody"/>
        <w:bidi w:val="0"/>
        <w:spacing w:before="240" w:after="0"/>
        <w:ind w:left="0" w:right="0" w:firstLine="720"/>
        <w:jc w:val="both"/>
        <w:rPr/>
      </w:pPr>
      <w:r>
        <w:rPr/>
        <w:t>“</w:t>
      </w:r>
      <w:r>
        <w:rPr>
          <w:rFonts w:ascii="Times" w:hAnsi="Times"/>
          <w:sz w:val="24"/>
        </w:rPr>
        <w:t>Defaulting Lender Excess” means, with respect to any Defaulting Lender, the excess, if any, of such Defaulting Lender’s Applicable Percentage of the aggregate outstanding principal amount of Loans of all Lenders (calculated as if all Defaulting Lenders other than such Defaulting Lender had funded all of their respective Defaulted Loans) over the aggregate outstanding principal amount of all Loans of such Defaulting Lender.</w:t>
      </w:r>
    </w:p>
    <w:p>
      <w:pPr>
        <w:pStyle w:val="TextBody"/>
        <w:bidi w:val="0"/>
        <w:spacing w:before="240" w:after="0"/>
        <w:ind w:left="0" w:right="0" w:firstLine="720"/>
        <w:jc w:val="both"/>
        <w:rPr/>
      </w:pPr>
      <w:r>
        <w:rPr/>
        <w:t>“</w:t>
      </w:r>
      <w:r>
        <w:rPr>
          <w:rFonts w:ascii="Times" w:hAnsi="Times"/>
          <w:sz w:val="24"/>
        </w:rPr>
        <w:t>Defaulting Lender Period” means, with respect to any Defaulting Lender, the period commencing on the date upon which such Lender first became a Defaulting Lender and ending on the earliest of the following dates: the date on which (a) such Defaulting Lender is no longer the subject of a Bankruptcy Event or, if applicable, under the direction of a receiver or conservator, (b) the Defaulting Lender Excess with respect to such Defaulting Lender shall have been reduced to zero (whether by the funding by such Defaulting Lender of any Defaulted Loans of such Defaulting Lender or otherwise), and (c) such Defaulting Lender shall have delivered to the Borrower and the Administrative Agent a written reaffirmation of its intention to honor its obligations hereunder.</w:t>
      </w:r>
    </w:p>
    <w:p>
      <w:pPr>
        <w:pStyle w:val="TextBody"/>
        <w:bidi w:val="0"/>
        <w:spacing w:before="240" w:after="0"/>
        <w:ind w:left="0" w:right="0" w:firstLine="720"/>
        <w:jc w:val="both"/>
        <w:rPr/>
      </w:pPr>
      <w:r>
        <w:rPr/>
        <w:t>“</w:t>
      </w:r>
      <w:r>
        <w:rPr>
          <w:rFonts w:ascii="Times" w:hAnsi="Times"/>
          <w:sz w:val="24"/>
        </w:rPr>
        <w:t>Dividends” means any dividend paid (or declared and then payable), as the case may be, in cash on any equity security issued by the Borrower.</w:t>
      </w:r>
    </w:p>
    <w:p>
      <w:pPr>
        <w:pStyle w:val="TextBody"/>
        <w:bidi w:val="0"/>
        <w:spacing w:before="240" w:after="0"/>
        <w:ind w:left="0" w:right="0" w:firstLine="720"/>
        <w:jc w:val="both"/>
        <w:rPr/>
      </w:pPr>
      <w:r>
        <w:rPr/>
        <w:t>“</w:t>
      </w:r>
      <w:r>
        <w:rPr>
          <w:rFonts w:ascii="Times" w:hAnsi="Times"/>
          <w:sz w:val="24"/>
        </w:rPr>
        <w:t>Division” means the division of the assets, liabilities and/or obligations of a Person (the “Dividing Person”)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pStyle w:val="TextBody"/>
        <w:bidi w:val="0"/>
        <w:spacing w:before="240" w:after="0"/>
        <w:ind w:left="0" w:right="0" w:firstLine="720"/>
        <w:jc w:val="both"/>
        <w:rPr/>
      </w:pPr>
      <w:r>
        <w:rPr/>
        <w:t>“</w:t>
      </w:r>
      <w:r>
        <w:rPr>
          <w:rFonts w:ascii="Times" w:hAnsi="Times"/>
          <w:sz w:val="24"/>
        </w:rPr>
        <w:t>EBITDA” means, for any period, determined on a consolidated basis of the Borrower and its Subsidiaries, in accordance with GAAP, the sum of net income (or loss) plus: (i) depreciation and amortization expense, to the extent included as an expense in the calculation of net income (or loss); (ii) Interest Expense; (iii) income tax expense, to the extent included as an expense in the calculation of net income (or loss); (iv) extraordinary, unrealized or non-recurring losses, including (A) impairment charges and (B) losses from the sale of real property, and (v) non-cash compensation paid to employees of the Borrower in the form of the Borrower’s equity securities, minus: (a) extraordinary, unrealized or non-recurring gains, including (x) the write-up or write-offs of assets and (y) gains (or losses) from the sale of real property, (b) income tax benefits, (c) stock-based compensation and (d) other non-cash items as mutually agreed upon by the Borrower and Administrative Agent.  The Borrower’s Ownership Share of the EBITDA of its Unconsolidated Affiliates will be included when determining EBITDA of the Borrower and its Subsidiaries.</w:t>
      </w:r>
    </w:p>
    <w:p>
      <w:pPr>
        <w:pStyle w:val="TextBody"/>
        <w:bidi w:val="0"/>
        <w:spacing w:before="240" w:after="0"/>
        <w:ind w:left="0" w:right="0" w:firstLine="720"/>
        <w:jc w:val="both"/>
        <w:rPr/>
      </w:pPr>
      <w:r>
        <w:rPr/>
        <w:t>“</w:t>
      </w:r>
      <w:r>
        <w:rPr>
          <w:rFonts w:ascii="Times" w:hAnsi="Times"/>
          <w:sz w:val="24"/>
        </w:rPr>
        <w:t xml:space="preserve">EEA Financial Institution” means (a) any institution established in any EEA Member Country which is subject to the supervision of an applicable Resolution Authority, (b) any entity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pStyle w:val="TextBody"/>
        <w:bidi w:val="0"/>
        <w:spacing w:before="240" w:after="0"/>
        <w:ind w:left="0" w:right="0" w:firstLine="720"/>
        <w:jc w:val="both"/>
        <w:rPr/>
      </w:pPr>
      <w:r>
        <w:rPr/>
        <w:t>“</w:t>
      </w:r>
      <w:r>
        <w:rPr>
          <w:rFonts w:ascii="Times" w:hAnsi="Times"/>
          <w:sz w:val="24"/>
        </w:rPr>
        <w:t>EEA Member Country” means any of the member states of the European Union, Iceland, Liechtenstein, and Norway.</w:t>
      </w:r>
    </w:p>
    <w:p>
      <w:pPr>
        <w:pStyle w:val="TextBody"/>
        <w:bidi w:val="0"/>
        <w:spacing w:before="240" w:after="0"/>
        <w:ind w:left="0" w:right="0" w:firstLine="720"/>
        <w:jc w:val="both"/>
        <w:rPr/>
      </w:pPr>
      <w:r>
        <w:rPr/>
        <w:t>“</w:t>
      </w:r>
      <w:r>
        <w:rPr>
          <w:rFonts w:ascii="Times" w:hAnsi="Times"/>
          <w:sz w:val="24"/>
        </w:rPr>
        <w:t>EEA Resolution Authority”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40" w:after="0"/>
        <w:ind w:left="0" w:right="0" w:firstLine="720"/>
        <w:jc w:val="both"/>
        <w:rPr/>
      </w:pPr>
      <w:r>
        <w:rPr/>
        <w:t>“</w:t>
      </w:r>
      <w:r>
        <w:rPr>
          <w:rFonts w:ascii="Times" w:hAnsi="Times"/>
          <w:sz w:val="24"/>
        </w:rPr>
        <w:t>Electronic Copy” has the meaning specified in Section 8.23.</w:t>
      </w:r>
    </w:p>
    <w:p>
      <w:pPr>
        <w:pStyle w:val="TextBody"/>
        <w:bidi w:val="0"/>
        <w:spacing w:before="240" w:after="0"/>
        <w:ind w:left="0" w:right="0" w:firstLine="720"/>
        <w:jc w:val="both"/>
        <w:rPr/>
      </w:pPr>
      <w:r>
        <w:rPr/>
        <w:t>“</w:t>
      </w:r>
      <w:r>
        <w:rPr>
          <w:rFonts w:ascii="Times" w:hAnsi="Times"/>
          <w:sz w:val="24"/>
        </w:rPr>
        <w:t>Electronic Record” has the meaning specified in Section 8.23</w:t>
      </w:r>
    </w:p>
    <w:p>
      <w:pPr>
        <w:pStyle w:val="TextBody"/>
        <w:bidi w:val="0"/>
        <w:spacing w:before="240" w:after="0"/>
        <w:ind w:left="0" w:right="0" w:firstLine="720"/>
        <w:jc w:val="both"/>
        <w:rPr/>
      </w:pPr>
      <w:r>
        <w:rPr/>
        <w:t>“</w:t>
      </w:r>
      <w:r>
        <w:rPr>
          <w:rFonts w:ascii="Times" w:hAnsi="Times"/>
          <w:sz w:val="24"/>
        </w:rPr>
        <w:t>Electronic Signature” has the meaning specified in Section 8.23.</w:t>
      </w:r>
    </w:p>
    <w:p>
      <w:pPr>
        <w:pStyle w:val="TextBody"/>
        <w:bidi w:val="0"/>
        <w:spacing w:before="280" w:after="0"/>
        <w:ind w:left="0" w:right="0" w:firstLine="720"/>
        <w:jc w:val="both"/>
        <w:rPr/>
      </w:pPr>
      <w:r>
        <w:rPr/>
        <w:t>“</w:t>
      </w:r>
      <w:r>
        <w:rPr>
          <w:rFonts w:ascii="Times New Roman;Times;serif" w:hAnsi="Times New Roman;Times;serif"/>
          <w:sz w:val="24"/>
        </w:rPr>
        <w:t>Eligible Asset” means, as of any Borrowing Base Determination Date, any Eligible Property, Eligible Mortgage Receivable or Eligible PINE Common Equity.</w:t>
      </w:r>
    </w:p>
    <w:p>
      <w:pPr>
        <w:pStyle w:val="TextBody"/>
        <w:bidi w:val="0"/>
        <w:spacing w:before="240" w:after="0"/>
        <w:ind w:left="0" w:right="0" w:firstLine="720"/>
        <w:jc w:val="both"/>
        <w:rPr/>
      </w:pPr>
      <w:r>
        <w:rPr/>
        <w:t>“</w:t>
      </w:r>
      <w:r>
        <w:rPr>
          <w:rFonts w:ascii="Times" w:hAnsi="Times"/>
          <w:sz w:val="24"/>
        </w:rPr>
        <w:t>Eligible Assignee” means (a) a Lender, (b) an Affiliate of a Lender, (c) an Approved Fund, and (d) any other Person (other than a natural person) approved by (i) the Administrative Agent, and (ii) unless an Event of Default has occurred and is continuing, the Borrower (each such approval not to be unreasonably withheld or delayed); provided that notwithstanding the foregoing, “Eligible Assignee” shall not include the Borrower or any Guarantor or any of the Borrower’s or such Guarantor’s Affiliates or Subsidiaries.</w:t>
      </w:r>
    </w:p>
    <w:p>
      <w:pPr>
        <w:pStyle w:val="TextBody"/>
        <w:bidi w:val="0"/>
        <w:spacing w:before="240" w:after="0"/>
        <w:ind w:left="0" w:right="0" w:firstLine="720"/>
        <w:jc w:val="both"/>
        <w:rPr/>
      </w:pPr>
      <w:r>
        <w:rPr/>
        <w:t>“</w:t>
      </w:r>
      <w:r>
        <w:rPr>
          <w:rFonts w:ascii="Times" w:hAnsi="Times"/>
          <w:sz w:val="24"/>
        </w:rPr>
        <w:t>Eligible Leasehold Interest” means a leasehold interest where the Borrower or its Subsidiary is the lessee thereunder containing (a) the following terms and conditions: (i) a remaining term (inclusive of any unexercised extension options exercisable at lessee’s sole option) of thirty (30) years or more from the Closing Date or, with respect to any applicable Eligible Leasehold Interests, as previously approved by the Lenders prior to the Closing Date; (ii) the right of the lessee to mortgage and encumber its interest in the leased property without the consent of the lessor; (iii)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 and fails to do so; (iv) transferability and/or assignment of the lessee’s interest under such lease, including the ability to sublease, without consent; (v) such other rights customarily required by mortgagees making a loan secured by the interest of the holder of the leasehold estate demised pursuant to a ground lease; and (vi) in the event that such lease is terminated, such holder shall have the option to enter into a new lease having terms substantially identical to those contained in the terminated lease; or (b) terms and conditions otherwise reasonably acceptable to the Administrative Agent.</w:t>
      </w:r>
    </w:p>
    <w:p>
      <w:pPr>
        <w:pStyle w:val="TextBody"/>
        <w:bidi w:val="0"/>
        <w:spacing w:before="280" w:after="0"/>
        <w:ind w:left="0" w:right="0" w:firstLine="720"/>
        <w:jc w:val="both"/>
        <w:rPr/>
      </w:pPr>
      <w:r>
        <w:rPr/>
        <w:t>“</w:t>
      </w:r>
      <w:r>
        <w:rPr>
          <w:rFonts w:ascii="Times New Roman;Times;serif" w:hAnsi="Times New Roman;Times;serif"/>
          <w:sz w:val="24"/>
        </w:rPr>
        <w:t xml:space="preserve">Eligible Mortgage Receivable” means, as of any Borrowing Base Determination Date, any Mortgage Receivable that satisfies the following conditions (a) such Mortgage Receivable is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owed solely to the Borrower or a Material Subsidiary, and in the case of a Material Subsidiary, such Material Subsidiary has provided an Additional Guarantor Supplement or other Guaranty to the Administrative Agent pursuant to Section 4.2 hereof, (b) neither such Mortgage Receivable nor, if such Mortgage Receivable is owned by a Material Subsidiary, the Borrower’s beneficial ownership interest in such Material Subsidiary, is subject to (i) a Lien other than Permitted Liens or (ii) any negative pledge (other than a negative pledge under the terms of the documentation evidencing Other Unsecured Indebtedness), (c) such Mortgage Receivable is not more than 60 days past due or otherwise in default, </w:t>
      </w:r>
      <w:bookmarkStart w:id="2388" w:name="_Hlk184323651"/>
      <w:bookmarkEnd w:id="2388"/>
      <w:r>
        <w:rPr>
          <w:rFonts w:ascii="Times New Roman;Times;serif" w:hAnsi="Times New Roman;Times;serif"/>
          <w:sz w:val="24"/>
        </w:rPr>
        <w:t xml:space="preserve">(d) the Borrower, or if such Mortgage Receivable is owned by a Material Subsidiary, such Material Subsidiary, has the unilateral right to sell, transfer or otherwise dispose of such Mortgage Receivable and to create a Lien on such Mortgage Receivable as security for Indebtedness for Borrowed Money, (e) such Mortgage Receivable is secured by a first priority lien on real property located on a Property that meets the criteria for Eligible Property (excluding </w:t>
      </w:r>
      <w:r>
        <w:rPr>
          <w:rFonts w:ascii="Times New Roman;Times;serif" w:hAnsi="Times New Roman;Times;serif"/>
          <w:sz w:val="24"/>
          <w:u w:val="single"/>
        </w:rPr>
        <w:t>clauses</w:t>
      </w:r>
      <w:r>
        <w:rPr>
          <w:rFonts w:ascii="Times New Roman;Times;serif" w:hAnsi="Times New Roman;Times;serif"/>
          <w:sz w:val="24"/>
        </w:rPr>
        <w:t xml:space="preserve"> </w:t>
      </w:r>
      <w:r>
        <w:rPr>
          <w:rFonts w:ascii="Times New Roman;Times;serif" w:hAnsi="Times New Roman;Times;serif"/>
          <w:sz w:val="24"/>
          <w:u w:val="single"/>
        </w:rPr>
        <w:t>(c)</w:t>
      </w:r>
      <w:r>
        <w:rPr>
          <w:rFonts w:ascii="Times New Roman;Times;serif" w:hAnsi="Times New Roman;Times;serif"/>
          <w:sz w:val="24"/>
        </w:rPr>
        <w:t xml:space="preserve">, </w:t>
      </w:r>
      <w:r>
        <w:rPr>
          <w:rFonts w:ascii="Times New Roman;Times;serif" w:hAnsi="Times New Roman;Times;serif"/>
          <w:sz w:val="24"/>
          <w:u w:val="single"/>
        </w:rPr>
        <w:t>(d)</w:t>
      </w:r>
      <w:r>
        <w:rPr>
          <w:rFonts w:ascii="Times New Roman;Times;serif" w:hAnsi="Times New Roman;Times;serif"/>
          <w:sz w:val="24"/>
        </w:rPr>
        <w:t xml:space="preserve">, </w:t>
      </w:r>
      <w:r>
        <w:rPr>
          <w:rFonts w:ascii="Times New Roman;Times;serif" w:hAnsi="Times New Roman;Times;serif"/>
          <w:sz w:val="24"/>
          <w:u w:val="single"/>
        </w:rPr>
        <w:t>(g)</w:t>
      </w:r>
      <w:r>
        <w:rPr>
          <w:rFonts w:ascii="Times New Roman;Times;serif" w:hAnsi="Times New Roman;Times;serif"/>
          <w:sz w:val="24"/>
        </w:rPr>
        <w:t xml:space="preserve">, and </w:t>
      </w:r>
      <w:r>
        <w:rPr>
          <w:rFonts w:ascii="Times New Roman;Times;serif" w:hAnsi="Times New Roman;Times;serif"/>
          <w:sz w:val="24"/>
          <w:u w:val="single"/>
        </w:rPr>
        <w:t>(j)</w:t>
      </w:r>
      <w:r>
        <w:rPr>
          <w:rFonts w:ascii="Times New Roman;Times;serif" w:hAnsi="Times New Roman;Times;serif"/>
          <w:sz w:val="24"/>
        </w:rPr>
        <w:t xml:space="preserve"> of the definition thereof and except that with respect to the conditions set forth in </w:t>
      </w:r>
      <w:r>
        <w:rPr>
          <w:rFonts w:ascii="Times New Roman;Times;serif" w:hAnsi="Times New Roman;Times;serif"/>
          <w:sz w:val="24"/>
          <w:u w:val="single"/>
        </w:rPr>
        <w:t>clause (a)</w:t>
      </w:r>
      <w:r>
        <w:rPr>
          <w:rFonts w:ascii="Times New Roman;Times;serif" w:hAnsi="Times New Roman;Times;serif"/>
          <w:sz w:val="24"/>
        </w:rPr>
        <w:t xml:space="preserve"> of the definition thereof, the references to any Borrower, Guarantor, or any 1031 Property Holder shall be deemed to refer to the borrower under such Mortgage Receivable); (f) such Mortgage Receivable is secured by a retail or Retail Mixed-Use Property and (g) such Mortgage Receivable is not secured by a Land Asset (it being understood that the Property securing such Mortgage Receivable may be an Asset Under Development).</w:t>
      </w:r>
    </w:p>
    <w:p>
      <w:pPr>
        <w:pStyle w:val="TextBody"/>
        <w:bidi w:val="0"/>
        <w:spacing w:before="280" w:after="0"/>
        <w:ind w:left="0" w:right="0" w:firstLine="720"/>
        <w:jc w:val="both"/>
        <w:rPr/>
      </w:pPr>
      <w:r>
        <w:rPr/>
        <w:t>“</w:t>
      </w:r>
      <w:r>
        <w:rPr>
          <w:rFonts w:ascii="Times New Roman;Times;serif" w:hAnsi="Times New Roman;Times;serif"/>
          <w:sz w:val="24"/>
        </w:rPr>
        <w:t>Eligible PINE Common Equity” means, as of any Borrowing Base Determination Date, any PINE Common Equity that satisfies the following conditions (a) such PINE Common Equity is owned by a Borrower or a Material Subsidiary, and in the case of a Material Subsidiary, such Material Subsidiary has provided an Additional Guarantor Supplement or other Guaranty to the Administrative Agent pursuant to Section 4.2 hereof; (b) neither such PINE Common Equity nor, if such PINE Common Equity is owned by a Material Subsidiary, the Borrower’s beneficial ownership interest in such Material Subsidiary, is subject to (i) a Lien other than Permitted Liens or (ii) any negative pledge (other than a negative pledge under the terms of the documentation evidencing Other Unsecured Indebtedness); and (c) the Borrower, or if such PINE Common Equity is owned by a Material Subsidiary, such Material Subsidiary, has the unilateral right to sell, transfer or otherwise dispose of such PINE Common Equity and to create a Lien on such PINE Common Equity as security for Indebtedness for Borrowed Money.</w:t>
      </w:r>
    </w:p>
    <w:p>
      <w:pPr>
        <w:pStyle w:val="TextBody"/>
        <w:bidi w:val="0"/>
        <w:spacing w:before="240" w:after="0"/>
        <w:ind w:left="0" w:right="0" w:firstLine="720"/>
        <w:jc w:val="both"/>
        <w:rPr/>
      </w:pPr>
      <w:r>
        <w:rPr/>
        <w:t>“</w:t>
      </w:r>
      <w:r>
        <w:rPr>
          <w:rFonts w:ascii="Times" w:hAnsi="Times"/>
          <w:sz w:val="24"/>
        </w:rPr>
        <w:t>Eligible Property” means, as of any Borrowing Base Determination Date, any Property owned by the Borrower, a Guarantor or a 1031 Property Holder which satisfies the following conditions:</w:t>
      </w:r>
    </w:p>
    <w:p>
      <w:pPr>
        <w:pStyle w:val="TextBody"/>
        <w:bidi w:val="0"/>
        <w:spacing w:before="240" w:after="0"/>
        <w:ind w:left="720" w:right="0" w:hanging="0"/>
        <w:jc w:val="both"/>
        <w:rPr>
          <w:rFonts w:ascii="Times" w:hAnsi="Times"/>
          <w:sz w:val="24"/>
        </w:rPr>
      </w:pPr>
      <w:r>
        <w:rPr>
          <w:rFonts w:ascii="Times" w:hAnsi="Times"/>
          <w:sz w:val="24"/>
        </w:rPr>
        <w:t>(a)Is real property one hundred percent (100%) owned in fee simple, individually or collectively, by the Borrower, any Guarantor or any 1031 Property Holder, or is leased pursuant to an Eligible Leasehold Interest;</w:t>
      </w:r>
    </w:p>
    <w:p>
      <w:pPr>
        <w:pStyle w:val="TextBody"/>
        <w:bidi w:val="0"/>
        <w:spacing w:before="240" w:after="0"/>
        <w:ind w:left="720" w:right="0" w:hanging="0"/>
        <w:jc w:val="both"/>
        <w:rPr>
          <w:rFonts w:ascii="Times" w:hAnsi="Times"/>
          <w:sz w:val="24"/>
        </w:rPr>
      </w:pPr>
      <w:r>
        <w:rPr>
          <w:rFonts w:ascii="Times" w:hAnsi="Times"/>
          <w:sz w:val="24"/>
        </w:rPr>
        <w:t>(b)Is a Property located in the contiguous United States;</w:t>
      </w:r>
    </w:p>
    <w:p>
      <w:pPr>
        <w:pStyle w:val="TextBody"/>
        <w:bidi w:val="0"/>
        <w:spacing w:before="240" w:after="0"/>
        <w:ind w:left="810" w:right="0" w:hanging="0"/>
        <w:jc w:val="both"/>
        <w:rPr>
          <w:rFonts w:ascii="Times" w:hAnsi="Times"/>
          <w:sz w:val="24"/>
        </w:rPr>
      </w:pPr>
      <w:r>
        <w:rPr>
          <w:rFonts w:ascii="Times" w:hAnsi="Times"/>
          <w:sz w:val="24"/>
        </w:rPr>
        <w:t xml:space="preserve">(c)If such Property is owned by the Borrower, (i) neither the Borrower’s beneficial ownership interest in such Property nor the Property is subject to any Lien (other than Permitted Liens or Liens in favor of the Administrative Agent) or to any negative pledge and (ii) the Borrower has the unilateral right (including the absence of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810" w:right="0" w:hanging="0"/>
        <w:jc w:val="both"/>
        <w:rPr>
          <w:rFonts w:ascii="Times" w:hAnsi="Times"/>
          <w:sz w:val="24"/>
        </w:rPr>
      </w:pPr>
      <w:r>
        <w:rPr>
          <w:rFonts w:ascii="Times" w:hAnsi="Times"/>
          <w:sz w:val="24"/>
        </w:rPr>
        <w:t>any restrictions in an Eligible Leasehold Interest) to sell, transfer or otherwise dispose of such Property and to create a Lien on such Property as security for Indebtedness for Borrowed Money;</w:t>
      </w:r>
    </w:p>
    <w:p>
      <w:pPr>
        <w:pStyle w:val="TextBody"/>
        <w:bidi w:val="0"/>
        <w:spacing w:before="240" w:after="0"/>
        <w:ind w:left="720" w:right="0" w:hanging="0"/>
        <w:jc w:val="both"/>
        <w:rPr>
          <w:rFonts w:ascii="Times" w:hAnsi="Times"/>
          <w:sz w:val="24"/>
        </w:rPr>
      </w:pPr>
      <w:r>
        <w:rPr>
          <w:rFonts w:ascii="Times" w:hAnsi="Times"/>
          <w:sz w:val="24"/>
        </w:rPr>
        <w:t>(d)If such Property is owned by a Material Subsidiary, (i) neither the Borrower’s beneficial ownership interest in such Material Subsidiary nor the Property is subject to any Liens (other than Permitted Liens or Liens in favor of the Administrative Agent) or any negative pledge, (ii) the Material Subsidiary has the unilateral right (including the absence of any restrictions in an Eligible Leasehold Interest) to sell, transfer or otherwise dispose of such Property and to create a Lien on such Property as security for Indebtedness for Borrowed Money, and (iii) the Material Subsidiary has provided an Additional Guarantor Supplement or other Guaranty to the Administrative Agent pursuant to Section 4.2 hereof;</w:t>
      </w:r>
    </w:p>
    <w:p>
      <w:pPr>
        <w:pStyle w:val="TextBody"/>
        <w:bidi w:val="0"/>
        <w:spacing w:before="240" w:after="0"/>
        <w:ind w:left="720" w:right="0" w:hanging="0"/>
        <w:jc w:val="both"/>
        <w:rPr>
          <w:rFonts w:ascii="Times" w:hAnsi="Times"/>
          <w:sz w:val="24"/>
        </w:rPr>
      </w:pPr>
      <w:r>
        <w:rPr>
          <w:rFonts w:ascii="Times" w:hAnsi="Times"/>
          <w:sz w:val="24"/>
        </w:rPr>
        <w:t>(e)If such Property is owned by a 1031 Property Holder, (i) neither the Borrower’s beneficial ownership in the Property nor the Property itself is subject to (x) any Liens (other than Permitted Liens or Liens in favor of the Administrative Agent), or (y) any negative pledge, (ii) the 1031 Property Holder has the unilateral right (including the absence of any restrictions in an Eligible Leasehold Interest) to sell, transfer or otherwise dispose of such Property and to create a Lien on such Property as security for Indebtedness for Borrowed Money;</w:t>
      </w:r>
    </w:p>
    <w:p>
      <w:pPr>
        <w:pStyle w:val="TextBody"/>
        <w:bidi w:val="0"/>
        <w:spacing w:before="240" w:after="0"/>
        <w:ind w:left="720" w:right="0" w:hanging="0"/>
        <w:jc w:val="both"/>
        <w:rPr>
          <w:rFonts w:ascii="Times" w:hAnsi="Times"/>
          <w:sz w:val="24"/>
        </w:rPr>
      </w:pPr>
      <w:r>
        <w:rPr>
          <w:rFonts w:ascii="Times" w:hAnsi="Times"/>
          <w:sz w:val="24"/>
        </w:rPr>
        <w:t>(f)The Administrative Agent shall have received to the extent requested historic operating statements for such Property for the previous three (3) years, if available, and historic rent rolls for such Property for the previous three (3) years, if available;</w:t>
      </w:r>
    </w:p>
    <w:p>
      <w:pPr>
        <w:pStyle w:val="TextBody"/>
        <w:bidi w:val="0"/>
        <w:spacing w:before="240" w:after="0"/>
        <w:ind w:left="720" w:right="0" w:hanging="0"/>
        <w:jc w:val="both"/>
        <w:rPr>
          <w:rFonts w:ascii="Times" w:hAnsi="Times"/>
          <w:sz w:val="24"/>
        </w:rPr>
      </w:pPr>
      <w:r>
        <w:rPr>
          <w:rFonts w:ascii="Times" w:hAnsi="Times"/>
          <w:sz w:val="24"/>
        </w:rPr>
        <w:t>(g)That such Property, based on the Borrower’s or any Material Subsidiary’s actual knowledge, is free of all material structural defects or major architectural deficiencies, material title defects (other than Permitted Liens), material environmental conditions or other adverse matters which, individually or collectively, materially impair the value of such Property and, if the Property has an underground storage tank located thereon or any other material environmental concern as determined by the Administrative Agent, then the Administrative Agent shall have received satisfactory environmental assessments, including, to the extent requested, Phase I and Phase II reports, the results of which disclose environmental conditions which are satisfactory to the Administrative Agent in its sole discretion;</w:t>
      </w:r>
    </w:p>
    <w:p>
      <w:pPr>
        <w:pStyle w:val="TextBody"/>
        <w:bidi w:val="0"/>
        <w:spacing w:before="240" w:after="0"/>
        <w:ind w:left="720" w:right="0" w:hanging="0"/>
        <w:jc w:val="both"/>
        <w:rPr>
          <w:rFonts w:ascii="Times" w:hAnsi="Times"/>
          <w:sz w:val="24"/>
        </w:rPr>
      </w:pPr>
      <w:r>
        <w:rPr>
          <w:rFonts w:ascii="Times" w:hAnsi="Times"/>
          <w:sz w:val="24"/>
        </w:rPr>
        <w:t>(h)With respect to such Property, any Tenant under a Significant Lease is not more than 60 days past due with respect to any monthly rent payment obligations under such Lease;</w:t>
      </w:r>
    </w:p>
    <w:p>
      <w:pPr>
        <w:pStyle w:val="TextBody"/>
        <w:bidi w:val="0"/>
        <w:spacing w:before="240" w:after="0"/>
        <w:ind w:left="720" w:right="0" w:hanging="0"/>
        <w:jc w:val="both"/>
        <w:rPr>
          <w:rFonts w:ascii="Times" w:hAnsi="Times"/>
          <w:sz w:val="24"/>
        </w:rPr>
      </w:pPr>
      <w:r>
        <w:rPr>
          <w:rFonts w:ascii="Times" w:hAnsi="Times"/>
          <w:sz w:val="24"/>
        </w:rPr>
        <w:t xml:space="preserve">(i)For each such Property, the Borrower, to the extent not previously provided, shall have delivered to the Administrative Agent a copy, certified as true and correct by the Borrower, of each of the following: if the Property Owner is not the Borrower, the Property Owner’s articles of incorporation, by-laws, partnership agreements, operating agreements, as applicable, and certificates of existence, good standing and authority to do business from each appropriate state authority, and partnership, corporate or limited liability company, as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w:hAnsi="Times"/>
          <w:sz w:val="24"/>
        </w:rPr>
      </w:pPr>
      <w:r>
        <w:rPr>
          <w:rFonts w:ascii="Times" w:hAnsi="Times"/>
          <w:sz w:val="24"/>
        </w:rPr>
        <w:t>applicable, authorizations authorizing the execution, delivery and performance of the Additional Guarantor Supplement all certified to be true and complete by a duly authorized officer of such Property Owner; and</w:t>
      </w:r>
    </w:p>
    <w:p>
      <w:pPr>
        <w:pStyle w:val="TextBody"/>
        <w:bidi w:val="0"/>
        <w:spacing w:before="240" w:after="0"/>
        <w:ind w:left="720" w:right="0" w:hanging="0"/>
        <w:jc w:val="both"/>
        <w:rPr>
          <w:rFonts w:ascii="Times" w:hAnsi="Times"/>
          <w:sz w:val="24"/>
        </w:rPr>
      </w:pPr>
      <w:r>
        <w:rPr>
          <w:rFonts w:ascii="Times" w:hAnsi="Times"/>
          <w:sz w:val="24"/>
        </w:rPr>
        <w:t>(j)The Property is not an Asset Under Development or a Land Asset.</w:t>
      </w:r>
    </w:p>
    <w:p>
      <w:pPr>
        <w:pStyle w:val="TextBody"/>
        <w:bidi w:val="0"/>
        <w:spacing w:before="240" w:after="0"/>
        <w:ind w:left="0" w:right="0" w:firstLine="720"/>
        <w:jc w:val="both"/>
        <w:rPr/>
      </w:pPr>
      <w:r>
        <w:rPr/>
        <w:t>“</w:t>
      </w:r>
      <w:r>
        <w:rPr>
          <w:rFonts w:ascii="Times" w:hAnsi="Times"/>
          <w:sz w:val="24"/>
        </w:rPr>
        <w:t>Environmental Claim” means any investigation, notice, violation, demand, allegation, action, suit, injunction, judgment, order, consent decree, penalty, fine, lien, pro</w:t>
        <w:softHyphen/>
        <w:t>ceeding or claim (whether administrative, judicial or private in nature) arising (a) pursuant to, or in connection with an actual or alleged violation of, any Environmental Law, (b) in connection with any Hazardous Material, (c) from any abatement, removal, remedial, cor</w:t>
        <w:softHyphen/>
        <w:t>rective or response action in connection with a Hazardous Material, Environmental Law or order of a governmental authority or (d) from any actual or alleged damage, injury, threat or harm to health, safety, natural resources or the environment.</w:t>
      </w:r>
    </w:p>
    <w:p>
      <w:pPr>
        <w:pStyle w:val="TextBody"/>
        <w:bidi w:val="0"/>
        <w:spacing w:before="240" w:after="0"/>
        <w:ind w:left="0" w:right="0" w:firstLine="720"/>
        <w:jc w:val="both"/>
        <w:rPr/>
      </w:pPr>
      <w:r>
        <w:rPr/>
        <w:t>“</w:t>
      </w:r>
      <w:r>
        <w:rPr>
          <w:rFonts w:ascii="Times" w:hAnsi="Times"/>
          <w:sz w:val="24"/>
        </w:rPr>
        <w:t>Environmental Law” means any current or future Legal Requirement pertaining to (a) the protection of health, safety 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pStyle w:val="TextBody"/>
        <w:bidi w:val="0"/>
        <w:spacing w:before="240" w:after="0"/>
        <w:ind w:left="0" w:right="0" w:firstLine="720"/>
        <w:jc w:val="both"/>
        <w:rPr/>
      </w:pPr>
      <w:r>
        <w:rPr/>
        <w:t>“</w:t>
      </w:r>
      <w:r>
        <w:rPr>
          <w:rFonts w:ascii="Times" w:hAnsi="Times"/>
          <w:sz w:val="24"/>
        </w:rPr>
        <w:t>Equity Interests”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pStyle w:val="TextBody"/>
        <w:bidi w:val="0"/>
        <w:spacing w:before="240" w:after="0"/>
        <w:ind w:left="0" w:right="0" w:firstLine="720"/>
        <w:jc w:val="both"/>
        <w:rPr/>
      </w:pPr>
      <w:r>
        <w:rPr/>
        <w:t>“</w:t>
      </w:r>
      <w:r>
        <w:rPr>
          <w:rFonts w:ascii="Times" w:hAnsi="Times"/>
          <w:sz w:val="24"/>
        </w:rPr>
        <w:t>ERISA” means the Employee Retirement Income Security Act of 1974, as amended, or any successor statute thereto.</w:t>
      </w:r>
    </w:p>
    <w:p>
      <w:pPr>
        <w:pStyle w:val="TextBody"/>
        <w:bidi w:val="0"/>
        <w:spacing w:before="240" w:after="0"/>
        <w:ind w:left="0" w:right="0" w:firstLine="720"/>
        <w:jc w:val="both"/>
        <w:rPr>
          <w:color w:val="FF0000"/>
        </w:rPr>
      </w:pPr>
      <w:bookmarkStart w:id="2389" w:name="_cp_change_419"/>
      <w:bookmarkEnd w:id="2389"/>
      <w:r>
        <w:rPr>
          <w:color w:val="FF0000"/>
        </w:rPr>
        <w:t>“</w:t>
      </w:r>
      <w:r>
        <w:rPr>
          <w:rFonts w:ascii="Times" w:hAnsi="Times"/>
          <w:color w:val="FF0000"/>
          <w:sz w:val="24"/>
        </w:rPr>
        <w:t>ESG” is defined in Section 1.18 hereof.</w:t>
      </w:r>
      <w:bookmarkStart w:id="2390" w:name="_cp_change_418"/>
      <w:bookmarkEnd w:id="2390"/>
    </w:p>
    <w:p>
      <w:pPr>
        <w:pStyle w:val="TextBody"/>
        <w:bidi w:val="0"/>
        <w:spacing w:before="240" w:after="0"/>
        <w:ind w:left="0" w:right="0" w:firstLine="720"/>
        <w:jc w:val="both"/>
        <w:rPr>
          <w:color w:val="FF0000"/>
        </w:rPr>
      </w:pPr>
      <w:bookmarkStart w:id="2391" w:name="_cp_change_421"/>
      <w:bookmarkEnd w:id="2391"/>
      <w:r>
        <w:rPr>
          <w:color w:val="FF0000"/>
        </w:rPr>
        <w:t>“</w:t>
      </w:r>
      <w:r>
        <w:rPr>
          <w:rFonts w:ascii="Times" w:hAnsi="Times"/>
          <w:color w:val="FF0000"/>
          <w:sz w:val="24"/>
        </w:rPr>
        <w:t>ESG Amendment” is defined in Section 1.18 hereof.</w:t>
      </w:r>
      <w:bookmarkStart w:id="2392" w:name="_cp_change_420"/>
      <w:bookmarkEnd w:id="2392"/>
    </w:p>
    <w:p>
      <w:pPr>
        <w:pStyle w:val="TextBody"/>
        <w:bidi w:val="0"/>
        <w:spacing w:before="240" w:after="0"/>
        <w:ind w:left="0" w:right="0" w:firstLine="720"/>
        <w:jc w:val="both"/>
        <w:rPr>
          <w:color w:val="FF0000"/>
        </w:rPr>
      </w:pPr>
      <w:bookmarkStart w:id="2393" w:name="_cp_change_423"/>
      <w:bookmarkEnd w:id="2393"/>
      <w:r>
        <w:rPr>
          <w:color w:val="FF0000"/>
        </w:rPr>
        <w:t>“</w:t>
      </w:r>
      <w:r>
        <w:rPr>
          <w:rFonts w:ascii="Times" w:hAnsi="Times"/>
          <w:color w:val="FF0000"/>
          <w:sz w:val="24"/>
        </w:rPr>
        <w:t>ESG Pricing Provisions” is defined in Section 1.18 hereof.</w:t>
      </w:r>
      <w:bookmarkStart w:id="2394" w:name="_cp_change_422"/>
      <w:bookmarkEnd w:id="2394"/>
    </w:p>
    <w:p>
      <w:pPr>
        <w:pStyle w:val="TextBody"/>
        <w:bidi w:val="0"/>
        <w:spacing w:before="240" w:after="0"/>
        <w:ind w:left="0" w:right="0" w:firstLine="720"/>
        <w:jc w:val="both"/>
        <w:rPr/>
      </w:pPr>
      <w:r>
        <w:rPr/>
        <w:t>“</w:t>
      </w:r>
      <w:r>
        <w:rPr>
          <w:rFonts w:ascii="Times" w:hAnsi="Times"/>
          <w:sz w:val="24"/>
        </w:rPr>
        <w:t>Erroneous Payment” has the meaning assigned to such term in Section 12.30.</w:t>
      </w:r>
    </w:p>
    <w:p>
      <w:pPr>
        <w:pStyle w:val="TextBody"/>
        <w:bidi w:val="0"/>
        <w:spacing w:before="240" w:after="0"/>
        <w:ind w:left="0" w:right="0" w:firstLine="720"/>
        <w:jc w:val="both"/>
        <w:rPr/>
      </w:pPr>
      <w:r>
        <w:rPr/>
        <w:t>“</w:t>
      </w:r>
      <w:r>
        <w:rPr>
          <w:rFonts w:ascii="Times" w:hAnsi="Times"/>
          <w:sz w:val="24"/>
        </w:rPr>
        <w:t>Erroneous Payment Deficiency Assignment” has the meaning assigned to such term in Section 12.30.</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w:hAnsi="Times"/>
          <w:sz w:val="24"/>
        </w:rPr>
        <w:t>Erroneous Payment Impacted Class” has the meaning assigned to such term in Section 12.30(d).</w:t>
      </w:r>
    </w:p>
    <w:p>
      <w:pPr>
        <w:pStyle w:val="TextBody"/>
        <w:bidi w:val="0"/>
        <w:spacing w:before="240" w:after="0"/>
        <w:ind w:left="0" w:right="0" w:firstLine="720"/>
        <w:jc w:val="both"/>
        <w:rPr/>
      </w:pPr>
      <w:r>
        <w:rPr/>
        <w:t>“</w:t>
      </w:r>
      <w:r>
        <w:rPr>
          <w:rFonts w:ascii="Times" w:hAnsi="Times"/>
          <w:sz w:val="24"/>
        </w:rPr>
        <w:t>Erroneous Payment Return Deficiency” has the meaning assigned to such term in Section 12.30(d).</w:t>
      </w:r>
    </w:p>
    <w:p>
      <w:pPr>
        <w:pStyle w:val="TextBody"/>
        <w:bidi w:val="0"/>
        <w:spacing w:before="240" w:after="0"/>
        <w:ind w:left="0" w:right="0" w:firstLine="720"/>
        <w:jc w:val="both"/>
        <w:rPr/>
      </w:pPr>
      <w:r>
        <w:rPr/>
        <w:t>“</w:t>
      </w:r>
      <w:r>
        <w:rPr>
          <w:rFonts w:ascii="Times" w:hAnsi="Times"/>
          <w:sz w:val="24"/>
        </w:rPr>
        <w:t>Erroneous Payment Subrogation Rights” has the meaning assigned to such term in Section 12.30(d).</w:t>
      </w:r>
    </w:p>
    <w:p>
      <w:pPr>
        <w:pStyle w:val="TextBody"/>
        <w:bidi w:val="0"/>
        <w:spacing w:before="240" w:after="0"/>
        <w:ind w:left="0" w:right="0" w:firstLine="720"/>
        <w:jc w:val="both"/>
        <w:rPr/>
      </w:pPr>
      <w:r>
        <w:rPr/>
        <w:t>“</w:t>
      </w:r>
      <w:r>
        <w:rPr>
          <w:rFonts w:ascii="Times" w:hAnsi="Times"/>
          <w:sz w:val="24"/>
        </w:rPr>
        <w:t>EU Bail-In Legislation Schedule” means the EU Bail-In Legislation Schedule published by the Loan Market Association (or any successor Person), as in effect from time to time.</w:t>
      </w:r>
    </w:p>
    <w:p>
      <w:pPr>
        <w:pStyle w:val="TextBody"/>
        <w:bidi w:val="0"/>
        <w:spacing w:before="240" w:after="0"/>
        <w:ind w:left="0" w:right="0" w:firstLine="720"/>
        <w:jc w:val="both"/>
        <w:rPr/>
      </w:pPr>
      <w:r>
        <w:rPr/>
        <w:t>“</w:t>
      </w:r>
      <w:r>
        <w:rPr>
          <w:rFonts w:ascii="Times" w:hAnsi="Times"/>
          <w:sz w:val="24"/>
        </w:rPr>
        <w:t>Event of Default” means any event or condition identified as such in Section 9.1 hereof.</w:t>
      </w:r>
    </w:p>
    <w:p>
      <w:pPr>
        <w:pStyle w:val="TextBody"/>
        <w:bidi w:val="0"/>
        <w:spacing w:before="240" w:after="0"/>
        <w:ind w:left="0" w:right="0" w:firstLine="720"/>
        <w:jc w:val="both"/>
        <w:rPr/>
      </w:pPr>
      <w:r>
        <w:rPr/>
        <w:t>“</w:t>
      </w:r>
      <w:r>
        <w:rPr>
          <w:rFonts w:ascii="Times" w:hAnsi="Times"/>
          <w:sz w:val="24"/>
        </w:rPr>
        <w:t>Excluded Swap Obligation”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240" w:after="0"/>
        <w:ind w:left="0" w:right="0" w:firstLine="720"/>
        <w:jc w:val="both"/>
        <w:rPr/>
      </w:pPr>
      <w:r>
        <w:rPr/>
        <w:t>“</w:t>
      </w:r>
      <w:r>
        <w:rPr>
          <w:rFonts w:ascii="Times" w:hAnsi="Times"/>
          <w:sz w:val="24"/>
        </w:rPr>
        <w:t>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w:t>
      </w:r>
      <w:r>
        <w:rPr>
          <w:rFonts w:ascii="Times New Roman;Times;serif" w:hAnsi="Times New Roman;Times;serif"/>
          <w:sz w:val="24"/>
        </w:rPr>
        <w:t xml:space="preserve"> </w:t>
      </w:r>
      <w:r>
        <w:rPr>
          <w:rFonts w:ascii="Times" w:hAnsi="Times"/>
          <w:sz w:val="24"/>
        </w:rPr>
        <w:t>interest in the Loan or Commitment (other than pursuant to an assignment request by the Borrower under Section 1.13 hereof)</w:t>
      </w:r>
      <w:r>
        <w:rPr>
          <w:rFonts w:ascii="Times New Roman;Times;serif" w:hAnsi="Times New Roman;Times;serif"/>
          <w:sz w:val="24"/>
        </w:rPr>
        <w:t xml:space="preserve"> </w:t>
      </w:r>
      <w:r>
        <w:rPr>
          <w:rFonts w:ascii="Times" w:hAnsi="Times"/>
          <w:sz w:val="24"/>
        </w:rPr>
        <w:t>or (ii) such Lender changes its lending office, except in each case to the extent that, pursuant to Section 12.1 amounts with respect to such Taxes were payable either to such Lender’s assignor immediately before such Lender became a party hereto or to such Lender immediately before it changed its lending office, (c) Taxes attributable to such Recipient’s failure to comply with Section 12.1(b) or Section 12.1(d), and (d) any U.S. federal withholding Taxes imposed under FATCA.</w:t>
      </w:r>
    </w:p>
    <w:p>
      <w:pPr>
        <w:pStyle w:val="TextBody"/>
        <w:bidi w:val="0"/>
        <w:spacing w:before="240" w:after="0"/>
        <w:ind w:left="0" w:right="0" w:firstLine="720"/>
        <w:jc w:val="both"/>
        <w:rPr/>
      </w:pPr>
      <w:r>
        <w:rPr/>
        <w:t>“</w:t>
      </w:r>
      <w:r>
        <w:rPr>
          <w:rFonts w:ascii="Times" w:hAnsi="Times"/>
          <w:sz w:val="24"/>
        </w:rPr>
        <w:t xml:space="preserve">Facility” means the 2029 </w:t>
      </w:r>
      <w:bookmarkStart w:id="2395" w:name="_cp_change_424"/>
      <w:bookmarkEnd w:id="2395"/>
      <w:r>
        <w:rPr>
          <w:rFonts w:ascii="Times" w:hAnsi="Times"/>
          <w:color w:val="0000FF"/>
          <w:sz w:val="24"/>
          <w:u w:val="single"/>
        </w:rPr>
        <w:t xml:space="preserve">Term Credit Facility, the 2030 </w:t>
      </w:r>
      <w:r>
        <w:rPr>
          <w:rFonts w:ascii="Times" w:hAnsi="Times"/>
          <w:sz w:val="24"/>
        </w:rPr>
        <w:t>Term Credit Facility, any Incremental Revolving Credit Facility, or any Incremental Term Credit Facility, as the context may require.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w:hAnsi="Times"/>
          <w:sz w:val="24"/>
        </w:rPr>
        <w:t>FATCA” means Sections 1471 through 1474 of the Code, as of the date of this Agreement</w:t>
      </w:r>
      <w:r>
        <w:rPr>
          <w:rFonts w:ascii="Times New Roman;Times;serif" w:hAnsi="Times New Roman;Times;serif"/>
          <w:sz w:val="24"/>
        </w:rPr>
        <w:t xml:space="preserve"> </w:t>
      </w:r>
      <w:r>
        <w:rPr>
          <w:rFonts w:ascii="Times" w:hAnsi="Times"/>
          <w:sz w:val="24"/>
        </w:rPr>
        <w:t>(or any amended or successor version that is substantively comparable and not materially more onerous to comply with), any current or future regulations or official interpretations thereof, and any agreements entered into pursuant to Section 1471(b)(1) of the Code.</w:t>
      </w:r>
    </w:p>
    <w:p>
      <w:pPr>
        <w:pStyle w:val="TextBody"/>
        <w:bidi w:val="0"/>
        <w:spacing w:before="240" w:after="0"/>
        <w:ind w:left="0" w:right="0" w:firstLine="720"/>
        <w:jc w:val="both"/>
        <w:rPr/>
      </w:pPr>
      <w:r>
        <w:rPr/>
        <w:t>“</w:t>
      </w:r>
      <w:r>
        <w:rPr>
          <w:rFonts w:ascii="Times" w:hAnsi="Times"/>
          <w:sz w:val="24"/>
        </w:rPr>
        <w:t>FCPA” means the Foreign Corrupt Practices Act, 15 U.S.C. §§78dd-1, et seq.</w:t>
      </w:r>
    </w:p>
    <w:p>
      <w:pPr>
        <w:pStyle w:val="TextBody"/>
        <w:bidi w:val="0"/>
        <w:spacing w:before="240" w:after="0"/>
        <w:ind w:left="0" w:right="0" w:firstLine="720"/>
        <w:jc w:val="both"/>
        <w:rPr/>
      </w:pPr>
      <w:r>
        <w:rPr/>
        <w:t>“</w:t>
      </w:r>
      <w:r>
        <w:rPr>
          <w:rFonts w:ascii="Times" w:hAnsi="Times"/>
          <w:sz w:val="24"/>
        </w:rPr>
        <w:t>Federal Funds Rate” means, for any day, the rate per annum (rounded upward to the nearest one one-hundredth of one percent (1/100 of 1%)) announced by the Federal Reserve Bank of Cleveland on such day as being the weighted average of the rates on  overnight federal  funds  transactions arranged by federal funds brokers on the previous trading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provided that in no event shall the Federal Funds Rate be less than 0.00%.</w:t>
      </w:r>
    </w:p>
    <w:p>
      <w:pPr>
        <w:pStyle w:val="TextBody"/>
        <w:bidi w:val="0"/>
        <w:spacing w:before="240" w:after="0"/>
        <w:ind w:left="0" w:right="0" w:firstLine="720"/>
        <w:jc w:val="both"/>
        <w:rPr/>
      </w:pPr>
      <w:r>
        <w:rPr/>
        <w:t>“</w:t>
      </w:r>
      <w:r>
        <w:rPr>
          <w:rFonts w:ascii="Times" w:hAnsi="Times"/>
          <w:sz w:val="24"/>
        </w:rPr>
        <w:t>Federal Reserve Bank of New York’s Website” means the website of the Federal Reserve Bank of New York at http://www.newyorkfed.org, or any successor source.</w:t>
      </w:r>
    </w:p>
    <w:p>
      <w:pPr>
        <w:pStyle w:val="TextBody"/>
        <w:bidi w:val="0"/>
        <w:spacing w:before="240" w:after="0"/>
        <w:ind w:left="0" w:right="0" w:firstLine="720"/>
        <w:jc w:val="both"/>
        <w:rPr/>
      </w:pPr>
      <w:r>
        <w:rPr/>
        <w:t>“</w:t>
      </w:r>
      <w:r>
        <w:rPr>
          <w:rFonts w:ascii="Times" w:hAnsi="Times"/>
          <w:sz w:val="24"/>
        </w:rPr>
        <w:t xml:space="preserve">Fee Letters” means, (i) the letter agreement, dated August 29, 2024, among the Borrower, KBCM and KeyBank, (ii) the fee letter dated September 26, 2024 by and among the Borrower, PNC Bank, National Association and PNC Capital Markets LLC, </w:t>
      </w:r>
      <w:bookmarkStart w:id="2396" w:name="_cp_change_425"/>
      <w:bookmarkEnd w:id="2396"/>
      <w:r>
        <w:rPr>
          <w:rFonts w:ascii="Times" w:hAnsi="Times"/>
          <w:color w:val="FF0000"/>
          <w:sz w:val="24"/>
        </w:rPr>
        <w:t xml:space="preserve">and </w:t>
      </w:r>
      <w:r>
        <w:rPr>
          <w:rFonts w:ascii="Times" w:hAnsi="Times"/>
          <w:sz w:val="24"/>
        </w:rPr>
        <w:t>(iii) the letter agreement, dated September 19, 2024, among the Borrower, Regions Bank, and Regions Capital Markets</w:t>
      </w:r>
      <w:bookmarkStart w:id="2397" w:name="_cp_change_426"/>
      <w:bookmarkEnd w:id="2397"/>
      <w:r>
        <w:rPr>
          <w:rFonts w:ascii="Times" w:hAnsi="Times"/>
          <w:color w:val="FF0000"/>
          <w:sz w:val="24"/>
        </w:rPr>
        <w:t>.</w:t>
      </w:r>
      <w:bookmarkStart w:id="2398" w:name="_cp_change_427"/>
      <w:bookmarkEnd w:id="2398"/>
      <w:r>
        <w:rPr>
          <w:rFonts w:ascii="Times" w:hAnsi="Times"/>
          <w:color w:val="0000FF"/>
          <w:sz w:val="24"/>
          <w:u w:val="single"/>
        </w:rPr>
        <w:t>, and (iv) each other fee letter agreement entered into from time to time by and among the Borrower, the Administrative Agent and/or any Arranger (including without limitation in connection with the transactions effective as of the First Amendment Effective Date and the Second Amendment Effective Date).</w:t>
      </w:r>
    </w:p>
    <w:p>
      <w:pPr>
        <w:pStyle w:val="TextBody"/>
        <w:bidi w:val="0"/>
        <w:spacing w:before="280" w:after="0"/>
        <w:ind w:left="0" w:right="0" w:firstLine="720"/>
        <w:jc w:val="both"/>
        <w:rPr/>
      </w:pPr>
      <w:r>
        <w:rPr/>
        <w:t>“</w:t>
      </w:r>
      <w:r>
        <w:rPr>
          <w:rFonts w:ascii="Times New Roman;Times;serif" w:hAnsi="Times New Roman;Times;serif"/>
          <w:sz w:val="24"/>
        </w:rPr>
        <w:t>First Amendment Effective Date” means December 20, 2024.</w:t>
      </w:r>
    </w:p>
    <w:p>
      <w:pPr>
        <w:pStyle w:val="TextBody"/>
        <w:bidi w:val="0"/>
        <w:spacing w:lineRule="atLeast" w:line="280" w:before="280" w:after="0"/>
        <w:ind w:left="0" w:right="0" w:firstLine="720"/>
        <w:jc w:val="both"/>
        <w:rPr>
          <w:color w:val="FF0000"/>
        </w:rPr>
      </w:pPr>
      <w:bookmarkStart w:id="2399" w:name="_cp_change_429"/>
      <w:bookmarkEnd w:id="2399"/>
      <w:r>
        <w:rPr>
          <w:color w:val="FF0000"/>
        </w:rPr>
        <w:t>“</w:t>
      </w:r>
      <w:r>
        <w:rPr>
          <w:rFonts w:ascii="Times" w:hAnsi="Times"/>
          <w:color w:val="FF0000"/>
          <w:sz w:val="24"/>
        </w:rPr>
        <w:t>First Amendment Effective Date Borrowing Base Assets” means collectively the Borrowing Base Assets listed on Schedule 1.1 as of the First Amendment Effective Date and “First Amendment Effective Date Borrowing Base Asset” means any of such Borrowing Base Assets.</w:t>
      </w:r>
      <w:bookmarkStart w:id="2400" w:name="_cp_change_428"/>
      <w:bookmarkEnd w:id="2400"/>
    </w:p>
    <w:p>
      <w:pPr>
        <w:pStyle w:val="TextBody"/>
        <w:bidi w:val="0"/>
        <w:spacing w:before="240" w:after="0"/>
        <w:ind w:left="0" w:right="0" w:firstLine="720"/>
        <w:jc w:val="both"/>
        <w:rPr/>
      </w:pPr>
      <w:r>
        <w:rPr/>
        <w:t>“</w:t>
      </w:r>
      <w:r>
        <w:rPr>
          <w:rFonts w:ascii="Times" w:hAnsi="Times"/>
          <w:sz w:val="24"/>
        </w:rPr>
        <w:t>Fiscal Quarter” means each of the three-month periods ending on March 31, June 30, September 30 and December 31.</w:t>
      </w:r>
    </w:p>
    <w:p>
      <w:pPr>
        <w:pStyle w:val="TextBody"/>
        <w:bidi w:val="0"/>
        <w:spacing w:before="240" w:after="0"/>
        <w:ind w:left="0" w:right="0" w:firstLine="720"/>
        <w:jc w:val="both"/>
        <w:rPr/>
      </w:pPr>
      <w:r>
        <w:rPr/>
        <w:t>“</w:t>
      </w:r>
      <w:r>
        <w:rPr>
          <w:rFonts w:ascii="Times" w:hAnsi="Times"/>
          <w:sz w:val="24"/>
        </w:rPr>
        <w:t>Fiscal Year” means the twelve-month period ending on December 31.</w:t>
      </w:r>
    </w:p>
    <w:p>
      <w:pPr>
        <w:pStyle w:val="TextBody"/>
        <w:bidi w:val="0"/>
        <w:spacing w:before="240" w:after="0"/>
        <w:ind w:left="0" w:right="0" w:firstLine="720"/>
        <w:jc w:val="both"/>
        <w:rPr/>
      </w:pPr>
      <w:r>
        <w:rPr/>
        <w:t>“</w:t>
      </w:r>
      <w:r>
        <w:rPr>
          <w:rFonts w:ascii="Times" w:hAnsi="Times"/>
          <w:sz w:val="24"/>
        </w:rPr>
        <w:t>Fitch” means Fitch Ratings, or any successor thereto.</w:t>
      </w:r>
    </w:p>
    <w:p>
      <w:pPr>
        <w:pStyle w:val="TextBody"/>
        <w:bidi w:val="0"/>
        <w:spacing w:before="240" w:after="0"/>
        <w:ind w:left="0" w:right="0" w:firstLine="720"/>
        <w:jc w:val="both"/>
        <w:rPr/>
      </w:pPr>
      <w:r>
        <w:rPr/>
        <w:t>“</w:t>
      </w:r>
      <w:r>
        <w:rPr>
          <w:rFonts w:ascii="Times" w:hAnsi="Times"/>
          <w:sz w:val="24"/>
        </w:rPr>
        <w:t xml:space="preserve">Fixed Charges” means, for any Rolling Period, (a) Interest Expense, plus (b) scheduled principal amortization paid on Total Indebtedness (exclusive of any balloon payments or prepayments of principal paid on such Total Indebtedness), plus (c) Dividends and required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distributions on the Borrower’s preferred equity securities for such Rolling Period, plus (d) all income taxes (federal, state and local) paid by the Borrower in cash during such Rolling Period, plus (e) cash payments of base rent under Eligible Leasehold Interests made or to be made during such period, unless such payments are deducted from the calculation of Property NOI and EBITDA; provided, that for purposes of calculating income taxes under clause (d) for any Rolling Period, such amount shall not include any income taxes paid from and in connection with any extraordinary gain (or loss) for such Rolling Period.  The Borrower’s Ownership Share of the Fixed Charges of its Unconsolidated Affiliates will be included when determining Fixed Charges of the Borrower and its Subsidiaries.</w:t>
      </w:r>
    </w:p>
    <w:p>
      <w:pPr>
        <w:pStyle w:val="TextBody"/>
        <w:bidi w:val="0"/>
        <w:spacing w:before="240" w:after="0"/>
        <w:ind w:left="0" w:right="0" w:firstLine="720"/>
        <w:jc w:val="both"/>
        <w:rPr/>
      </w:pPr>
      <w:r>
        <w:rPr/>
        <w:t>“</w:t>
      </w:r>
      <w:r>
        <w:rPr>
          <w:rFonts w:ascii="Times" w:hAnsi="Times"/>
          <w:sz w:val="24"/>
        </w:rPr>
        <w:t>Floor” means the rate per annum of interest equal to 0.00%.</w:t>
      </w:r>
    </w:p>
    <w:p>
      <w:pPr>
        <w:pStyle w:val="TextBody"/>
        <w:bidi w:val="0"/>
        <w:spacing w:before="240" w:after="0"/>
        <w:ind w:left="0" w:right="0" w:firstLine="720"/>
        <w:jc w:val="both"/>
        <w:rPr/>
      </w:pPr>
      <w:r>
        <w:rPr/>
        <w:t>“</w:t>
      </w:r>
      <w:r>
        <w:rPr>
          <w:rFonts w:ascii="Times" w:hAnsi="Times"/>
          <w:sz w:val="24"/>
        </w:rPr>
        <w:t>FRB” means the Board of Governors of the Federal Reserve System of the United States.</w:t>
      </w:r>
    </w:p>
    <w:p>
      <w:pPr>
        <w:pStyle w:val="TextBody"/>
        <w:bidi w:val="0"/>
        <w:spacing w:before="240" w:after="0"/>
        <w:ind w:left="0" w:right="0" w:firstLine="720"/>
        <w:jc w:val="both"/>
        <w:rPr/>
      </w:pPr>
      <w:r>
        <w:rPr/>
        <w:t>“</w:t>
      </w:r>
      <w:r>
        <w:rPr>
          <w:rFonts w:ascii="Times" w:hAnsi="Times"/>
          <w:sz w:val="24"/>
        </w:rPr>
        <w:t>Fund” 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240" w:after="0"/>
        <w:ind w:left="0" w:right="0" w:firstLine="720"/>
        <w:jc w:val="both"/>
        <w:rPr/>
      </w:pPr>
      <w:r>
        <w:rPr/>
        <w:t>“</w:t>
      </w:r>
      <w:r>
        <w:rPr>
          <w:rFonts w:ascii="Times" w:hAnsi="Times"/>
          <w:sz w:val="24"/>
        </w:rPr>
        <w:t>Funds Transfer and Deposit Account Liability” means the liability of the Borrower, or any Subsidiary owing to any of the Lenders, or any Affiliates of such Lenders, arising out of (a) the execution or processing of electronic transfers of funds by automatic clearing house transfer, wire transfer or otherwise to or from deposit accounts of the Borrower and/or any Subsidiary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Subsidiary by any of such Lenders or their Affiliates.</w:t>
      </w:r>
    </w:p>
    <w:p>
      <w:pPr>
        <w:pStyle w:val="TextBody"/>
        <w:bidi w:val="0"/>
        <w:spacing w:before="240" w:after="0"/>
        <w:ind w:left="0" w:right="0" w:firstLine="720"/>
        <w:jc w:val="both"/>
        <w:rPr/>
      </w:pPr>
      <w:r>
        <w:rPr/>
        <w:t>“</w:t>
      </w:r>
      <w:r>
        <w:rPr>
          <w:rFonts w:ascii="Times" w:hAnsi="Times"/>
          <w:sz w:val="24"/>
        </w:rPr>
        <w:t>GAAP”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pStyle w:val="TextBody"/>
        <w:bidi w:val="0"/>
        <w:spacing w:before="240" w:after="0"/>
        <w:ind w:left="0" w:right="0" w:firstLine="720"/>
        <w:jc w:val="both"/>
        <w:rPr/>
      </w:pPr>
      <w:r>
        <w:rPr/>
        <w:t>“</w:t>
      </w:r>
      <w:r>
        <w:rPr>
          <w:rFonts w:ascii="Times" w:hAnsi="Times"/>
          <w:sz w:val="24"/>
        </w:rPr>
        <w:t>Governmental Authority”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280" w:after="0"/>
        <w:ind w:left="0" w:right="0" w:firstLine="720"/>
        <w:jc w:val="both"/>
        <w:rPr/>
      </w:pPr>
      <w:r>
        <w:rPr/>
        <w:t>“</w:t>
      </w:r>
      <w:r>
        <w:rPr>
          <w:rFonts w:ascii="Times New Roman;Times;serif" w:hAnsi="Times New Roman;Times;serif"/>
          <w:sz w:val="24"/>
        </w:rPr>
        <w:t>Ground Lease” means a long term lease of a Property granted by the fee owner of such Property.</w:t>
      </w:r>
    </w:p>
    <w:p>
      <w:pPr>
        <w:pStyle w:val="TextBody"/>
        <w:bidi w:val="0"/>
        <w:spacing w:before="240" w:after="0"/>
        <w:ind w:left="0" w:right="0" w:firstLine="720"/>
        <w:jc w:val="both"/>
        <w:rPr/>
      </w:pPr>
      <w:r>
        <w:rPr/>
        <w:t>“</w:t>
      </w:r>
      <w:r>
        <w:rPr>
          <w:rFonts w:ascii="Times" w:hAnsi="Times"/>
          <w:sz w:val="24"/>
        </w:rPr>
        <w:t>Guarantor” and “Guarantors” are defined in Section 4.1 hereof.</w:t>
      </w:r>
    </w:p>
    <w:p>
      <w:pPr>
        <w:pStyle w:val="TextBody"/>
        <w:bidi w:val="0"/>
        <w:spacing w:before="240" w:after="0"/>
        <w:ind w:left="0" w:right="0" w:firstLine="720"/>
        <w:jc w:val="both"/>
        <w:rPr/>
      </w:pPr>
      <w:r>
        <w:rPr/>
        <w:t>“</w:t>
      </w:r>
      <w:r>
        <w:rPr>
          <w:rFonts w:ascii="Times" w:hAnsi="Times"/>
          <w:sz w:val="24"/>
        </w:rPr>
        <w:t>Guaranty” and “Guaranties” are defined in Section 4.1 hereof.</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w:hAnsi="Times"/>
          <w:sz w:val="24"/>
        </w:rPr>
        <w:t>Hazardous Material” means any substance,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pStyle w:val="TextBody"/>
        <w:bidi w:val="0"/>
        <w:spacing w:before="240" w:after="0"/>
        <w:ind w:left="0" w:right="0" w:firstLine="720"/>
        <w:jc w:val="both"/>
        <w:rPr/>
      </w:pPr>
      <w:r>
        <w:rPr/>
        <w:t>“</w:t>
      </w:r>
      <w:r>
        <w:rPr>
          <w:rFonts w:ascii="Times" w:hAnsi="Times"/>
          <w:sz w:val="24"/>
        </w:rPr>
        <w:t>Hazardous Material Activity” means any activity, event or occurrence involving a Hazardous Material, including, without limitation, the manufacture, possession, presence, use, generation, transportation, treatment, storage, disposal, Release, threatened Release, abatement, removal, remediation, handling of or corrective or response action to any Hazardous Material other than any activity, event or occurrence performed in compliance with or allowed under applicable law.</w:t>
      </w:r>
    </w:p>
    <w:p>
      <w:pPr>
        <w:pStyle w:val="TextBody"/>
        <w:bidi w:val="0"/>
        <w:spacing w:before="240" w:after="0"/>
        <w:ind w:left="0" w:right="0" w:firstLine="720"/>
        <w:jc w:val="both"/>
        <w:rPr/>
      </w:pPr>
      <w:bookmarkStart w:id="2401" w:name="_DV_C430"/>
      <w:bookmarkEnd w:id="2401"/>
      <w:r>
        <w:rPr/>
        <w:t>“</w:t>
      </w:r>
      <w:r>
        <w:rPr>
          <w:rFonts w:ascii="Times" w:hAnsi="Times"/>
          <w:sz w:val="24"/>
        </w:rPr>
        <w:t>Hedging Agreement”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Borrower or any Subsidiary shall be a Hedging Agreement.</w:t>
      </w:r>
    </w:p>
    <w:p>
      <w:pPr>
        <w:pStyle w:val="TextBody"/>
        <w:bidi w:val="0"/>
        <w:spacing w:before="240" w:after="0"/>
        <w:ind w:left="0" w:right="0" w:firstLine="720"/>
        <w:jc w:val="both"/>
        <w:rPr/>
      </w:pPr>
      <w:r>
        <w:rPr/>
        <w:t>“</w:t>
      </w:r>
      <w:r>
        <w:rPr>
          <w:rFonts w:ascii="Times" w:hAnsi="Times"/>
          <w:sz w:val="24"/>
        </w:rPr>
        <w:t>Hedging Counterparty” means any Person that, (a) at the time it enters into a Hedging Agreement with the Borrower or any Subsidiary is a Lender, an Affiliate of a Lender, the Administrative Agent or an Affiliate of the Administrative Agent or (b) at the time it (or its Affiliate) becomes a Lender or the Administrative Agent (including on the Closing Date or any amendment date), is a party to a Hedging Agreement with the Borrower or any Subsidiary, in each case whether or not such Person remains a Lender or the Administrative Agent (or an Affiliate of either).</w:t>
      </w:r>
    </w:p>
    <w:p>
      <w:pPr>
        <w:pStyle w:val="TextBody"/>
        <w:bidi w:val="0"/>
        <w:spacing w:before="240" w:after="0"/>
        <w:ind w:left="0" w:right="0" w:firstLine="720"/>
        <w:jc w:val="both"/>
        <w:rPr/>
      </w:pPr>
      <w:r>
        <w:rPr/>
        <w:t>“</w:t>
      </w:r>
      <w:r>
        <w:rPr>
          <w:rFonts w:ascii="Times" w:hAnsi="Times"/>
          <w:sz w:val="24"/>
        </w:rPr>
        <w:t>Hedging Liability” means the liability of the Borrower or any Subsidiary to any Hedging Counterparty in respect of any Hedging Agreement as the Borrower or such Subsidiary, as the case may be, may from time to time enter into with any one or more Hedging Counterparties.</w:t>
      </w:r>
    </w:p>
    <w:p>
      <w:pPr>
        <w:pStyle w:val="TextBody"/>
        <w:bidi w:val="0"/>
        <w:spacing w:before="240" w:after="0"/>
        <w:ind w:left="0" w:right="0" w:firstLine="720"/>
        <w:jc w:val="both"/>
        <w:rPr/>
      </w:pPr>
      <w:r>
        <w:rPr/>
        <w:t>“</w:t>
      </w:r>
      <w:r>
        <w:rPr>
          <w:rFonts w:ascii="Times" w:hAnsi="Times"/>
          <w:sz w:val="24"/>
        </w:rPr>
        <w:t>Incremental Amendment” has the meaning assigned to such term in Section 1.15.</w:t>
      </w:r>
    </w:p>
    <w:p>
      <w:pPr>
        <w:pStyle w:val="TextBody"/>
        <w:bidi w:val="0"/>
        <w:spacing w:before="240" w:after="0"/>
        <w:ind w:left="0" w:right="0" w:firstLine="720"/>
        <w:jc w:val="both"/>
        <w:rPr/>
      </w:pPr>
      <w:r>
        <w:rPr/>
        <w:t>“</w:t>
      </w:r>
      <w:r>
        <w:rPr>
          <w:rFonts w:ascii="Times" w:hAnsi="Times"/>
          <w:sz w:val="24"/>
        </w:rPr>
        <w:t>Incremental Commitment” has the meaning assigned to such term in Section 1.15.</w:t>
      </w:r>
    </w:p>
    <w:p>
      <w:pPr>
        <w:pStyle w:val="TextBody"/>
        <w:bidi w:val="0"/>
        <w:spacing w:before="240" w:after="0"/>
        <w:ind w:left="0" w:right="0" w:firstLine="720"/>
        <w:jc w:val="both"/>
        <w:rPr/>
      </w:pPr>
      <w:r>
        <w:rPr/>
        <w:t>“</w:t>
      </w:r>
      <w:r>
        <w:rPr>
          <w:rFonts w:ascii="Times" w:hAnsi="Times"/>
          <w:sz w:val="24"/>
        </w:rPr>
        <w:t>Incremental Credit” means each Incremental Revolving Credit Facility or Incremental Term Credit Facility.</w:t>
      </w:r>
    </w:p>
    <w:p>
      <w:pPr>
        <w:pStyle w:val="TextBody"/>
        <w:bidi w:val="0"/>
        <w:spacing w:before="240" w:after="0"/>
        <w:ind w:left="0" w:right="0" w:firstLine="720"/>
        <w:jc w:val="both"/>
        <w:rPr/>
      </w:pPr>
      <w:r>
        <w:rPr/>
        <w:t>“</w:t>
      </w:r>
      <w:r>
        <w:rPr>
          <w:rFonts w:ascii="Times" w:hAnsi="Times"/>
          <w:sz w:val="24"/>
        </w:rPr>
        <w:t>Incremental Lender” means each Incremental Revolving Lender or Incremental Term Loan Lender.</w:t>
      </w:r>
    </w:p>
    <w:p>
      <w:pPr>
        <w:pStyle w:val="TextBody"/>
        <w:bidi w:val="0"/>
        <w:spacing w:before="240" w:after="0"/>
        <w:ind w:left="0" w:right="0" w:firstLine="720"/>
        <w:jc w:val="both"/>
        <w:rPr/>
      </w:pPr>
      <w:r>
        <w:rPr/>
        <w:t>“</w:t>
      </w:r>
      <w:r>
        <w:rPr>
          <w:rFonts w:ascii="Times" w:hAnsi="Times"/>
          <w:sz w:val="24"/>
        </w:rPr>
        <w:t>Incremental Loan” means each Incremental Revolving Loan or Incremental Term Loan.</w:t>
      </w:r>
    </w:p>
    <w:p>
      <w:pPr>
        <w:pStyle w:val="TextBody"/>
        <w:bidi w:val="0"/>
        <w:spacing w:before="240" w:after="0"/>
        <w:ind w:left="0" w:right="0" w:firstLine="720"/>
        <w:jc w:val="both"/>
        <w:rPr/>
      </w:pPr>
      <w:r>
        <w:rPr/>
        <w:t>“</w:t>
      </w:r>
      <w:r>
        <w:rPr>
          <w:rFonts w:ascii="Times" w:hAnsi="Times"/>
          <w:sz w:val="24"/>
        </w:rPr>
        <w:t xml:space="preserve">Incremental Revolving Credit Facility” means the credit facility for Incremental Revolving Loans established in accordance with Section 1.15.  Unless otherwise specified herein,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each tranche of Incremental Revolving Commitments or Incremental Revolving Loans shall constitute a separate Incremental Revolving Credit Facility.</w:t>
      </w:r>
    </w:p>
    <w:p>
      <w:pPr>
        <w:pStyle w:val="TextBody"/>
        <w:bidi w:val="0"/>
        <w:spacing w:before="240" w:after="0"/>
        <w:ind w:left="0" w:right="0" w:firstLine="720"/>
        <w:jc w:val="both"/>
        <w:rPr/>
      </w:pPr>
      <w:r>
        <w:rPr/>
        <w:t>“</w:t>
      </w:r>
      <w:r>
        <w:rPr>
          <w:rFonts w:ascii="Times" w:hAnsi="Times"/>
          <w:sz w:val="24"/>
        </w:rPr>
        <w:t>Incremental Revolving Commitment” has the meaning assigned to such term in Section 1.15.</w:t>
      </w:r>
    </w:p>
    <w:p>
      <w:pPr>
        <w:pStyle w:val="TextBody"/>
        <w:bidi w:val="0"/>
        <w:spacing w:before="240" w:after="0"/>
        <w:ind w:left="0" w:right="0" w:firstLine="720"/>
        <w:jc w:val="both"/>
        <w:rPr/>
      </w:pPr>
      <w:r>
        <w:rPr/>
        <w:t>“</w:t>
      </w:r>
      <w:r>
        <w:rPr>
          <w:rFonts w:ascii="Times" w:hAnsi="Times"/>
          <w:sz w:val="24"/>
        </w:rPr>
        <w:t xml:space="preserve">Incremental Revolving Lender” means, at any time, any Lender that has an Incremental Term Loan Commitment or holds Incremental Term Loans at such time, </w:t>
      </w:r>
      <w:r>
        <w:rPr>
          <w:rFonts w:ascii="Times" w:hAnsi="Times"/>
          <w:sz w:val="24"/>
          <w:shd w:fill="FFFFFF" w:val="clear"/>
        </w:rPr>
        <w:t>including each assignee Lender pursuant to Section 12.12 hereof</w:t>
      </w:r>
      <w:r>
        <w:rPr>
          <w:rFonts w:ascii="Times" w:hAnsi="Times"/>
          <w:sz w:val="24"/>
        </w:rPr>
        <w:t>.</w:t>
      </w:r>
    </w:p>
    <w:p>
      <w:pPr>
        <w:pStyle w:val="TextBody"/>
        <w:bidi w:val="0"/>
        <w:spacing w:before="240" w:after="0"/>
        <w:ind w:left="0" w:right="0" w:firstLine="720"/>
        <w:jc w:val="both"/>
        <w:rPr/>
      </w:pPr>
      <w:r>
        <w:rPr/>
        <w:t>“</w:t>
      </w:r>
      <w:r>
        <w:rPr>
          <w:rFonts w:ascii="Times" w:hAnsi="Times"/>
          <w:sz w:val="24"/>
        </w:rPr>
        <w:t>Incremental Revolving Loan” has the meaning assigned to such term in Section 1.15.</w:t>
      </w:r>
    </w:p>
    <w:p>
      <w:pPr>
        <w:pStyle w:val="TextBody"/>
        <w:bidi w:val="0"/>
        <w:spacing w:before="240" w:after="0"/>
        <w:ind w:left="0" w:right="0" w:firstLine="720"/>
        <w:jc w:val="both"/>
        <w:rPr>
          <w:shd w:fill="FFFFFF" w:val="clear"/>
        </w:rPr>
      </w:pPr>
      <w:r>
        <w:rPr>
          <w:shd w:fill="FFFFFF" w:val="clear"/>
        </w:rPr>
        <w:t>“</w:t>
      </w:r>
      <w:r>
        <w:rPr>
          <w:rFonts w:ascii="Times" w:hAnsi="Times"/>
          <w:sz w:val="24"/>
          <w:shd w:fill="FFFFFF" w:val="clear"/>
        </w:rPr>
        <w:t>Incremental Revolving Percentage” means for each Incremental Revolving Lender and each Incremental Revolving Credit Facility, the percentage of the aggregate Incremental Revolving Commitments represented by such Lender’s portion thereof or, if such Incremental Revolving Commitments have been terminated, the percentage held by such Lender of the aggregate principal amount of all Incremental Revolving then outstanding.</w:t>
      </w:r>
    </w:p>
    <w:p>
      <w:pPr>
        <w:pStyle w:val="TextBody"/>
        <w:bidi w:val="0"/>
        <w:spacing w:before="240" w:after="0"/>
        <w:ind w:left="0" w:right="0" w:firstLine="720"/>
        <w:jc w:val="both"/>
        <w:rPr/>
      </w:pPr>
      <w:r>
        <w:rPr/>
        <w:t>“</w:t>
      </w:r>
      <w:r>
        <w:rPr>
          <w:rFonts w:ascii="Times" w:hAnsi="Times"/>
          <w:sz w:val="24"/>
        </w:rPr>
        <w:t>Incremental Term Credit Facility” means each credit facility for Incremental Term Loans established in accordance with Section 1.15.  Unless otherwise specified herein, each tranche of Incremental Term Loan Commitments or Incremental Term Loans shall constitute a separate Incremental Term Credit Facility.</w:t>
      </w:r>
    </w:p>
    <w:p>
      <w:pPr>
        <w:pStyle w:val="TextBody"/>
        <w:bidi w:val="0"/>
        <w:spacing w:before="240" w:after="0"/>
        <w:ind w:left="0" w:right="0" w:firstLine="720"/>
        <w:jc w:val="both"/>
        <w:rPr/>
      </w:pPr>
      <w:r>
        <w:rPr/>
        <w:t>“</w:t>
      </w:r>
      <w:r>
        <w:rPr>
          <w:rFonts w:ascii="Times" w:hAnsi="Times"/>
          <w:sz w:val="24"/>
        </w:rPr>
        <w:t>Incremental Term Loan” has the meaning assigned to such term in Section 1.15.</w:t>
      </w:r>
    </w:p>
    <w:p>
      <w:pPr>
        <w:pStyle w:val="TextBody"/>
        <w:bidi w:val="0"/>
        <w:spacing w:before="240" w:after="0"/>
        <w:ind w:left="0" w:right="0" w:firstLine="720"/>
        <w:jc w:val="both"/>
        <w:rPr/>
      </w:pPr>
      <w:r>
        <w:rPr/>
        <w:t>“</w:t>
      </w:r>
      <w:r>
        <w:rPr>
          <w:rFonts w:ascii="Times" w:hAnsi="Times"/>
          <w:sz w:val="24"/>
        </w:rPr>
        <w:t>Incremental Term Loan Commitment” has the meaning assigned to such term in Section 1.15.</w:t>
      </w:r>
    </w:p>
    <w:p>
      <w:pPr>
        <w:pStyle w:val="TextBody"/>
        <w:bidi w:val="0"/>
        <w:spacing w:before="240" w:after="0"/>
        <w:ind w:left="0" w:right="0" w:firstLine="720"/>
        <w:jc w:val="both"/>
        <w:rPr/>
      </w:pPr>
      <w:r>
        <w:rPr/>
        <w:t>“</w:t>
      </w:r>
      <w:r>
        <w:rPr>
          <w:rFonts w:ascii="Times" w:hAnsi="Times"/>
          <w:sz w:val="24"/>
        </w:rPr>
        <w:t xml:space="preserve">Incremental Term Loan Lender” means, at any time, any Lender that has an Incremental Term Loan Commitment or holds Incremental Term Loans at such time, </w:t>
      </w:r>
      <w:r>
        <w:rPr>
          <w:rFonts w:ascii="Times" w:hAnsi="Times"/>
          <w:sz w:val="24"/>
          <w:shd w:fill="FFFFFF" w:val="clear"/>
        </w:rPr>
        <w:t>including each assignee Lender pursuant to Section 12.12 hereof</w:t>
      </w:r>
      <w:r>
        <w:rPr>
          <w:rFonts w:ascii="Times" w:hAnsi="Times"/>
          <w:sz w:val="24"/>
        </w:rPr>
        <w:t>.</w:t>
      </w:r>
    </w:p>
    <w:p>
      <w:pPr>
        <w:pStyle w:val="TextBody"/>
        <w:bidi w:val="0"/>
        <w:spacing w:before="240" w:after="0"/>
        <w:ind w:left="0" w:right="0" w:firstLine="720"/>
        <w:jc w:val="both"/>
        <w:rPr>
          <w:shd w:fill="FFFFFF" w:val="clear"/>
        </w:rPr>
      </w:pPr>
      <w:bookmarkStart w:id="2402" w:name="_DV_C1112"/>
      <w:bookmarkEnd w:id="2402"/>
      <w:r>
        <w:rPr>
          <w:shd w:fill="FFFFFF" w:val="clear"/>
        </w:rPr>
        <w:t>“</w:t>
      </w:r>
      <w:r>
        <w:rPr>
          <w:rFonts w:ascii="Times" w:hAnsi="Times"/>
          <w:sz w:val="24"/>
          <w:shd w:fill="FFFFFF" w:val="clear"/>
        </w:rPr>
        <w:t>Incremental Term Loan Percentage” means for each Incremental Term Loan Lender and each Incremental Term Credit Facility, the percentage of the aggregate Incremental Term Loan Commitments represented by such Lender’s portion thereof or, if such Incremental Term Loan Commitments have been terminated, the percentage held by such Lender of the aggregate principal amount of all Incremental Term Loans then outstanding.</w:t>
      </w:r>
    </w:p>
    <w:p>
      <w:pPr>
        <w:pStyle w:val="TextBody"/>
        <w:bidi w:val="0"/>
        <w:spacing w:before="240" w:after="0"/>
        <w:ind w:left="0" w:right="0" w:firstLine="720"/>
        <w:jc w:val="both"/>
        <w:rPr/>
      </w:pPr>
      <w:r>
        <w:rPr/>
        <w:t>“</w:t>
      </w:r>
      <w:r>
        <w:rPr>
          <w:rFonts w:ascii="Times" w:hAnsi="Times"/>
          <w:sz w:val="24"/>
        </w:rPr>
        <w:t xml:space="preserve">Indebtedness for Borrowed Money” means for any Person (without duplication) (a) all 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or other assets 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floor, forward, future or option agreement, or any similar interest rate, currency or commodity hedging arrangement.</w:t>
      </w:r>
    </w:p>
    <w:p>
      <w:pPr>
        <w:pStyle w:val="TextBody"/>
        <w:bidi w:val="0"/>
        <w:spacing w:before="240" w:after="0"/>
        <w:ind w:left="0" w:right="0" w:firstLine="720"/>
        <w:jc w:val="both"/>
        <w:rPr/>
      </w:pPr>
      <w:r>
        <w:rPr/>
        <w:t>“</w:t>
      </w:r>
      <w:r>
        <w:rPr>
          <w:rFonts w:ascii="Times" w:hAnsi="Times"/>
          <w:sz w:val="24"/>
        </w:rPr>
        <w:t>Indemnified Taxes” means (a) all Taxes other than Excluded Taxes and (b) to the extent not otherwise described in (a),</w:t>
      </w:r>
      <w:bookmarkStart w:id="2403" w:name="_DV_M899"/>
      <w:bookmarkEnd w:id="2403"/>
      <w:r>
        <w:rPr>
          <w:rFonts w:ascii="Times New Roman;Times;serif" w:hAnsi="Times New Roman;Times;serif"/>
          <w:sz w:val="24"/>
        </w:rPr>
        <w:t xml:space="preserve"> </w:t>
      </w:r>
      <w:r>
        <w:rPr>
          <w:rFonts w:ascii="Times" w:hAnsi="Times"/>
          <w:sz w:val="24"/>
        </w:rPr>
        <w:t>Other Taxes.</w:t>
      </w:r>
    </w:p>
    <w:p>
      <w:pPr>
        <w:pStyle w:val="TextBody"/>
        <w:bidi w:val="0"/>
        <w:spacing w:before="240" w:after="0"/>
        <w:ind w:left="0" w:right="0" w:firstLine="720"/>
        <w:jc w:val="both"/>
        <w:rPr/>
      </w:pPr>
      <w:r>
        <w:rPr/>
        <w:t>“</w:t>
      </w:r>
      <w:r>
        <w:rPr>
          <w:rFonts w:ascii="Times" w:hAnsi="Times"/>
          <w:sz w:val="24"/>
        </w:rPr>
        <w:t>Interest Expense” means, with respect to a Person for any period of time, the interest expense whether paid, accrued or capitalized (without deduction of consolidated interest income) of such Person for such period.  Interest Expense shall exclude any amortization of (i) deferred financing fees, including the write-off such fees relating to the early retirement of such related Indebtedness for Borrowed Money, and (ii) debt discounts (but only to the extent such discounts do not exceed 3.0% of the initial face principal amount of such debt).  The Borrower’s Ownership Share of the Interest Expense of its Unconsolidated Affiliates will be included when determining Interest Expense of the Borrower and its Subsidiaries.</w:t>
      </w:r>
    </w:p>
    <w:p>
      <w:pPr>
        <w:pStyle w:val="TextBody"/>
        <w:bidi w:val="0"/>
        <w:spacing w:before="240" w:after="0"/>
        <w:ind w:left="0" w:right="0" w:firstLine="720"/>
        <w:jc w:val="both"/>
        <w:rPr/>
      </w:pPr>
      <w:r>
        <w:rPr/>
        <w:t>“</w:t>
      </w:r>
      <w:r>
        <w:rPr>
          <w:rFonts w:ascii="Times" w:hAnsi="Times"/>
          <w:sz w:val="24"/>
        </w:rPr>
        <w:t>Interest Payment Date” means (a) with respect to any Term SOFR Rate Loan, the last day of each Interest Period with respect to such Term SOFR Rate Loan and, if the applicable Interest Period is longer than (1) one month, on each day occurring every three (3) months after the commencement of such Interest Period, (b) with respect to any Daily Simple SOFR Rate Loan, the last day of every calendar month, (c) with respect to any Base Rate Loan, the last day of every calendar month, and (d) with respect to any Term SOFR Rate Loan, Daily Simple SOFR Rate Loan, or Base Rate Loan, the Maturity Date.</w:t>
      </w:r>
    </w:p>
    <w:p>
      <w:pPr>
        <w:pStyle w:val="TextBody"/>
        <w:bidi w:val="0"/>
        <w:spacing w:before="240" w:after="0"/>
        <w:ind w:left="0" w:right="0" w:firstLine="720"/>
        <w:jc w:val="both"/>
        <w:rPr/>
      </w:pPr>
      <w:r>
        <w:rPr/>
        <w:t>“</w:t>
      </w:r>
      <w:r>
        <w:rPr>
          <w:rFonts w:ascii="Times" w:hAnsi="Times"/>
          <w:sz w:val="24"/>
        </w:rPr>
        <w:t>Interest Period” means the period commencing on the date a Borrowing of Term SOFR Rate Loans is advanced, continued, or created by conversion and ending one (1), three (3), or six (6) months thereafter, provided, however, that:</w:t>
      </w:r>
    </w:p>
    <w:p>
      <w:pPr>
        <w:pStyle w:val="TextBody"/>
        <w:bidi w:val="0"/>
        <w:spacing w:before="240" w:after="0"/>
        <w:ind w:left="720" w:right="0" w:hanging="0"/>
        <w:jc w:val="both"/>
        <w:rPr>
          <w:rFonts w:ascii="Times" w:hAnsi="Times"/>
          <w:sz w:val="24"/>
        </w:rPr>
      </w:pPr>
      <w:r>
        <w:rPr>
          <w:rFonts w:ascii="Times" w:hAnsi="Times"/>
          <w:sz w:val="24"/>
        </w:rPr>
        <w:t>(i)no Interest Period shall extend beyond the Maturity Date, as applicable;</w:t>
      </w:r>
    </w:p>
    <w:p>
      <w:pPr>
        <w:pStyle w:val="TextBody"/>
        <w:bidi w:val="0"/>
        <w:spacing w:before="240" w:after="0"/>
        <w:ind w:left="720" w:right="0" w:hanging="0"/>
        <w:jc w:val="both"/>
        <w:rPr>
          <w:rFonts w:ascii="Times" w:hAnsi="Times"/>
          <w:sz w:val="24"/>
        </w:rPr>
      </w:pPr>
      <w:r>
        <w:rPr>
          <w:rFonts w:ascii="Times" w:hAnsi="Times"/>
          <w:sz w:val="24"/>
        </w:rPr>
        <w:t>(ii)no Interest Period with respect to any portion of the Loans shall extend beyond a date on which the Borrower is required to make a scheduled payment of principal on the Loans, unless the sum of (a) the aggregate principal amount of Loans that are Base Rate Loans plus (b) the aggregate principal amount of Loans that are Term SOFR Rate Loans with Interest Periods expiring on or before such date equals or exceeds the principal amount to be paid on the Loans on such payment date;</w:t>
      </w:r>
    </w:p>
    <w:p>
      <w:pPr>
        <w:pStyle w:val="TextBody"/>
        <w:bidi w:val="0"/>
        <w:spacing w:before="240" w:after="0"/>
        <w:ind w:left="720" w:right="0" w:hanging="0"/>
        <w:jc w:val="both"/>
        <w:rPr>
          <w:rFonts w:ascii="Times" w:hAnsi="Times"/>
          <w:sz w:val="24"/>
        </w:rPr>
      </w:pPr>
      <w:r>
        <w:rPr>
          <w:rFonts w:ascii="Times" w:hAnsi="Times"/>
          <w:sz w:val="24"/>
        </w:rPr>
        <w:t>(iii)whenever the last day of any Interest Period would otherwise be a day that is not a Business Day, the last day of such Interest Period shall be extended to the next succeeding Business Day; provided that, if such extension would cause the last day of an Interest Period for a Borrowing of Term SOFR Rate Loans to occur in the following calendar month, the last day of such Interest Period shall be the immediately preceding Business Day;</w:t>
      </w:r>
    </w:p>
    <w:p>
      <w:pPr>
        <w:pStyle w:val="TextBody"/>
        <w:bidi w:val="0"/>
        <w:spacing w:before="240" w:after="0"/>
        <w:ind w:left="720" w:right="0" w:hanging="0"/>
        <w:jc w:val="both"/>
        <w:rPr>
          <w:rFonts w:ascii="Times" w:hAnsi="Times"/>
          <w:sz w:val="24"/>
        </w:rPr>
      </w:pPr>
      <w:r>
        <w:rPr>
          <w:rFonts w:ascii="Times" w:hAnsi="Times"/>
          <w:sz w:val="24"/>
        </w:rPr>
        <w:t xml:space="preserve">(iv)for purposes of determining an Interest Period for a Borrowing of Term SOFR Rate Loans, a month means a period starting on one day in a calendar month and ending on the numerically corresponding day in the next calendar month; provided, that if there is no numerically corresponding day in the month in which such an Interest Period is to end or if such an Interest Period begins on the last Business Day of a calendar month,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w:hAnsi="Times"/>
          <w:sz w:val="24"/>
        </w:rPr>
      </w:pPr>
      <w:r>
        <w:rPr>
          <w:rFonts w:ascii="Times" w:hAnsi="Times"/>
          <w:sz w:val="24"/>
        </w:rPr>
        <w:t>then such Interest Period shall end on the last Business Day of the calendar month in which such Interest Period is to end; and</w:t>
      </w:r>
    </w:p>
    <w:p>
      <w:pPr>
        <w:pStyle w:val="TextBody"/>
        <w:bidi w:val="0"/>
        <w:spacing w:before="240" w:after="0"/>
        <w:ind w:left="720" w:right="0" w:hanging="0"/>
        <w:jc w:val="both"/>
        <w:rPr>
          <w:rFonts w:ascii="Times" w:hAnsi="Times"/>
          <w:sz w:val="24"/>
        </w:rPr>
      </w:pPr>
      <w:r>
        <w:rPr>
          <w:rFonts w:ascii="Times" w:hAnsi="Times"/>
          <w:sz w:val="24"/>
        </w:rPr>
        <w:t>(v)no tenor that has been removed from this definition pursuant to Section 10.6 (or the availability of which has been temporarily suspended pursuant to Section 10.2) below shall be available for specification in such Borrowing Request or Notice of Continuation/Conversion.</w:t>
      </w:r>
    </w:p>
    <w:p>
      <w:pPr>
        <w:pStyle w:val="TextBody"/>
        <w:bidi w:val="0"/>
        <w:spacing w:before="240" w:after="0"/>
        <w:ind w:left="0" w:right="0" w:firstLine="720"/>
        <w:jc w:val="both"/>
        <w:rPr/>
      </w:pPr>
      <w:r>
        <w:rPr/>
        <w:t>“</w:t>
      </w:r>
      <w:r>
        <w:rPr>
          <w:rFonts w:ascii="Times" w:hAnsi="Times"/>
          <w:sz w:val="24"/>
        </w:rPr>
        <w:t>KBCM” means, KeyBanc Capital Markets Inc. and its successors.</w:t>
      </w:r>
    </w:p>
    <w:p>
      <w:pPr>
        <w:pStyle w:val="TextBody"/>
        <w:bidi w:val="0"/>
        <w:spacing w:before="240" w:after="0"/>
        <w:ind w:left="0" w:right="0" w:firstLine="720"/>
        <w:jc w:val="both"/>
        <w:rPr/>
      </w:pPr>
      <w:r>
        <w:rPr/>
        <w:t>“</w:t>
      </w:r>
      <w:r>
        <w:rPr>
          <w:rFonts w:ascii="Times" w:hAnsi="Times"/>
          <w:sz w:val="24"/>
        </w:rPr>
        <w:t>KeyBank” means, KeyBank National Association and its successors.</w:t>
      </w:r>
    </w:p>
    <w:p>
      <w:pPr>
        <w:pStyle w:val="TextBody"/>
        <w:bidi w:val="0"/>
        <w:spacing w:before="240" w:after="0"/>
        <w:ind w:left="0" w:right="0" w:firstLine="720"/>
        <w:jc w:val="both"/>
        <w:rPr>
          <w:color w:val="FF0000"/>
        </w:rPr>
      </w:pPr>
      <w:bookmarkStart w:id="2404" w:name="_cp_change_431"/>
      <w:bookmarkEnd w:id="2404"/>
      <w:r>
        <w:rPr>
          <w:color w:val="FF0000"/>
        </w:rPr>
        <w:t>“</w:t>
      </w:r>
      <w:r>
        <w:rPr>
          <w:rFonts w:ascii="Times" w:hAnsi="Times"/>
          <w:color w:val="FF0000"/>
          <w:sz w:val="24"/>
        </w:rPr>
        <w:t>KPIs” is defined in Section 1.18 hereof.</w:t>
      </w:r>
      <w:bookmarkStart w:id="2405" w:name="_cp_change_430"/>
      <w:bookmarkEnd w:id="2405"/>
    </w:p>
    <w:p>
      <w:pPr>
        <w:pStyle w:val="TextBody"/>
        <w:bidi w:val="0"/>
        <w:spacing w:before="280" w:after="0"/>
        <w:ind w:left="0" w:right="0" w:firstLine="720"/>
        <w:jc w:val="both"/>
        <w:rPr/>
      </w:pPr>
      <w:bookmarkStart w:id="2406" w:name="_Hlk115352239"/>
      <w:bookmarkEnd w:id="2406"/>
      <w:r>
        <w:rPr/>
        <w:t>“</w:t>
      </w:r>
      <w:r>
        <w:rPr>
          <w:rFonts w:ascii="Times New Roman;Times;serif" w:hAnsi="Times New Roman;Times;serif"/>
          <w:sz w:val="24"/>
        </w:rPr>
        <w:t>Land Assets” means any Property which is not an Asset Under Development and on which no significant improvements have been constructed; provided, that Property that is owned in fee by the Borrower or a Subsidiary thereof and is subject to a Ground Lease with Borrower or such Subsidiary as lessor, or that is adjacent to an Eligible Property but is undeveloped, shall not constitute “Land Assets”.</w:t>
      </w:r>
    </w:p>
    <w:p>
      <w:pPr>
        <w:pStyle w:val="TextBody"/>
        <w:bidi w:val="0"/>
        <w:spacing w:before="240" w:after="0"/>
        <w:ind w:left="0" w:right="0" w:firstLine="720"/>
        <w:jc w:val="both"/>
        <w:rPr/>
      </w:pPr>
      <w:r>
        <w:rPr/>
        <w:t>“</w:t>
      </w:r>
      <w:r>
        <w:rPr>
          <w:rFonts w:ascii="Times" w:hAnsi="Times"/>
          <w:sz w:val="24"/>
        </w:rPr>
        <w:t>Lease” means each existing or future lease, sublease, license, or other agreement under the terms of which any Person has or acquires any right to occupy or use any Property of the Borrower or any Subsidiary, or any part thereof, or interest therein, as the same may be amended, supplemented or modified.</w:t>
      </w:r>
    </w:p>
    <w:p>
      <w:pPr>
        <w:pStyle w:val="TextBody"/>
        <w:bidi w:val="0"/>
        <w:spacing w:before="240" w:after="0"/>
        <w:ind w:left="0" w:right="0" w:firstLine="720"/>
        <w:jc w:val="both"/>
        <w:rPr/>
      </w:pPr>
      <w:r>
        <w:rPr/>
        <w:t>“</w:t>
      </w:r>
      <w:r>
        <w:rPr>
          <w:rFonts w:ascii="Times" w:hAnsi="Times"/>
          <w:sz w:val="24"/>
        </w:rPr>
        <w:t>Legal Requirement” means any treaty, convention, statute, law, regulation, ordinance, license, permit, governmental approval, injunction, judgment, order, consent decree or other requirement of any governmental authority, whether federal, state, or local.</w:t>
      </w:r>
    </w:p>
    <w:p>
      <w:pPr>
        <w:pStyle w:val="TextBody"/>
        <w:bidi w:val="0"/>
        <w:spacing w:before="240" w:after="0"/>
        <w:ind w:left="0" w:right="0" w:firstLine="720"/>
        <w:jc w:val="both"/>
        <w:rPr/>
      </w:pPr>
      <w:r>
        <w:rPr/>
        <w:t>“</w:t>
      </w:r>
      <w:r>
        <w:rPr>
          <w:rFonts w:ascii="Times" w:hAnsi="Times"/>
          <w:sz w:val="24"/>
        </w:rPr>
        <w:t>Lenders” means and includes KeyBank and the other financial institutions from time to time party to this Agreement, including each assignee Lender pursuant to Section 12.12 hereof and each Incremental Lender.</w:t>
      </w:r>
    </w:p>
    <w:p>
      <w:pPr>
        <w:pStyle w:val="TextBody"/>
        <w:bidi w:val="0"/>
        <w:spacing w:before="240" w:after="0"/>
        <w:ind w:left="0" w:right="0" w:firstLine="720"/>
        <w:jc w:val="both"/>
        <w:rPr/>
      </w:pPr>
      <w:r>
        <w:rPr/>
        <w:t>“</w:t>
      </w:r>
      <w:r>
        <w:rPr>
          <w:rFonts w:ascii="Times" w:hAnsi="Times"/>
          <w:sz w:val="24"/>
        </w:rPr>
        <w:t>Lending Office” is defined in Section 10.4 hereof.</w:t>
      </w:r>
    </w:p>
    <w:p>
      <w:pPr>
        <w:pStyle w:val="TextBody"/>
        <w:bidi w:val="0"/>
        <w:spacing w:before="240" w:after="0"/>
        <w:ind w:left="0" w:right="0" w:firstLine="720"/>
        <w:jc w:val="both"/>
        <w:rPr/>
      </w:pPr>
      <w:r>
        <w:rPr/>
        <w:t>“</w:t>
      </w:r>
      <w:r>
        <w:rPr>
          <w:rFonts w:ascii="Times" w:hAnsi="Times"/>
          <w:sz w:val="24"/>
        </w:rPr>
        <w:t>Leverage Ratio Increase Period” means, so long as no Default or Event of Default has then occurred and is continuing, a period commencing on, (i) the first day of the Fiscal Quarter in which the Borrower notifies Administrative Agent in writing that a Material Acquisition has occurred and ending (ii) on the last day of the third (3</w:t>
      </w:r>
      <w:r>
        <w:rPr>
          <w:rFonts w:ascii="Times" w:hAnsi="Times"/>
          <w:sz w:val="18"/>
        </w:rPr>
        <w:t>rd</w:t>
      </w:r>
      <w:r>
        <w:rPr>
          <w:rFonts w:ascii="Times" w:hAnsi="Times"/>
          <w:sz w:val="24"/>
        </w:rPr>
        <w:t xml:space="preserve">) full Fiscal Quarter after such Material Acquisition; provided, that (x) there shall not be more than two (2) Leverage Ratio Increase Periods during the term of the </w:t>
      </w:r>
      <w:bookmarkStart w:id="2407" w:name="_cp_change_432"/>
      <w:bookmarkEnd w:id="2407"/>
      <w:r>
        <w:rPr>
          <w:rFonts w:ascii="Times" w:hAnsi="Times"/>
          <w:color w:val="FF0000"/>
          <w:sz w:val="24"/>
        </w:rPr>
        <w:t>2029</w:t>
      </w:r>
      <w:bookmarkStart w:id="2408" w:name="_cp_change_433"/>
      <w:bookmarkEnd w:id="2408"/>
      <w:r>
        <w:rPr>
          <w:rFonts w:ascii="Times" w:hAnsi="Times"/>
          <w:color w:val="0000FF"/>
          <w:sz w:val="24"/>
          <w:u w:val="single"/>
        </w:rPr>
        <w:t>2030 Term</w:t>
      </w:r>
      <w:r>
        <w:rPr>
          <w:rFonts w:ascii="Times New Roman;Times;serif" w:hAnsi="Times New Roman;Times;serif"/>
          <w:sz w:val="24"/>
        </w:rPr>
        <w:t xml:space="preserve"> </w:t>
      </w:r>
      <w:r>
        <w:rPr>
          <w:rFonts w:ascii="Times" w:hAnsi="Times"/>
          <w:sz w:val="24"/>
        </w:rPr>
        <w:t>Credit Facility and (y) there shall not be two consecutive Leverage Ratio Increase Periods.</w:t>
      </w:r>
    </w:p>
    <w:p>
      <w:pPr>
        <w:pStyle w:val="TextBody"/>
        <w:bidi w:val="0"/>
        <w:spacing w:before="240" w:after="0"/>
        <w:ind w:left="0" w:right="0" w:firstLine="720"/>
        <w:jc w:val="both"/>
        <w:rPr/>
      </w:pPr>
      <w:r>
        <w:rPr/>
        <w:t>“</w:t>
      </w:r>
      <w:r>
        <w:rPr>
          <w:rFonts w:ascii="Times" w:hAnsi="Times"/>
          <w:sz w:val="24"/>
        </w:rPr>
        <w:t>Lien” means any mortgage, lien, security interest, pledge, charge or encumbrance of any kind in respect of any Property or other assets, including the interests of a vendor or lessor under any conditional sale, Capital Lease or other title retention arrangement.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bookmarkStart w:id="2409" w:name="_DV_C842"/>
      <w:bookmarkEnd w:id="2409"/>
      <w:r>
        <w:rPr/>
        <w:t>“</w:t>
      </w:r>
      <w:r>
        <w:rPr>
          <w:rFonts w:ascii="Times" w:hAnsi="Times"/>
          <w:sz w:val="24"/>
        </w:rPr>
        <w:t xml:space="preserve">Loan” means any 2029 </w:t>
      </w:r>
      <w:bookmarkStart w:id="2410" w:name="_cp_change_434"/>
      <w:bookmarkEnd w:id="2410"/>
      <w:r>
        <w:rPr>
          <w:rFonts w:ascii="Times" w:hAnsi="Times"/>
          <w:color w:val="0000FF"/>
          <w:sz w:val="24"/>
          <w:u w:val="single"/>
        </w:rPr>
        <w:t xml:space="preserve">Term Loan, 2030 </w:t>
      </w:r>
      <w:r>
        <w:rPr>
          <w:rFonts w:ascii="Times" w:hAnsi="Times"/>
          <w:sz w:val="24"/>
        </w:rPr>
        <w:t>Term Loan, Incremental Revolving Loan, or Incremental Term Loan, whether outstanding as a Base Rate Loan, Daily Simple SOFR Rate Loan or Term SOFR Rate Loan or otherwise, each of which is a “type” of Loan hereunder.</w:t>
      </w:r>
    </w:p>
    <w:p>
      <w:pPr>
        <w:pStyle w:val="TextBody"/>
        <w:bidi w:val="0"/>
        <w:spacing w:before="240" w:after="0"/>
        <w:ind w:left="0" w:right="0" w:firstLine="720"/>
        <w:jc w:val="both"/>
        <w:rPr/>
      </w:pPr>
      <w:r>
        <w:rPr/>
        <w:t>“</w:t>
      </w:r>
      <w:r>
        <w:rPr>
          <w:rFonts w:ascii="Times" w:hAnsi="Times"/>
          <w:sz w:val="24"/>
        </w:rPr>
        <w:t>Loan Documents” means this Agreement, the Notes (if any), the Guaranties, if any, each Incremental Amendment, the Collateral Documents, if any, and each other instrument or document to be delivered hereunder or thereunder or otherwise in connection therewith.  Deposit account agreements, cash management agreements and other documents executed in connection with Funds Transfer and Deposit Account Liability (other than deposit account control agreements, if any) are not Loan Documents hereunder.</w:t>
      </w:r>
    </w:p>
    <w:p>
      <w:pPr>
        <w:pStyle w:val="TextBody"/>
        <w:bidi w:val="0"/>
        <w:spacing w:before="240" w:after="0"/>
        <w:ind w:left="0" w:right="0" w:firstLine="720"/>
        <w:jc w:val="both"/>
        <w:rPr/>
      </w:pPr>
      <w:r>
        <w:rPr/>
        <w:t>“</w:t>
      </w:r>
      <w:r>
        <w:rPr>
          <w:rFonts w:ascii="Times" w:hAnsi="Times"/>
          <w:sz w:val="24"/>
        </w:rPr>
        <w:t>Major Target MSA Location” means each of the following MSAs: Atlanta, GA; Las Vegas, NV; Denver, CO; Phoenix, AZ; Austin, TX; Houston, TX; Dallas, TX; Nashville, TN; Tampa, FL; Orlando, FL; Miami, FL; Charlotte, NC; Raleigh, NC; and Washington, DC.</w:t>
      </w:r>
    </w:p>
    <w:p>
      <w:pPr>
        <w:pStyle w:val="TextBody"/>
        <w:bidi w:val="0"/>
        <w:spacing w:before="240" w:after="0"/>
        <w:ind w:left="0" w:right="0" w:firstLine="720"/>
        <w:jc w:val="both"/>
        <w:rPr/>
      </w:pPr>
      <w:r>
        <w:rPr/>
        <w:t>“</w:t>
      </w:r>
      <w:r>
        <w:rPr>
          <w:rFonts w:ascii="Times" w:hAnsi="Times"/>
          <w:sz w:val="24"/>
        </w:rPr>
        <w:t>Material Acquisition”  means any single transaction or series of related transactions for the purpose of, or resulting, directly or indirectly, in, the acquisition (including, without limitation, a merger or consolidation or any other combination with another Person) of a Person or assets by the Parent (directly or indirectly) that has a gross purchase price equal to or greater than ten percent (10.0%) of the then current Total Asset Value (without giving effect to such transactions).</w:t>
      </w:r>
    </w:p>
    <w:p>
      <w:pPr>
        <w:pStyle w:val="TextBody"/>
        <w:bidi w:val="0"/>
        <w:spacing w:before="240" w:after="0"/>
        <w:ind w:left="0" w:right="0" w:firstLine="720"/>
        <w:jc w:val="both"/>
        <w:rPr/>
      </w:pPr>
      <w:r>
        <w:rPr/>
        <w:t>“</w:t>
      </w:r>
      <w:r>
        <w:rPr>
          <w:rFonts w:ascii="Times" w:hAnsi="Times"/>
          <w:sz w:val="24"/>
        </w:rPr>
        <w:t>Material Adverse Effect” means (a) a material adverse change in, or material adverse effect upon, the operations, business, Property, assets, or financial condition of the Borrower or of the Borrower and its Subsidiaries taken as a whole, (b) a material impairment of the ability of the Borrower or any Subsidiary to perform its obligations under any Loan Document or (c) a material adverse effect upon the legality, validity, binding effect or enforceability against the Borrower or any Subsidiary of any Loan Document or the rights and remedies of the Administrative Agent and the Lenders thereunder.</w:t>
      </w:r>
    </w:p>
    <w:p>
      <w:pPr>
        <w:pStyle w:val="TextBody"/>
        <w:bidi w:val="0"/>
        <w:spacing w:before="240" w:after="0"/>
        <w:ind w:left="0" w:right="0" w:firstLine="720"/>
        <w:jc w:val="both"/>
        <w:rPr/>
      </w:pPr>
      <w:r>
        <w:rPr/>
        <w:t>“</w:t>
      </w:r>
      <w:r>
        <w:rPr>
          <w:rFonts w:ascii="Times" w:hAnsi="Times"/>
          <w:sz w:val="24"/>
        </w:rPr>
        <w:t>Material Subsidiary” means, each Subsidiary that owns an Eligible Asset included in the Borrowing Base Value.</w:t>
      </w:r>
    </w:p>
    <w:p>
      <w:pPr>
        <w:pStyle w:val="TextBody"/>
        <w:bidi w:val="0"/>
        <w:spacing w:before="240" w:after="0"/>
        <w:ind w:left="0" w:right="0" w:firstLine="720"/>
        <w:jc w:val="both"/>
        <w:rPr/>
      </w:pPr>
      <w:r>
        <w:rPr/>
        <w:t>“</w:t>
      </w:r>
      <w:r>
        <w:rPr>
          <w:rFonts w:ascii="Times" w:hAnsi="Times"/>
          <w:sz w:val="24"/>
        </w:rPr>
        <w:t xml:space="preserve">Maturity Date” means the earlier of (i) (a) with respect to the 2029 Term Credit Facility, September 30, 2029, </w:t>
      </w:r>
      <w:bookmarkStart w:id="2411" w:name="_cp_change_435"/>
      <w:bookmarkEnd w:id="2411"/>
      <w:r>
        <w:rPr>
          <w:rFonts w:ascii="Times" w:hAnsi="Times"/>
          <w:color w:val="FF0000"/>
          <w:sz w:val="24"/>
        </w:rPr>
        <w:t xml:space="preserve">and </w:t>
      </w:r>
      <w:r>
        <w:rPr>
          <w:rFonts w:ascii="Times" w:hAnsi="Times"/>
          <w:sz w:val="24"/>
        </w:rPr>
        <w:t xml:space="preserve">(b) with respect </w:t>
      </w:r>
      <w:bookmarkStart w:id="2412" w:name="_cp_change_436"/>
      <w:bookmarkEnd w:id="2412"/>
      <w:r>
        <w:rPr>
          <w:rFonts w:ascii="Times" w:hAnsi="Times"/>
          <w:color w:val="0000FF"/>
          <w:sz w:val="24"/>
          <w:u w:val="single"/>
        </w:rPr>
        <w:t xml:space="preserve">to the 2030 Term Credit Facility, September 25, 2030, and (c) with respect </w:t>
      </w:r>
      <w:r>
        <w:rPr>
          <w:rFonts w:ascii="Times" w:hAnsi="Times"/>
          <w:sz w:val="24"/>
        </w:rPr>
        <w:t>to any Incremental Credit Facility, the maturity date for such Incremental Credit Facility as set forth in the applicable Incremental Amendment and (ii) the date on which the principal amount of the Loans has been declared or automatically has become due and payable (whether by acceleration or otherwise); provided, however, that, in each case, if such date is not a Business Day, the Maturity Date shall be the next preceding Business Day.</w:t>
      </w:r>
    </w:p>
    <w:p>
      <w:pPr>
        <w:pStyle w:val="TextBody"/>
        <w:bidi w:val="0"/>
        <w:spacing w:before="240" w:after="0"/>
        <w:ind w:left="0" w:right="0" w:firstLine="720"/>
        <w:jc w:val="both"/>
        <w:rPr/>
      </w:pPr>
      <w:r>
        <w:rPr/>
        <w:t>“</w:t>
      </w:r>
      <w:r>
        <w:rPr>
          <w:rFonts w:ascii="Times" w:hAnsi="Times"/>
          <w:sz w:val="24"/>
        </w:rPr>
        <w:t>Moody’s” means Moody’s Investors Service, Inc., or any successor thereof.</w:t>
      </w:r>
    </w:p>
    <w:p>
      <w:pPr>
        <w:pStyle w:val="TextBody"/>
        <w:bidi w:val="0"/>
        <w:spacing w:before="280" w:after="0"/>
        <w:ind w:left="0" w:right="0" w:firstLine="720"/>
        <w:jc w:val="both"/>
        <w:rPr/>
      </w:pPr>
      <w:r>
        <w:rPr/>
        <w:t>“</w:t>
      </w:r>
      <w:r>
        <w:rPr>
          <w:rFonts w:ascii="Times New Roman;Times;serif" w:hAnsi="Times New Roman;Times;serif"/>
          <w:sz w:val="24"/>
        </w:rPr>
        <w:t>Mortgage Receivable” means a note receivable representing indebtedness owed to the Borrower or one of the Borrower’s Subsidiaries which is secured by a mortgage, deed of trust, deed to secure debt or other similar instrument granting a Lien (subject only to Permitted Liens) as security for the payment of such indebtedness on one or more Properties having a value in excess of the amount of such indebtedness.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w:hAnsi="Times"/>
          <w:sz w:val="24"/>
        </w:rPr>
        <w:t>Mortgages” means, collectively, each mortgage and deed of trust delivered to the Administrative Agent pursuant to Section 8.24(c) hereunder, as the same may be amended, modified, supplemented or restated from time to time.</w:t>
      </w:r>
    </w:p>
    <w:p>
      <w:pPr>
        <w:pStyle w:val="TextBody"/>
        <w:bidi w:val="0"/>
        <w:spacing w:before="240" w:after="0"/>
        <w:ind w:left="0" w:right="0" w:firstLine="720"/>
        <w:jc w:val="both"/>
        <w:rPr/>
      </w:pPr>
      <w:r>
        <w:rPr/>
        <w:t>“</w:t>
      </w:r>
      <w:r>
        <w:rPr>
          <w:rFonts w:ascii="Times" w:hAnsi="Times"/>
          <w:sz w:val="24"/>
        </w:rPr>
        <w:t>MSA” means any major metropolitan area of the United States of America that has a population size that is in the fifty (50) largest metropolitan areas of the United States of America.</w:t>
      </w:r>
    </w:p>
    <w:p>
      <w:pPr>
        <w:pStyle w:val="TextBody"/>
        <w:bidi w:val="0"/>
        <w:spacing w:before="240" w:after="0"/>
        <w:ind w:left="0" w:right="0" w:firstLine="720"/>
        <w:jc w:val="both"/>
        <w:rPr/>
      </w:pPr>
      <w:r>
        <w:rPr/>
        <w:t>“</w:t>
      </w:r>
      <w:r>
        <w:rPr>
          <w:rFonts w:ascii="Times" w:hAnsi="Times"/>
          <w:sz w:val="24"/>
        </w:rPr>
        <w:t>Non-Major Target MSA Location” means any MSA other than a Major Target MSA Location.</w:t>
      </w:r>
    </w:p>
    <w:p>
      <w:pPr>
        <w:pStyle w:val="TextBody"/>
        <w:bidi w:val="0"/>
        <w:spacing w:before="240" w:after="0"/>
        <w:ind w:left="0" w:right="0" w:firstLine="720"/>
        <w:jc w:val="both"/>
        <w:rPr/>
      </w:pPr>
      <w:r>
        <w:rPr/>
        <w:t>“</w:t>
      </w:r>
      <w:r>
        <w:rPr>
          <w:rFonts w:ascii="Times" w:hAnsi="Times"/>
          <w:sz w:val="24"/>
        </w:rPr>
        <w:t>Note” and “Notes” are defined in Section 1.10(d) hereof.</w:t>
      </w:r>
    </w:p>
    <w:p>
      <w:pPr>
        <w:pStyle w:val="TextBody"/>
        <w:bidi w:val="0"/>
        <w:spacing w:before="240" w:after="0"/>
        <w:ind w:left="0" w:right="0" w:firstLine="720"/>
        <w:jc w:val="both"/>
        <w:rPr/>
      </w:pPr>
      <w:r>
        <w:rPr/>
        <w:t>“</w:t>
      </w:r>
      <w:r>
        <w:rPr>
          <w:rFonts w:ascii="Times" w:hAnsi="Times"/>
          <w:sz w:val="24"/>
        </w:rPr>
        <w:t>Obligations” means all obligations of the Borrower to pay principal and interest on the Loans, all fees and charges payable hereunder, all other payment obligations of the Borrower or any of its Subsidiaries arising under or in relation to any Loan Document and all Hedging Liability, in each case whether now existing or hereafter arising, due or to become due, direct or indirect, absolute or contingent, and howsoever evidenced, held or acquired.  For the avoidance of doubt, Obligations shall not include any Funds Transfer and Deposit Account Liability.</w:t>
      </w:r>
    </w:p>
    <w:p>
      <w:pPr>
        <w:pStyle w:val="TextBody"/>
        <w:bidi w:val="0"/>
        <w:spacing w:before="240" w:after="0"/>
        <w:ind w:left="0" w:right="0" w:firstLine="720"/>
        <w:jc w:val="both"/>
        <w:rPr/>
      </w:pPr>
      <w:r>
        <w:rPr/>
        <w:t>“</w:t>
      </w:r>
      <w:r>
        <w:rPr>
          <w:rFonts w:ascii="Times" w:hAnsi="Times"/>
          <w:sz w:val="24"/>
        </w:rPr>
        <w:t>Occupancy Rate” means for any Property, the percentage of the rentable square footage of such Property occupied by bona fide Tenants of such Property or leased by such Tenants pursuant to bona fide Tenant Leases (including upon Tenant Lease execution but prior to occupancy), in each case, which (a) with respect to Significant Leases, are not more than 60 days in arrears on base rental or other similar payments due under the Significant Leases and (b) Tenants are not subject to a then continuing Bankruptcy Event, or if subject to a then continuing Bankruptcy Event (i) the trustee in bankruptcy of such tenant shall have accepted and assumed such Lease or the Tenant shall be in compliance with the rental payments described above in clause (a); (ii) to the extent that the Tenant shall have filed and the bankruptcy court shall have approved the Tenant’s plan for reorganization, the Tenant shall be performing its obligations pursuant to the approved plan of reorganization; or (iii) is otherwise reasonably acceptable to the Administrative Agent.</w:t>
      </w:r>
    </w:p>
    <w:p>
      <w:pPr>
        <w:pStyle w:val="TextBody"/>
        <w:bidi w:val="0"/>
        <w:spacing w:before="240" w:after="0"/>
        <w:ind w:left="0" w:right="0" w:firstLine="720"/>
        <w:jc w:val="both"/>
        <w:rPr/>
      </w:pPr>
      <w:r>
        <w:rPr/>
        <w:t>“</w:t>
      </w:r>
      <w:r>
        <w:rPr>
          <w:rFonts w:ascii="Times" w:hAnsi="Times"/>
          <w:sz w:val="24"/>
        </w:rPr>
        <w:t>OFAC” means the United States Department of Treasury Office of Foreign Assets Control.</w:t>
      </w:r>
    </w:p>
    <w:p>
      <w:pPr>
        <w:pStyle w:val="TextBody"/>
        <w:bidi w:val="0"/>
        <w:spacing w:before="240" w:after="0"/>
        <w:ind w:left="0" w:right="0" w:firstLine="720"/>
        <w:jc w:val="both"/>
        <w:rPr/>
      </w:pPr>
      <w:r>
        <w:rPr/>
        <w:t>“</w:t>
      </w:r>
      <w:r>
        <w:rPr>
          <w:rFonts w:ascii="Times" w:hAnsi="Times"/>
          <w:sz w:val="24"/>
        </w:rPr>
        <w:t>OFAC Event” means the event specified in Section 8.13(c) hereof.</w:t>
      </w:r>
    </w:p>
    <w:p>
      <w:pPr>
        <w:pStyle w:val="TextBody"/>
        <w:bidi w:val="0"/>
        <w:spacing w:before="240" w:after="0"/>
        <w:ind w:left="0" w:right="0" w:firstLine="720"/>
        <w:jc w:val="both"/>
        <w:rPr/>
      </w:pPr>
      <w:r>
        <w:rPr/>
        <w:t>“</w:t>
      </w:r>
      <w:r>
        <w:rPr>
          <w:rFonts w:ascii="Times" w:hAnsi="Times"/>
          <w:sz w:val="24"/>
        </w:rPr>
        <w:t>OFAC Sanctions Programs” means all laws, regulations, and Executive Orders administered by OFAC, including without limitation, the Bank Secrecy Act, anti-money laundering laws (including, without limitation, the Patriot Act), and all economic and trade sanction programs administered by OFAC, any and all similar United States federal laws, regulations or Executive Orders (whether administered by OFAC or otherwise), and any similar laws, regulators or orders adopted by any State within the United States.</w:t>
      </w:r>
    </w:p>
    <w:p>
      <w:pPr>
        <w:pStyle w:val="TextBody"/>
        <w:bidi w:val="0"/>
        <w:spacing w:before="240" w:after="0"/>
        <w:ind w:left="0" w:right="0" w:firstLine="720"/>
        <w:jc w:val="both"/>
        <w:rPr/>
      </w:pPr>
      <w:r>
        <w:rPr/>
        <w:t>“</w:t>
      </w:r>
      <w:r>
        <w:rPr>
          <w:rFonts w:ascii="Times" w:hAnsi="Times"/>
          <w:sz w:val="24"/>
        </w:rPr>
        <w:t xml:space="preserve">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interest under, engaged in any other transaction pursuant to or enforced any Loan Document, or sold or assigned an interest in any Loan or Loan Document).</w:t>
      </w:r>
    </w:p>
    <w:p>
      <w:pPr>
        <w:pStyle w:val="TextBody"/>
        <w:bidi w:val="0"/>
        <w:spacing w:before="240" w:after="0"/>
        <w:ind w:left="0" w:right="0" w:firstLine="720"/>
        <w:jc w:val="both"/>
        <w:rPr/>
      </w:pPr>
      <w:r>
        <w:rPr/>
        <w:t>“</w:t>
      </w:r>
      <w:r>
        <w:rPr>
          <w:rFonts w:ascii="Times" w:hAnsi="Times"/>
          <w:sz w:val="24"/>
        </w:rPr>
        <w:t>Other Guaranty Trigger” is defined in Section 8.24(b) hereof.</w:t>
      </w:r>
    </w:p>
    <w:p>
      <w:pPr>
        <w:pStyle w:val="TextBody"/>
        <w:bidi w:val="0"/>
        <w:spacing w:before="240" w:after="0"/>
        <w:ind w:left="0" w:right="0" w:firstLine="720"/>
        <w:jc w:val="both"/>
        <w:rPr/>
      </w:pPr>
      <w:r>
        <w:rPr/>
        <w:t>“</w:t>
      </w:r>
      <w:r>
        <w:rPr>
          <w:rFonts w:ascii="Times" w:hAnsi="Times"/>
          <w:sz w:val="24"/>
        </w:rPr>
        <w:t>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w:t>
      </w:r>
      <w:r>
        <w:rPr>
          <w:rFonts w:ascii="Times New Roman;Times;serif" w:hAnsi="Times New Roman;Times;serif"/>
          <w:sz w:val="24"/>
        </w:rPr>
        <w:t xml:space="preserve"> </w:t>
      </w:r>
      <w:r>
        <w:rPr>
          <w:rFonts w:ascii="Times" w:hAnsi="Times"/>
          <w:sz w:val="24"/>
        </w:rPr>
        <w:t>pursuant to Section 1.13 hereof).</w:t>
      </w:r>
    </w:p>
    <w:p>
      <w:pPr>
        <w:pStyle w:val="TextBody"/>
        <w:bidi w:val="0"/>
        <w:spacing w:before="240" w:after="0"/>
        <w:ind w:left="0" w:right="0" w:firstLine="720"/>
        <w:jc w:val="both"/>
        <w:rPr/>
      </w:pPr>
      <w:r>
        <w:rPr/>
        <w:t>“</w:t>
      </w:r>
      <w:r>
        <w:rPr>
          <w:rFonts w:ascii="Times" w:hAnsi="Times"/>
          <w:sz w:val="24"/>
        </w:rPr>
        <w:t>Other Unsecured Indebtedness” means any Unsecured Indebtedness (other than the Obligations) that is pari passu with or structurally senior to the Obligations and is recourse to the Borrower, including, without limitation, the Convertible Senior Notes.</w:t>
      </w:r>
    </w:p>
    <w:p>
      <w:pPr>
        <w:pStyle w:val="TextBody"/>
        <w:bidi w:val="0"/>
        <w:spacing w:before="240" w:after="0"/>
        <w:ind w:left="0" w:right="0" w:firstLine="720"/>
        <w:jc w:val="both"/>
        <w:rPr>
          <w:color w:val="0000FF"/>
          <w:u w:val="single"/>
        </w:rPr>
      </w:pPr>
      <w:bookmarkStart w:id="2413" w:name="_cp_change_438"/>
      <w:bookmarkEnd w:id="2413"/>
      <w:r>
        <w:rPr>
          <w:color w:val="0000FF"/>
          <w:u w:val="single"/>
        </w:rPr>
        <w:t>“</w:t>
      </w:r>
      <w:r>
        <w:rPr>
          <w:rFonts w:ascii="Times" w:hAnsi="Times"/>
          <w:color w:val="0000FF"/>
          <w:sz w:val="24"/>
          <w:u w:val="single"/>
        </w:rPr>
        <w:t>Outbound Investment Rules” means the regulations administered and enforced, together with any related public guidance issued, by the United States Treasury Department under U.S. Executive Order 14105 of August 9, 2023, or any similar law or regulation; as of the Second Amendment Effective Date, and as codified at 31 C.F.R. § 850.101 et seq.</w:t>
      </w:r>
      <w:bookmarkStart w:id="2414" w:name="_cp_change_437"/>
      <w:bookmarkEnd w:id="2414"/>
    </w:p>
    <w:p>
      <w:pPr>
        <w:pStyle w:val="TextBody"/>
        <w:bidi w:val="0"/>
        <w:spacing w:before="240" w:after="0"/>
        <w:ind w:left="0" w:right="0" w:firstLine="720"/>
        <w:jc w:val="both"/>
        <w:rPr/>
      </w:pPr>
      <w:r>
        <w:rPr/>
        <w:t>“</w:t>
      </w:r>
      <w:r>
        <w:rPr>
          <w:rFonts w:ascii="Times" w:hAnsi="Times"/>
          <w:sz w:val="24"/>
        </w:rPr>
        <w:t>Ownership Share”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or (b)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pStyle w:val="TextBody"/>
        <w:bidi w:val="0"/>
        <w:spacing w:before="240" w:after="0"/>
        <w:ind w:left="0" w:right="0" w:firstLine="720"/>
        <w:jc w:val="both"/>
        <w:rPr/>
      </w:pPr>
      <w:r>
        <w:rPr/>
        <w:t>“</w:t>
      </w:r>
      <w:r>
        <w:rPr>
          <w:rFonts w:ascii="Times" w:hAnsi="Times"/>
          <w:sz w:val="24"/>
        </w:rPr>
        <w:t>Patriot Act” means the Uniting and Strengthening America by Providing Appropriate Tools Required to Intercept and Obstruct Terrorism Act of 2001, Pub. L. 107-56.</w:t>
      </w:r>
    </w:p>
    <w:p>
      <w:pPr>
        <w:pStyle w:val="TextBody"/>
        <w:bidi w:val="0"/>
        <w:spacing w:before="240" w:after="0"/>
        <w:ind w:left="0" w:right="0" w:firstLine="720"/>
        <w:jc w:val="both"/>
        <w:rPr/>
      </w:pPr>
      <w:r>
        <w:rPr/>
        <w:t>“</w:t>
      </w:r>
      <w:r>
        <w:rPr>
          <w:rFonts w:ascii="Times" w:hAnsi="Times"/>
          <w:sz w:val="24"/>
        </w:rPr>
        <w:t>Payment Recipient” has the meaning assigned to such term in Section 12.30(a).</w:t>
      </w:r>
    </w:p>
    <w:p>
      <w:pPr>
        <w:pStyle w:val="TextBody"/>
        <w:bidi w:val="0"/>
        <w:spacing w:before="240" w:after="0"/>
        <w:ind w:left="0" w:right="0" w:firstLine="720"/>
        <w:jc w:val="both"/>
        <w:rPr/>
      </w:pPr>
      <w:r>
        <w:rPr/>
        <w:t>“</w:t>
      </w:r>
      <w:r>
        <w:rPr>
          <w:rFonts w:ascii="Times" w:hAnsi="Times"/>
          <w:sz w:val="24"/>
        </w:rPr>
        <w:t>PBGC” means the Pension Benefit Guaranty Corporation or any Person succeeding to any or all of its functions under ERISA.</w:t>
      </w:r>
    </w:p>
    <w:p>
      <w:pPr>
        <w:pStyle w:val="TextBody"/>
        <w:bidi w:val="0"/>
        <w:spacing w:before="240" w:after="0"/>
        <w:ind w:left="0" w:right="0" w:firstLine="720"/>
        <w:jc w:val="both"/>
        <w:rPr/>
      </w:pPr>
      <w:r>
        <w:rPr/>
        <w:t>“</w:t>
      </w:r>
      <w:r>
        <w:rPr>
          <w:rFonts w:ascii="Times" w:hAnsi="Times"/>
          <w:sz w:val="24"/>
        </w:rPr>
        <w:t xml:space="preserve">Permitted Liens” means each of the following:  (a) Liens for taxes, assessments and governmental charges or levies to the extent not required to be paid under Section 8.3; (b) Liens imposed by law, such as materialmen’s, mechanics’, carriers’, workmen’s and repairmen’s Liens and other similar Liens arising in the ordinary course of business securing obligations that are not overdue or that are being contested in good faith and by proper proceedings and as to which appropriate reserves are being maintained; (c) pledges or deposits to secure obligations under workers’ compensation laws or similar legislation or to secure public or statutory obligations; (d) easements, zoning restrictions, rights of way and other encumbrances on title to real property that, in the aggregate, do not materially and adversely affect the value of such property or the use of such property for its present purposes; (e) deposits to secure the performance of bids, trade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contracts (other than for borrowed money), leases, statutory obligations, surety and appeal bonds, performance bonds and other obligations of like nature incurred in the ordinary course of business; (f) Liens in favor of the United States of America for amounts paid to the Borrower or any Subsidiary as progress payments under government contracts entered into by it; (g) attachment, judgment and other similar Liens arising in connection with court, reference or arbitration proceedings, provided that the same have been in existence less than twenty (20) days, that the same have been discharged or that execution or enforcement thereof has been stayed pending appeal; (h) the rights of tenants or lessees under leases or subleases not interfering with the ordinary conduct of business of such Person; (i) Liens in favor of the Administrative Agent for its benefit and the benefit of the Lenders; (j)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(k) Liens in existence as of the Closing Date and set forth in Schedule 8.7, (l) Liens on Properties and other assets that are not Eligible Assets and whose Borrowing Base Values are not included in the calculation of the Borrowing Base and (m) Liens on the Equity Interest in any direct Material Subsidiary securing Other Unsecured Indebtedness (which Other Unsecured Indebtedness will be subtracted under clause (y) of each Borrowing Base calculation), provided, that prior to the grant of any such Lien securing Other Unsecured Indebtedness, the Administrative Agent and the holders of such Other Unsecured Indebtedness have entered into an intercreditor agreement on terms reasonably acceptable to the Administrative Agent.</w:t>
      </w:r>
    </w:p>
    <w:p>
      <w:pPr>
        <w:pStyle w:val="TextBody"/>
        <w:bidi w:val="0"/>
        <w:spacing w:before="240" w:after="0"/>
        <w:ind w:left="0" w:right="0" w:firstLine="720"/>
        <w:jc w:val="both"/>
        <w:rPr/>
      </w:pPr>
      <w:r>
        <w:rPr/>
        <w:t>“</w:t>
      </w:r>
      <w:r>
        <w:rPr>
          <w:rFonts w:ascii="Times" w:hAnsi="Times"/>
          <w:sz w:val="24"/>
        </w:rPr>
        <w:t>Person” means an individual, partnership, corporation, limited liability company, association, trust, unincorporated organization or any other entity or organization, including a government or agency or political subdivision thereof.</w:t>
      </w:r>
    </w:p>
    <w:p>
      <w:pPr>
        <w:pStyle w:val="TextBody"/>
        <w:bidi w:val="0"/>
        <w:spacing w:before="280" w:after="0"/>
        <w:ind w:left="0" w:right="0" w:firstLine="720"/>
        <w:jc w:val="both"/>
        <w:rPr/>
      </w:pPr>
      <w:r>
        <w:rPr/>
        <w:t>“</w:t>
      </w:r>
      <w:r>
        <w:rPr>
          <w:rFonts w:ascii="Times New Roman;Times;serif" w:hAnsi="Times New Roman;Times;serif"/>
          <w:sz w:val="24"/>
        </w:rPr>
        <w:t>PINE Common Equity” common stock of Alpine Income Property Trust, Inc., publicly traded on the New York Stock Exchange under the trading symbol “PINE” owned by Borrower or a Material Subsidiary.</w:t>
      </w:r>
    </w:p>
    <w:p>
      <w:pPr>
        <w:pStyle w:val="TextBody"/>
        <w:bidi w:val="0"/>
        <w:spacing w:before="240" w:after="0"/>
        <w:ind w:left="0" w:right="0" w:firstLine="720"/>
        <w:jc w:val="both"/>
        <w:rPr/>
      </w:pPr>
      <w:r>
        <w:rPr/>
        <w:t>“</w:t>
      </w:r>
      <w:r>
        <w:rPr>
          <w:rFonts w:ascii="Times" w:hAnsi="Times"/>
          <w:sz w:val="24"/>
        </w:rPr>
        <w:t>Plan” means any employee pension benefit plan covered by Title IV of ERISA or subject 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pStyle w:val="TextBody"/>
        <w:bidi w:val="0"/>
        <w:spacing w:before="280" w:after="0"/>
        <w:ind w:left="0" w:right="0" w:firstLine="720"/>
        <w:jc w:val="both"/>
        <w:rPr/>
      </w:pPr>
      <w:r>
        <w:rPr/>
        <w:t>“</w:t>
      </w:r>
      <w:r>
        <w:rPr>
          <w:rFonts w:ascii="Times New Roman;Times;serif" w:hAnsi="Times New Roman;Times;serif"/>
          <w:sz w:val="24"/>
        </w:rPr>
        <w:t>Pledge and Control Agreements” means, collectively, each pledge and control agreement delivered to the Administrative Agent pursuant to Section 8.24(c) hereunder, as the same may be amended, modified, supplemented or restated from time to time.</w:t>
      </w:r>
    </w:p>
    <w:p>
      <w:pPr>
        <w:pStyle w:val="TextBody"/>
        <w:bidi w:val="0"/>
        <w:spacing w:before="280" w:after="0"/>
        <w:ind w:left="0" w:right="0" w:firstLine="720"/>
        <w:jc w:val="both"/>
        <w:rPr/>
      </w:pPr>
      <w:r>
        <w:rPr/>
        <w:t>“</w:t>
      </w:r>
      <w:r>
        <w:rPr>
          <w:rFonts w:ascii="Times New Roman;Times;serif" w:hAnsi="Times New Roman;Times;serif"/>
          <w:sz w:val="24"/>
        </w:rPr>
        <w:t>Property” or “Properties” means, as to any Person, all of its real property, land, improvements and fixtures, including property encumbered by Acceptable Leasehold Interests or Ground Leases, owned by such Person whether or not included in the most recent balance sheet of such Person and its subsidiaries under GAAP, including any Eligible Property owned by the Borrower or any of its Subsidiaries.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w:hAnsi="Times"/>
          <w:sz w:val="24"/>
        </w:rPr>
        <w:t>Property Expenses” means the costs (including, but not limited to, payroll, taxes, assessments, insurance, utilities, landscaping and other similar charges) of operating and maintaining any Property, which are the responsibility of the Borrower and its Subsidiaries that are not paid directly by the tenant, including without limitation, the Annual Capital Expenditure Reserve and the greater of (a) 3% of rents and (b) actual management fees paid in cash, but excluding depreciation, amortization and interest costs.  The Borrower’s Ownership Share of assets held by Unconsolidated Affiliates shall be included when determining Property Expenses shall be included when determining Property Income of the Borrower and its Subsidiaries, subject to the adjustments set forth in this definition</w:t>
      </w:r>
    </w:p>
    <w:p>
      <w:pPr>
        <w:pStyle w:val="TextBody"/>
        <w:bidi w:val="0"/>
        <w:spacing w:before="240" w:after="0"/>
        <w:ind w:left="0" w:right="0" w:firstLine="720"/>
        <w:jc w:val="both"/>
        <w:rPr/>
      </w:pPr>
      <w:r>
        <w:rPr/>
        <w:t>“</w:t>
      </w:r>
      <w:r>
        <w:rPr>
          <w:rFonts w:ascii="Times" w:hAnsi="Times"/>
          <w:sz w:val="24"/>
        </w:rPr>
        <w:t>Property Income” means cash rents (excluding non-cash straight-line rent) and other cash revenues received by the Borrower and its Subsidiaries in the ordinary course for any Property, but excluding security deposits and prepaid rent except to the extent applied in satisfaction of tenants’ obligations for rent.  The Borrower’s Ownership Share of assets held by Unconsolidated Affiliates shall be included when determining Property Income of the Borrower and its Subsidiaries, subject to the adjustments set forth in this definition.</w:t>
      </w:r>
    </w:p>
    <w:p>
      <w:pPr>
        <w:pStyle w:val="TextBody"/>
        <w:bidi w:val="0"/>
        <w:spacing w:before="240" w:after="0"/>
        <w:ind w:left="0" w:right="0" w:firstLine="720"/>
        <w:jc w:val="both"/>
        <w:rPr/>
      </w:pPr>
      <w:r>
        <w:rPr/>
        <w:t>“</w:t>
      </w:r>
      <w:r>
        <w:rPr>
          <w:rFonts w:ascii="Times" w:hAnsi="Times"/>
          <w:sz w:val="24"/>
        </w:rPr>
        <w:t>Property Net Operating Income” or “Property NOI” means, with respect to any Property for any Rolling Period (without duplication), the aggregate amount of (i) Property Income for such period minus (ii) Property Expenses for such period.  The Borrower’s Ownership Share of assets held by Unconsolidated Affiliates shall be included when determining Property Net Operating Income of the Borrower and its Subsidiaries, subject to the adjustments set forth in this definition.</w:t>
      </w:r>
    </w:p>
    <w:p>
      <w:pPr>
        <w:pStyle w:val="TextBody"/>
        <w:bidi w:val="0"/>
        <w:spacing w:before="240" w:after="0"/>
        <w:ind w:left="0" w:right="0" w:firstLine="720"/>
        <w:jc w:val="both"/>
        <w:rPr/>
      </w:pPr>
      <w:r>
        <w:rPr/>
        <w:t>“</w:t>
      </w:r>
      <w:r>
        <w:rPr>
          <w:rFonts w:ascii="Times" w:hAnsi="Times"/>
          <w:sz w:val="24"/>
        </w:rPr>
        <w:t>Property Owner” means the Person who owns fee title interest in and to a Property.</w:t>
      </w:r>
    </w:p>
    <w:p>
      <w:pPr>
        <w:pStyle w:val="TextBody"/>
        <w:bidi w:val="0"/>
        <w:spacing w:before="240" w:after="0"/>
        <w:ind w:left="0" w:right="0" w:firstLine="720"/>
        <w:jc w:val="both"/>
        <w:rPr/>
      </w:pPr>
      <w:r>
        <w:rPr/>
        <w:t>“</w:t>
      </w:r>
      <w:r>
        <w:rPr>
          <w:rFonts w:ascii="Times" w:hAnsi="Times"/>
          <w:sz w:val="24"/>
        </w:rPr>
        <w:t>Qualified ECP Guarantor”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240" w:after="0"/>
        <w:ind w:left="0" w:right="0" w:firstLine="720"/>
        <w:jc w:val="both"/>
        <w:rPr/>
      </w:pPr>
      <w:r>
        <w:rPr/>
        <w:t>“</w:t>
      </w:r>
      <w:r>
        <w:rPr>
          <w:rFonts w:ascii="Times" w:hAnsi="Times"/>
          <w:sz w:val="24"/>
        </w:rPr>
        <w:t>Rating” means the debt rating provided by S&amp;P, Moody’s or Fitch with respect to the unsecured senior long-term non-credit enhanced debt of a Person.</w:t>
      </w:r>
    </w:p>
    <w:p>
      <w:pPr>
        <w:pStyle w:val="TextBody"/>
        <w:bidi w:val="0"/>
        <w:spacing w:before="240" w:after="0"/>
        <w:ind w:left="0" w:right="0" w:firstLine="720"/>
        <w:jc w:val="both"/>
        <w:rPr/>
      </w:pPr>
      <w:r>
        <w:rPr/>
        <w:t>“</w:t>
      </w:r>
      <w:r>
        <w:rPr>
          <w:rFonts w:ascii="Times" w:hAnsi="Times"/>
          <w:sz w:val="24"/>
        </w:rPr>
        <w:t>RCRA” means the Solid Waste Disposal Act, as amended by the Resource Conservation and Recovery Act of 1976 and Hazardous and Solid Waste Amendments of 1984, 42 U.S.C. </w:t>
      </w:r>
      <w:r>
        <w:rPr>
          <w:rFonts w:ascii="Times" w:hAnsi="Times"/>
          <w:b/>
          <w:sz w:val="24"/>
        </w:rPr>
        <w:t>§§</w:t>
      </w:r>
      <w:r>
        <w:rPr>
          <w:rFonts w:ascii="Times" w:hAnsi="Times"/>
          <w:sz w:val="24"/>
        </w:rPr>
        <w:t>6901 et seq., and any future amendments.</w:t>
      </w:r>
    </w:p>
    <w:p>
      <w:pPr>
        <w:pStyle w:val="TextBody"/>
        <w:bidi w:val="0"/>
        <w:spacing w:before="240" w:after="0"/>
        <w:ind w:left="0" w:right="0" w:firstLine="720"/>
        <w:jc w:val="both"/>
        <w:rPr/>
      </w:pPr>
      <w:bookmarkStart w:id="2415" w:name="_DV_C1494"/>
      <w:bookmarkEnd w:id="2415"/>
      <w:r>
        <w:rPr/>
        <w:t>“</w:t>
      </w:r>
      <w:r>
        <w:rPr>
          <w:rFonts w:ascii="Times" w:hAnsi="Times"/>
          <w:sz w:val="24"/>
        </w:rPr>
        <w:t>Recipient” means (a) the Administrative Agent and (b) any Lender, as applicable.</w:t>
      </w:r>
    </w:p>
    <w:p>
      <w:pPr>
        <w:pStyle w:val="TextBody"/>
        <w:bidi w:val="0"/>
        <w:spacing w:before="240" w:after="0"/>
        <w:ind w:left="0" w:right="0" w:firstLine="720"/>
        <w:jc w:val="both"/>
        <w:rPr/>
      </w:pPr>
      <w:r>
        <w:rPr/>
        <w:t>“</w:t>
      </w:r>
      <w:r>
        <w:rPr>
          <w:rFonts w:ascii="Times" w:hAnsi="Times"/>
          <w:sz w:val="24"/>
        </w:rPr>
        <w:t>REIT” means a “real estate investment trust” in accordance with Section 856 et. seq. of the Code.</w:t>
      </w:r>
    </w:p>
    <w:p>
      <w:pPr>
        <w:pStyle w:val="TextBody"/>
        <w:bidi w:val="0"/>
        <w:spacing w:before="240" w:after="0"/>
        <w:ind w:left="0" w:right="0" w:firstLine="720"/>
        <w:jc w:val="both"/>
        <w:rPr/>
      </w:pPr>
      <w:r>
        <w:rPr/>
        <w:t>“</w:t>
      </w:r>
      <w:r>
        <w:rPr>
          <w:rFonts w:ascii="Times" w:hAnsi="Times"/>
          <w:sz w:val="24"/>
        </w:rPr>
        <w:t>Related Parties” 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r>
        <w:rPr>
          <w:rFonts w:ascii="Times" w:hAnsi="Times"/>
          <w:sz w:val="24"/>
        </w:rPr>
        <w:t>Release” means any spilling, leaking, pumping, pouring, emitting, emptying, discharging, 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pStyle w:val="TextBody"/>
        <w:bidi w:val="0"/>
        <w:spacing w:before="240" w:after="0"/>
        <w:ind w:left="0" w:right="0" w:firstLine="720"/>
        <w:jc w:val="both"/>
        <w:rPr/>
      </w:pPr>
      <w:r>
        <w:rPr/>
        <w:t>“</w:t>
      </w:r>
      <w:r>
        <w:rPr>
          <w:rFonts w:ascii="Times" w:hAnsi="Times"/>
          <w:sz w:val="24"/>
        </w:rPr>
        <w:t>Relevant Governmental Body” means the Federal Reserve Board or the Federal Reserve Bank of New York, or a committee officially endorsed or convened by the Federal Reserve Board or the Federal Reserve Bank of New York, or any successor thereto.</w:t>
      </w:r>
    </w:p>
    <w:p>
      <w:pPr>
        <w:pStyle w:val="TextBody"/>
        <w:bidi w:val="0"/>
        <w:spacing w:before="240" w:after="0"/>
        <w:ind w:left="0" w:right="0" w:firstLine="720"/>
        <w:jc w:val="both"/>
        <w:rPr/>
      </w:pPr>
      <w:r>
        <w:rPr/>
        <w:t>“</w:t>
      </w:r>
      <w:r>
        <w:rPr>
          <w:rFonts w:ascii="Times" w:hAnsi="Times"/>
          <w:sz w:val="24"/>
        </w:rPr>
        <w:t>Required Lenders” means, as of the date of determination thereof, (i) at any time in which there are only two Lenders, both Lenders and (ii) at any other time Lenders whose outstanding Loans constitute more than 50%</w:t>
      </w:r>
      <w:r>
        <w:rPr>
          <w:rFonts w:ascii="Times New Roman;Times;serif" w:hAnsi="Times New Roman;Times;serif"/>
          <w:sz w:val="24"/>
        </w:rPr>
        <w:t xml:space="preserve"> </w:t>
      </w:r>
      <w:r>
        <w:rPr>
          <w:rFonts w:ascii="Times" w:hAnsi="Times"/>
          <w:sz w:val="24"/>
        </w:rPr>
        <w:t>of the sum of the Total Outstandings. The outstanding Loans of any Defaulting Lender shall be disregarded in determining Required Lenders at any time.</w:t>
      </w:r>
    </w:p>
    <w:p>
      <w:pPr>
        <w:pStyle w:val="TextBody"/>
        <w:bidi w:val="0"/>
        <w:spacing w:before="240" w:after="0"/>
        <w:ind w:left="0" w:right="0" w:firstLine="720"/>
        <w:jc w:val="both"/>
        <w:rPr/>
      </w:pPr>
      <w:r>
        <w:rPr/>
        <w:t>“</w:t>
      </w:r>
      <w:r>
        <w:rPr>
          <w:rFonts w:ascii="Times" w:hAnsi="Times"/>
          <w:sz w:val="24"/>
        </w:rPr>
        <w:t>Resolution Authority” means an EEA Resolution Authority or, with respect to any UK Financial Institution, a UK Resolution Authority.</w:t>
      </w:r>
    </w:p>
    <w:p>
      <w:pPr>
        <w:pStyle w:val="TextBody"/>
        <w:bidi w:val="0"/>
        <w:spacing w:before="240" w:after="0"/>
        <w:ind w:left="0" w:right="0" w:firstLine="720"/>
        <w:jc w:val="both"/>
        <w:rPr/>
      </w:pPr>
      <w:r>
        <w:rPr/>
        <w:t>“</w:t>
      </w:r>
      <w:r>
        <w:rPr>
          <w:rFonts w:ascii="Times" w:hAnsi="Times"/>
          <w:sz w:val="24"/>
        </w:rPr>
        <w:t>Responsible Officer” means, with respect to the Borrower or any of its Subsidiaries, the chief executive officer, the chief financial officer, chief accounting officer, chief legal officer or the chief operating officer of the Borrower or such Subsidiary.</w:t>
      </w:r>
    </w:p>
    <w:p>
      <w:pPr>
        <w:pStyle w:val="TextBody"/>
        <w:bidi w:val="0"/>
        <w:spacing w:before="240" w:after="0"/>
        <w:ind w:left="0" w:right="0" w:firstLine="720"/>
        <w:jc w:val="both"/>
        <w:rPr/>
      </w:pPr>
      <w:r>
        <w:rPr/>
        <w:t>“</w:t>
      </w:r>
      <w:r>
        <w:rPr>
          <w:rFonts w:ascii="Times" w:hAnsi="Times"/>
          <w:sz w:val="24"/>
        </w:rPr>
        <w:t>Restricted Payments” means dividends on or other distributions in respect of any class or series of Stock, Stock Equivalents or other Equity Interests of the Borrower or its Subsidiaries or the direct or indirect purchase, redemption, acquisition, or retirement of any of the Borrower’s or a Subsidiaries’ Stock, Stock Equivalents or other Equity Interest.</w:t>
      </w:r>
    </w:p>
    <w:p>
      <w:pPr>
        <w:pStyle w:val="TextBody"/>
        <w:bidi w:val="0"/>
        <w:spacing w:before="240" w:after="0"/>
        <w:ind w:left="0" w:right="0" w:firstLine="720"/>
        <w:jc w:val="both"/>
        <w:rPr/>
      </w:pPr>
      <w:r>
        <w:rPr/>
        <w:t>“</w:t>
      </w:r>
      <w:r>
        <w:rPr>
          <w:rFonts w:ascii="Times" w:hAnsi="Times"/>
          <w:sz w:val="24"/>
        </w:rPr>
        <w:t>Retail Mixed-Use Properties” means a Property with not less than 20% of gross leasable area occupied by Tenants utilizing such property for retail space.</w:t>
      </w:r>
    </w:p>
    <w:p>
      <w:pPr>
        <w:pStyle w:val="TextBody"/>
        <w:bidi w:val="0"/>
        <w:spacing w:before="240" w:after="0"/>
        <w:ind w:left="0" w:right="0" w:firstLine="720"/>
        <w:jc w:val="both"/>
        <w:rPr/>
      </w:pPr>
      <w:r>
        <w:rPr/>
        <w:t>“</w:t>
      </w:r>
      <w:r>
        <w:rPr>
          <w:rFonts w:ascii="Times" w:hAnsi="Times"/>
          <w:sz w:val="24"/>
        </w:rPr>
        <w:t>Rolling Period” means, as of any date, the four Fiscal Quarters ending on or immediately preceding such date.</w:t>
      </w:r>
    </w:p>
    <w:p>
      <w:pPr>
        <w:pStyle w:val="TextBody"/>
        <w:bidi w:val="0"/>
        <w:spacing w:before="240" w:after="0"/>
        <w:ind w:left="0" w:right="0" w:firstLine="720"/>
        <w:jc w:val="both"/>
        <w:rPr/>
      </w:pPr>
      <w:r>
        <w:rPr/>
        <w:t>“</w:t>
      </w:r>
      <w:r>
        <w:rPr>
          <w:rFonts w:ascii="Times" w:hAnsi="Times"/>
          <w:sz w:val="24"/>
        </w:rPr>
        <w:t>S&amp;P” means S&amp;P Global, Inc. or any successor thereof.</w:t>
      </w:r>
    </w:p>
    <w:p>
      <w:pPr>
        <w:pStyle w:val="TextBody"/>
        <w:bidi w:val="0"/>
        <w:spacing w:before="280" w:after="0"/>
        <w:ind w:left="0" w:right="0" w:firstLine="720"/>
        <w:jc w:val="both"/>
        <w:rPr>
          <w:color w:val="0000FF"/>
          <w:u w:val="single"/>
        </w:rPr>
      </w:pPr>
      <w:bookmarkStart w:id="2416" w:name="_cp_change_440"/>
      <w:bookmarkEnd w:id="2416"/>
      <w:r>
        <w:rPr>
          <w:color w:val="0000FF"/>
          <w:u w:val="single"/>
        </w:rPr>
        <w:t>“</w:t>
      </w:r>
      <w:r>
        <w:rPr>
          <w:rFonts w:ascii="Times New Roman;Times;serif" w:hAnsi="Times New Roman;Times;serif"/>
          <w:color w:val="0000FF"/>
          <w:sz w:val="24"/>
          <w:u w:val="single"/>
        </w:rPr>
        <w:t>Second Amendment Effective Date Borrowing Base Assets” means collectively the Borrowing Base Assets listed on Schedule 1.1 as of the Second Amendment Effective Date and “Second Amendment Effective Date Borrowing Base Asset” means any of such Borrowing Base Assets.</w:t>
      </w:r>
      <w:bookmarkStart w:id="2417" w:name="_cp_change_439"/>
      <w:bookmarkEnd w:id="2417"/>
    </w:p>
    <w:p>
      <w:pPr>
        <w:pStyle w:val="TextBody"/>
        <w:bidi w:val="0"/>
        <w:spacing w:before="280" w:after="0"/>
        <w:ind w:left="0" w:right="0" w:firstLine="720"/>
        <w:jc w:val="both"/>
        <w:rPr>
          <w:color w:val="0000FF"/>
          <w:u w:val="single"/>
        </w:rPr>
      </w:pPr>
      <w:bookmarkStart w:id="2418" w:name="_cp_change_442"/>
      <w:bookmarkEnd w:id="2418"/>
      <w:r>
        <w:rPr>
          <w:color w:val="0000FF"/>
          <w:u w:val="single"/>
        </w:rPr>
        <w:t>“</w:t>
      </w:r>
      <w:r>
        <w:rPr>
          <w:rFonts w:ascii="Times New Roman;Times;serif" w:hAnsi="Times New Roman;Times;serif"/>
          <w:color w:val="0000FF"/>
          <w:sz w:val="24"/>
          <w:u w:val="single"/>
        </w:rPr>
        <w:t>Second Amendment Effective Date” means September 25, 2025.</w:t>
      </w:r>
      <w:bookmarkStart w:id="2419" w:name="_cp_change_441"/>
      <w:bookmarkEnd w:id="2419"/>
    </w:p>
    <w:p>
      <w:pPr>
        <w:pStyle w:val="TextBody"/>
        <w:bidi w:val="0"/>
        <w:spacing w:before="240" w:after="0"/>
        <w:ind w:left="0" w:right="0" w:firstLine="720"/>
        <w:jc w:val="both"/>
        <w:rPr/>
      </w:pPr>
      <w:r>
        <w:rPr/>
        <w:t>“</w:t>
      </w:r>
      <w:r>
        <w:rPr>
          <w:rFonts w:ascii="Times" w:hAnsi="Times"/>
          <w:sz w:val="24"/>
        </w:rPr>
        <w:t>Secured Indebtedness” means all Indebtedness for Borrowed Money of the Borrower and its Subsidiaries, that is secured by a Lien, other than the Obligations.  The Borrower’s Ownership Share of Secured Indebtedness held by Unconsolidated Affiliates shall be included when determining Secured Indebtedness of the Borrower and its Subsidiaries.</w:t>
      </w:r>
    </w:p>
    <w:p>
      <w:pPr>
        <w:pStyle w:val="TextBody"/>
        <w:bidi w:val="0"/>
        <w:spacing w:before="240" w:after="0"/>
        <w:ind w:left="0" w:right="0" w:firstLine="720"/>
        <w:jc w:val="both"/>
        <w:rPr/>
      </w:pPr>
      <w:r>
        <w:rPr/>
        <w:t>“</w:t>
      </w:r>
      <w:r>
        <w:rPr>
          <w:rFonts w:ascii="Times" w:hAnsi="Times"/>
          <w:sz w:val="24"/>
        </w:rPr>
        <w:t xml:space="preserve">Secured Recourse Indebtedness” means Secured Indebtedness for which recourse for payment (except for customary exceptions for fraud, misapplication of funds, environmental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indemnities and other similar exceptions to recourse liability) is to the Borrower or any Guarantor, other than the Obligations.</w:t>
      </w:r>
    </w:p>
    <w:p>
      <w:pPr>
        <w:pStyle w:val="TextBody"/>
        <w:bidi w:val="0"/>
        <w:spacing w:before="240" w:after="0"/>
        <w:ind w:left="0" w:right="0" w:firstLine="720"/>
        <w:jc w:val="both"/>
        <w:rPr/>
      </w:pPr>
      <w:r>
        <w:rPr/>
        <w:t>“</w:t>
      </w:r>
      <w:r>
        <w:rPr>
          <w:rFonts w:ascii="Times" w:hAnsi="Times"/>
          <w:sz w:val="24"/>
        </w:rPr>
        <w:t>Significant Lease” means, as to any particular Property, each Lease which constitutes 20% or more of all base rent revenue of such Property.</w:t>
      </w:r>
    </w:p>
    <w:p>
      <w:pPr>
        <w:pStyle w:val="TextBody"/>
        <w:bidi w:val="0"/>
        <w:spacing w:before="240" w:after="0"/>
        <w:ind w:left="0" w:right="0" w:firstLine="720"/>
        <w:jc w:val="both"/>
        <w:rPr/>
      </w:pPr>
      <w:r>
        <w:rPr/>
        <w:t>“</w:t>
      </w:r>
      <w:r>
        <w:rPr>
          <w:rFonts w:ascii="Times" w:hAnsi="Times"/>
          <w:sz w:val="24"/>
        </w:rPr>
        <w:t xml:space="preserve">SOFR” means a rate equal to the secured overnight financing rate as administered by the SOFR Administrator. </w:t>
      </w:r>
    </w:p>
    <w:p>
      <w:pPr>
        <w:pStyle w:val="TextBody"/>
        <w:bidi w:val="0"/>
        <w:spacing w:before="240" w:after="0"/>
        <w:ind w:left="0" w:right="0" w:firstLine="720"/>
        <w:jc w:val="both"/>
        <w:rPr/>
      </w:pPr>
      <w:r>
        <w:rPr/>
        <w:t>“</w:t>
      </w:r>
      <w:r>
        <w:rPr>
          <w:rFonts w:ascii="Times" w:hAnsi="Times"/>
          <w:sz w:val="24"/>
        </w:rPr>
        <w:t>SOFR Administrator” means the Federal Reserve Bank of New York (or a successor administrator of the secured overnight financing rate).</w:t>
      </w:r>
    </w:p>
    <w:p>
      <w:pPr>
        <w:pStyle w:val="TextBody"/>
        <w:bidi w:val="0"/>
        <w:spacing w:before="240" w:after="0"/>
        <w:ind w:left="0" w:right="0" w:firstLine="720"/>
        <w:jc w:val="both"/>
        <w:rPr/>
      </w:pPr>
      <w:bookmarkStart w:id="2420" w:name="_Ref47002986"/>
      <w:bookmarkEnd w:id="2420"/>
      <w:r>
        <w:rPr/>
        <w:t>“</w:t>
      </w:r>
      <w:r>
        <w:rPr>
          <w:rFonts w:ascii="Times" w:hAnsi="Times"/>
          <w:sz w:val="24"/>
        </w:rPr>
        <w:t>SOFR Administrator’s Website” means the website of the Federal Reserve Bank of New York, currently at http://www.newyorkfed.org, or any successor source for the secured overnight financing rate identified as such by the SOFR Administrator from time to time.</w:t>
      </w:r>
    </w:p>
    <w:p>
      <w:pPr>
        <w:pStyle w:val="TextBody"/>
        <w:bidi w:val="0"/>
        <w:spacing w:before="240" w:after="0"/>
        <w:ind w:left="0" w:right="0" w:firstLine="720"/>
        <w:jc w:val="both"/>
        <w:rPr/>
      </w:pPr>
      <w:r>
        <w:rPr/>
        <w:t>“</w:t>
      </w:r>
      <w:r>
        <w:rPr>
          <w:rFonts w:ascii="Times" w:hAnsi="Times"/>
          <w:sz w:val="24"/>
        </w:rPr>
        <w:t xml:space="preserve">SOFR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ind w:left="0" w:right="0" w:firstLine="720"/>
        <w:jc w:val="both"/>
        <w:rPr/>
      </w:pPr>
      <w:r>
        <w:rPr/>
        <w:t>“</w:t>
      </w:r>
      <w:r>
        <w:rPr>
          <w:rFonts w:ascii="Times" w:hAnsi="Times"/>
          <w:sz w:val="24"/>
        </w:rPr>
        <w:t>SOFR Determination Day” has the meaning specified in the definition of “Daily Simple SOFR”.</w:t>
      </w:r>
    </w:p>
    <w:p>
      <w:pPr>
        <w:pStyle w:val="TextBody"/>
        <w:bidi w:val="0"/>
        <w:spacing w:before="240" w:after="0"/>
        <w:ind w:left="0" w:right="0" w:firstLine="720"/>
        <w:jc w:val="both"/>
        <w:rPr>
          <w:color w:val="FF0000"/>
        </w:rPr>
      </w:pPr>
      <w:bookmarkStart w:id="2421" w:name="_cp_change_444"/>
      <w:bookmarkEnd w:id="2421"/>
      <w:r>
        <w:rPr>
          <w:color w:val="FF0000"/>
        </w:rPr>
        <w:t>“</w:t>
      </w:r>
      <w:r>
        <w:rPr>
          <w:rFonts w:ascii="Times" w:hAnsi="Times"/>
          <w:color w:val="FF0000"/>
          <w:sz w:val="24"/>
        </w:rPr>
        <w:t>SOFR Index Adjustment” means for any calculation with respect to a Base Rate Loan, a Daily Simple SOFR Rate Loan or a Term SOFR Rate Loan, a percentage per annum as set forth below for the applicable Type of such Loan:</w:t>
      </w:r>
      <w:bookmarkStart w:id="2422" w:name="_cp_change_443"/>
      <w:bookmarkEnd w:id="2422"/>
    </w:p>
    <w:p>
      <w:pPr>
        <w:pStyle w:val="TextBody"/>
        <w:bidi w:val="0"/>
        <w:spacing w:before="240" w:after="0"/>
        <w:ind w:left="0" w:right="0" w:firstLine="720"/>
        <w:jc w:val="both"/>
        <w:rPr>
          <w:rFonts w:ascii="Times" w:hAnsi="Times"/>
          <w:color w:val="FF0000"/>
          <w:sz w:val="24"/>
        </w:rPr>
      </w:pPr>
      <w:bookmarkStart w:id="2423" w:name="_cp_change_446"/>
      <w:bookmarkEnd w:id="2423"/>
      <w:r>
        <w:rPr>
          <w:rFonts w:ascii="Times" w:hAnsi="Times"/>
          <w:color w:val="FF0000"/>
          <w:sz w:val="24"/>
        </w:rPr>
        <w:t>Daily Simple SOFR Rate Loans: 0.10%</w:t>
      </w:r>
      <w:bookmarkStart w:id="2424" w:name="_cp_change_445"/>
      <w:bookmarkEnd w:id="2424"/>
    </w:p>
    <w:p>
      <w:pPr>
        <w:pStyle w:val="TextBody"/>
        <w:bidi w:val="0"/>
        <w:spacing w:before="240" w:after="0"/>
        <w:ind w:left="0" w:right="0" w:firstLine="720"/>
        <w:jc w:val="both"/>
        <w:rPr>
          <w:rFonts w:ascii="Times" w:hAnsi="Times"/>
          <w:color w:val="FF0000"/>
          <w:sz w:val="24"/>
        </w:rPr>
      </w:pPr>
      <w:bookmarkStart w:id="2425" w:name="_cp_change_448"/>
      <w:bookmarkEnd w:id="2425"/>
      <w:r>
        <w:rPr>
          <w:rFonts w:ascii="Times" w:hAnsi="Times"/>
          <w:color w:val="FF0000"/>
          <w:sz w:val="24"/>
        </w:rPr>
        <w:t>Term SOFR Rate Loans (for all Interest Periods):  0.10%</w:t>
      </w:r>
      <w:bookmarkStart w:id="2426" w:name="_cp_change_447"/>
      <w:bookmarkEnd w:id="2426"/>
    </w:p>
    <w:p>
      <w:pPr>
        <w:pStyle w:val="TextBody"/>
        <w:bidi w:val="0"/>
        <w:spacing w:before="240" w:after="0"/>
        <w:ind w:left="0" w:right="0" w:firstLine="720"/>
        <w:jc w:val="both"/>
        <w:rPr/>
      </w:pPr>
      <w:r>
        <w:rPr/>
        <w:t>“</w:t>
      </w:r>
      <w:r>
        <w:rPr>
          <w:rFonts w:ascii="Times" w:hAnsi="Times"/>
          <w:sz w:val="24"/>
        </w:rPr>
        <w:t>SOFR Rate Loan” means each Daily Simple SOFR Rate Loan and each Term SOFR Rate Loan.</w:t>
      </w:r>
    </w:p>
    <w:p>
      <w:pPr>
        <w:pStyle w:val="TextBody"/>
        <w:bidi w:val="0"/>
        <w:spacing w:before="240" w:after="0"/>
        <w:ind w:left="0" w:right="0" w:firstLine="720"/>
        <w:jc w:val="both"/>
        <w:rPr/>
      </w:pPr>
      <w:r>
        <w:rPr/>
        <w:t>“</w:t>
      </w:r>
      <w:r>
        <w:rPr>
          <w:rFonts w:ascii="Times" w:hAnsi="Times"/>
          <w:sz w:val="24"/>
        </w:rPr>
        <w:t>SOFR Rate Day” has the meaning specified in the definition of “Daily Simple SOFR”.</w:t>
      </w:r>
    </w:p>
    <w:p>
      <w:pPr>
        <w:pStyle w:val="TextBody"/>
        <w:bidi w:val="0"/>
        <w:spacing w:before="240" w:after="0"/>
        <w:ind w:left="0" w:right="0" w:firstLine="720"/>
        <w:jc w:val="both"/>
        <w:rPr/>
      </w:pPr>
      <w:r>
        <w:rPr/>
        <w:t>“</w:t>
      </w:r>
      <w:r>
        <w:rPr>
          <w:rFonts w:ascii="Times" w:hAnsi="Times"/>
          <w:sz w:val="24"/>
        </w:rPr>
        <w:t>Stock” means shares of capital stock, beneficial or partnership interests, participations or other equivalents (regardless of how designated) of or in a corporation or equivalent entity, whether voting or non-voting, and includes, without limitation, common stock.</w:t>
      </w:r>
    </w:p>
    <w:p>
      <w:pPr>
        <w:pStyle w:val="TextBody"/>
        <w:bidi w:val="0"/>
        <w:spacing w:before="240" w:after="0"/>
        <w:ind w:left="0" w:right="0" w:firstLine="720"/>
        <w:jc w:val="both"/>
        <w:rPr/>
      </w:pPr>
      <w:r>
        <w:rPr/>
        <w:t>“</w:t>
      </w:r>
      <w:r>
        <w:rPr>
          <w:rFonts w:ascii="Times" w:hAnsi="Times"/>
          <w:sz w:val="24"/>
        </w:rPr>
        <w:t>Stock Equivalents” means all securities (other than Stock) convertible into or exchangeable for Stock at the option of the holder, and all warrants, options or other rights to purchase or subscribe for any stock, whether or not presently convertible, exchangeable or exercisable.</w:t>
      </w:r>
    </w:p>
    <w:p>
      <w:pPr>
        <w:pStyle w:val="TextBody"/>
        <w:bidi w:val="0"/>
        <w:spacing w:before="240" w:after="0"/>
        <w:ind w:left="0" w:right="0" w:firstLine="720"/>
        <w:jc w:val="both"/>
        <w:rPr/>
      </w:pPr>
      <w:r>
        <w:rPr/>
        <w:t>“</w:t>
      </w:r>
      <w:r>
        <w:rPr>
          <w:rFonts w:ascii="Times" w:hAnsi="Times"/>
          <w:sz w:val="24"/>
        </w:rPr>
        <w:t xml:space="preserve">Subsidiary” means, as to any particular parent corporation or organization, any other corporation or organization more than 50% of the outstanding Voting Stock of which is at the time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directly or indirectly owned by such parent corporation or organization or by any one or more other entities which are themselves subsidiaries of such parent corporation or organization.  Unless otherwise expressly noted herein, the term “Subsidiary” means a Subsidiary of the Borrower or of any of its direct or indirect Subsidiaries.</w:t>
      </w:r>
    </w:p>
    <w:p>
      <w:pPr>
        <w:pStyle w:val="TextBody"/>
        <w:bidi w:val="0"/>
        <w:spacing w:before="240" w:after="0"/>
        <w:ind w:left="0" w:right="0" w:firstLine="720"/>
        <w:jc w:val="both"/>
        <w:rPr>
          <w:color w:val="FF0000"/>
        </w:rPr>
      </w:pPr>
      <w:bookmarkStart w:id="2427" w:name="_cp_change_450"/>
      <w:bookmarkEnd w:id="2427"/>
      <w:r>
        <w:rPr>
          <w:color w:val="FF0000"/>
        </w:rPr>
        <w:t>“</w:t>
      </w:r>
      <w:r>
        <w:rPr>
          <w:rFonts w:ascii="Times" w:hAnsi="Times"/>
          <w:color w:val="FF0000"/>
          <w:sz w:val="24"/>
        </w:rPr>
        <w:t>Sustainability Structuring Agent” means KeyBank National Association, as sustainability structuring agent under the terms of this Agreement, and any of its successors.</w:t>
      </w:r>
      <w:bookmarkStart w:id="2428" w:name="_cp_change_449"/>
      <w:bookmarkEnd w:id="2428"/>
    </w:p>
    <w:p>
      <w:pPr>
        <w:pStyle w:val="TextBody"/>
        <w:bidi w:val="0"/>
        <w:spacing w:before="240" w:after="0"/>
        <w:ind w:left="0" w:right="0" w:firstLine="720"/>
        <w:jc w:val="both"/>
        <w:rPr>
          <w:color w:val="FF0000"/>
        </w:rPr>
      </w:pPr>
      <w:bookmarkStart w:id="2429" w:name="_cp_change_452"/>
      <w:bookmarkEnd w:id="2429"/>
      <w:r>
        <w:rPr>
          <w:color w:val="FF0000"/>
        </w:rPr>
        <w:t>“</w:t>
      </w:r>
      <w:r>
        <w:rPr>
          <w:rFonts w:ascii="Times" w:hAnsi="Times"/>
          <w:color w:val="FF0000"/>
          <w:sz w:val="24"/>
        </w:rPr>
        <w:t>Sustainability Linked Loan Principles” means the Sustainability Linked Loan Principles (as published in February 2023 and updated on April 20, 2023 by the Loan Market Association, Asia Pacific Loan Market Association and Loan Syndications &amp; Trading Association) or such other principles and metrics mutually agreed to by the Borrower and the Sustainability Structuring Agent (each acting reasonably).</w:t>
      </w:r>
      <w:bookmarkStart w:id="2430" w:name="_cp_change_451"/>
      <w:bookmarkEnd w:id="2430"/>
    </w:p>
    <w:p>
      <w:pPr>
        <w:pStyle w:val="TextBody"/>
        <w:bidi w:val="0"/>
        <w:spacing w:before="240" w:after="0"/>
        <w:ind w:left="0" w:right="0" w:firstLine="720"/>
        <w:jc w:val="both"/>
        <w:rPr/>
      </w:pPr>
      <w:r>
        <w:rPr/>
        <w:t>“</w:t>
      </w:r>
      <w:r>
        <w:rPr>
          <w:rFonts w:ascii="Times" w:hAnsi="Times"/>
          <w:sz w:val="24"/>
        </w:rPr>
        <w:t>Swap Obligation” means, with respect to any Guarantor, any obligation to pay or perform under any agreement, contract or transaction that constitutes a “swap” within the meaning of Section 1a(47) of the Commodity Exchange Act.</w:t>
      </w:r>
    </w:p>
    <w:p>
      <w:pPr>
        <w:pStyle w:val="TextBody"/>
        <w:bidi w:val="0"/>
        <w:spacing w:before="240" w:after="0"/>
        <w:ind w:left="0" w:right="0" w:firstLine="720"/>
        <w:jc w:val="both"/>
        <w:rPr/>
      </w:pPr>
      <w:r>
        <w:rPr/>
        <w:t>“</w:t>
      </w:r>
      <w:r>
        <w:rPr>
          <w:rFonts w:ascii="Times" w:hAnsi="Times"/>
          <w:sz w:val="24"/>
        </w:rPr>
        <w:t xml:space="preserve">Tangible Net Worth” means for each applicable period, total shareholder’s equity on the Borrower’s consolidated balance sheet as reported in its Form 10-K or 10-Q for such period, </w:t>
      </w:r>
      <w:r>
        <w:rPr>
          <w:rFonts w:ascii="Times" w:hAnsi="Times"/>
          <w:sz w:val="24"/>
          <w:u w:val="single"/>
        </w:rPr>
        <w:t>plus</w:t>
      </w:r>
      <w:r>
        <w:rPr>
          <w:rFonts w:ascii="Times New Roman;Times;serif" w:hAnsi="Times New Roman;Times;serif"/>
          <w:sz w:val="24"/>
        </w:rPr>
        <w:t xml:space="preserve"> </w:t>
      </w:r>
      <w:r>
        <w:rPr>
          <w:rFonts w:ascii="Times" w:hAnsi="Times"/>
          <w:sz w:val="24"/>
        </w:rPr>
        <w:t xml:space="preserve">(i) accumulated depreciation and amortization and (ii) unrealized losses related to marketable securities, </w:t>
      </w:r>
      <w:r>
        <w:rPr>
          <w:rFonts w:ascii="Times" w:hAnsi="Times"/>
          <w:sz w:val="24"/>
          <w:u w:val="single"/>
        </w:rPr>
        <w:t>minus</w:t>
      </w:r>
      <w:r>
        <w:rPr>
          <w:rFonts w:ascii="Times" w:hAnsi="Times"/>
          <w:sz w:val="24"/>
        </w:rPr>
        <w:t>, to the extent included when determining stockholders’ equity, (x) all unrealized gains related to marketable securities and (y) all amounts appearing on the assets side of the Borrower’s consolidated balance sheet representing an intangible asset under GAAP (other than lease intangibles, net of lease liabilities) net of all amounts appearing on the liabilities side of its consolidated balance sheet representing an intangible liability under GAAP, in each case as determined on a consolidated basis in accordance with GAAP.</w:t>
      </w:r>
    </w:p>
    <w:p>
      <w:pPr>
        <w:pStyle w:val="TextBody"/>
        <w:bidi w:val="0"/>
        <w:spacing w:before="240" w:after="0"/>
        <w:ind w:left="0" w:right="0" w:firstLine="720"/>
        <w:jc w:val="both"/>
        <w:rPr/>
      </w:pPr>
      <w:r>
        <w:rPr/>
        <w:t>“</w:t>
      </w:r>
      <w:r>
        <w:rPr>
          <w:rFonts w:ascii="Times" w:hAnsi="Times"/>
          <w:sz w:val="24"/>
        </w:rPr>
        <w:t>Taxes” means all present or future taxes, levies, imposts, duties, deductions, withholdings (including back up withholding), assessments, fees or other charges imposed by any Governmental Authority, including any interest, additions to tax or penalties applicable thereto.</w:t>
      </w:r>
    </w:p>
    <w:p>
      <w:pPr>
        <w:pStyle w:val="TextBody"/>
        <w:bidi w:val="0"/>
        <w:spacing w:before="240" w:after="0"/>
        <w:ind w:left="0" w:right="0" w:firstLine="720"/>
        <w:jc w:val="both"/>
        <w:rPr/>
      </w:pPr>
      <w:r>
        <w:rPr/>
        <w:t>“</w:t>
      </w:r>
      <w:r>
        <w:rPr>
          <w:rFonts w:ascii="Times" w:hAnsi="Times"/>
          <w:sz w:val="24"/>
        </w:rPr>
        <w:t>Tenant” means any Person leasing, subleasing or otherwise occupying any portion of a Property under a Lease or other occupancy agreement with the Borrower or a Subsidiary that is the direct owner or lessor of such Property.</w:t>
      </w:r>
    </w:p>
    <w:p>
      <w:pPr>
        <w:pStyle w:val="TextBody"/>
        <w:bidi w:val="0"/>
        <w:spacing w:before="240" w:after="0"/>
        <w:ind w:left="0" w:right="0" w:firstLine="720"/>
        <w:jc w:val="both"/>
        <w:rPr/>
      </w:pPr>
      <w:r>
        <w:rPr/>
        <w:t>“</w:t>
      </w:r>
      <w:r>
        <w:rPr>
          <w:rFonts w:ascii="Times" w:hAnsi="Times"/>
          <w:sz w:val="24"/>
        </w:rPr>
        <w:t xml:space="preserve">Term Lender” means (a) on the Closing Date, any Lender that has a 2029 Term Loan Commitment at such time and (b) at any time after the Closing Date, any Lender that has a </w:t>
      </w:r>
      <w:bookmarkStart w:id="2431" w:name="_cp_change_453"/>
      <w:bookmarkEnd w:id="2431"/>
      <w:r>
        <w:rPr>
          <w:rFonts w:ascii="Times" w:hAnsi="Times"/>
          <w:color w:val="0000FF"/>
          <w:sz w:val="24"/>
          <w:u w:val="single"/>
        </w:rPr>
        <w:t xml:space="preserve">2029 Term Loan Commitment or 2030 </w:t>
      </w:r>
      <w:r>
        <w:rPr>
          <w:rFonts w:ascii="Times" w:hAnsi="Times"/>
          <w:sz w:val="24"/>
        </w:rPr>
        <w:t>Term Loan Commitment or holds Term Loans at such time</w:t>
      </w:r>
      <w:bookmarkStart w:id="2432" w:name="_cp_change_454"/>
      <w:bookmarkEnd w:id="2432"/>
      <w:r>
        <w:rPr>
          <w:rFonts w:ascii="Times" w:hAnsi="Times"/>
          <w:color w:val="0000FF"/>
          <w:sz w:val="24"/>
          <w:u w:val="single"/>
        </w:rPr>
        <w:t>, including, without limitation, each 2030 Term Loan Lender</w:t>
      </w:r>
      <w:r>
        <w:rPr>
          <w:rFonts w:ascii="Times" w:hAnsi="Times"/>
          <w:sz w:val="24"/>
        </w:rPr>
        <w:t>.</w:t>
      </w:r>
    </w:p>
    <w:p>
      <w:pPr>
        <w:pStyle w:val="TextBody"/>
        <w:bidi w:val="0"/>
        <w:spacing w:before="240" w:after="0"/>
        <w:ind w:left="0" w:right="0" w:firstLine="720"/>
        <w:jc w:val="both"/>
        <w:rPr/>
      </w:pPr>
      <w:r>
        <w:rPr/>
        <w:t>“</w:t>
      </w:r>
      <w:r>
        <w:rPr>
          <w:rFonts w:ascii="Times" w:hAnsi="Times"/>
          <w:sz w:val="24"/>
        </w:rPr>
        <w:t>Term Loan” means the 2029 Term Loans</w:t>
      </w:r>
      <w:bookmarkStart w:id="2433" w:name="_cp_change_455"/>
      <w:bookmarkEnd w:id="2433"/>
      <w:r>
        <w:rPr>
          <w:rFonts w:ascii="Times" w:hAnsi="Times"/>
          <w:color w:val="0000FF"/>
          <w:sz w:val="24"/>
          <w:u w:val="single"/>
        </w:rPr>
        <w:t>, the 2030 Term Loans,</w:t>
      </w:r>
      <w:r>
        <w:rPr>
          <w:rFonts w:ascii="Times New Roman;Times;serif" w:hAnsi="Times New Roman;Times;serif"/>
          <w:sz w:val="24"/>
        </w:rPr>
        <w:t xml:space="preserve"> </w:t>
      </w:r>
      <w:r>
        <w:rPr>
          <w:rFonts w:ascii="Times" w:hAnsi="Times"/>
          <w:sz w:val="24"/>
        </w:rPr>
        <w:t>and any other Incremental Term Loans made pursuant to Section 1.15 hereof.</w:t>
      </w:r>
    </w:p>
    <w:p>
      <w:pPr>
        <w:pStyle w:val="TextBody"/>
        <w:bidi w:val="0"/>
        <w:spacing w:before="240" w:after="0"/>
        <w:ind w:left="0" w:right="0" w:firstLine="720"/>
        <w:jc w:val="both"/>
        <w:rPr/>
      </w:pPr>
      <w:r>
        <w:rPr/>
        <w:t>“</w:t>
      </w:r>
      <w:r>
        <w:rPr>
          <w:rFonts w:ascii="Times" w:hAnsi="Times"/>
          <w:sz w:val="24"/>
        </w:rPr>
        <w:t xml:space="preserve">Term SOFR” means, </w:t>
      </w:r>
    </w:p>
    <w:p>
      <w:pPr>
        <w:pStyle w:val="TextBody"/>
        <w:bidi w:val="0"/>
        <w:spacing w:before="240" w:after="0"/>
        <w:ind w:left="0" w:right="0" w:firstLine="720"/>
        <w:jc w:val="both"/>
        <w:rPr>
          <w:rFonts w:ascii="Times" w:hAnsi="Times"/>
          <w:sz w:val="24"/>
        </w:rPr>
      </w:pPr>
      <w:r>
        <w:rPr>
          <w:rFonts w:ascii="Times" w:hAnsi="Times"/>
          <w:sz w:val="24"/>
        </w:rPr>
        <w:t xml:space="preserve">(a) for any calculation with respect to a Term SOFR Rate Loan, the Term SOFR Reference Rate for a tenor comparable to the applicable Interest Period on the day (such day, the “Term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w:hAnsi="Times"/>
          <w:sz w:val="24"/>
        </w:rPr>
        <w:t xml:space="preserve">SOFR Lookback Day”) that is two SOFR Business Days prior to the first day of such Interest Period, as such rate is published by the Term SOFR Administrator; </w:t>
      </w:r>
      <w:r>
        <w:rPr>
          <w:rFonts w:ascii="Times" w:hAnsi="Times"/>
          <w:sz w:val="24"/>
          <w:u w:val="single"/>
        </w:rPr>
        <w:t>provided</w:t>
      </w:r>
      <w:r>
        <w:rPr>
          <w:rFonts w:ascii="Times" w:hAnsi="Times"/>
          <w:sz w:val="24"/>
        </w:rPr>
        <w:t xml:space="preserve">, </w:t>
      </w:r>
      <w:r>
        <w:rPr>
          <w:rFonts w:ascii="Times" w:hAnsi="Times"/>
          <w:sz w:val="24"/>
          <w:u w:val="single"/>
        </w:rPr>
        <w:t>however</w:t>
      </w:r>
      <w:r>
        <w:rPr>
          <w:rFonts w:ascii="Times" w:hAnsi="Times"/>
          <w:sz w:val="24"/>
        </w:rPr>
        <w:t xml:space="preserve">, that if as of 5:00 p.m. (New York City time) on any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Term SOFR Lookback Day, and </w:t>
      </w:r>
    </w:p>
    <w:p>
      <w:pPr>
        <w:pStyle w:val="TextBody"/>
        <w:bidi w:val="0"/>
        <w:spacing w:before="240" w:after="0"/>
        <w:ind w:left="0" w:right="0" w:firstLine="720"/>
        <w:jc w:val="both"/>
        <w:rPr>
          <w:rFonts w:ascii="Times New Roman;Times;serif" w:hAnsi="Times New Roman;Times;serif"/>
          <w:sz w:val="24"/>
        </w:rPr>
      </w:pPr>
      <w:r>
        <w:rPr>
          <w:rFonts w:ascii="Times" w:hAnsi="Times"/>
          <w:sz w:val="24"/>
        </w:rPr>
        <w:t xml:space="preserve">(b) for any calculation with respect to a Base Rate Loan on any day, the Term SOFR Reference Rate for a tenor of one month on the day (such day, the “Base Rate Term SOFR Lookback Day”) that is two SOFR Business Days prior to such day, as such rate is published by the Term SOFR Administrator; </w:t>
      </w:r>
      <w:r>
        <w:rPr>
          <w:rFonts w:ascii="Times" w:hAnsi="Times"/>
          <w:sz w:val="24"/>
          <w:u w:val="single"/>
        </w:rPr>
        <w:t>provided</w:t>
      </w:r>
      <w:r>
        <w:rPr>
          <w:rFonts w:ascii="Times" w:hAnsi="Times"/>
          <w:sz w:val="24"/>
        </w:rPr>
        <w:t xml:space="preserve">, </w:t>
      </w:r>
      <w:r>
        <w:rPr>
          <w:rFonts w:ascii="Times" w:hAnsi="Times"/>
          <w:sz w:val="24"/>
          <w:u w:val="single"/>
        </w:rPr>
        <w:t>however</w:t>
      </w:r>
      <w:r>
        <w:rPr>
          <w:rFonts w:ascii="Times" w:hAnsi="Times"/>
          <w:sz w:val="24"/>
        </w:rPr>
        <w:t>, that if as of 5:00 p.m. (New York City time) on any Base Rate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Base Rate Term SOFR Lookback Day.</w:t>
      </w:r>
    </w:p>
    <w:p>
      <w:pPr>
        <w:pStyle w:val="TextBody"/>
        <w:bidi w:val="0"/>
        <w:spacing w:before="240" w:after="0"/>
        <w:ind w:left="0" w:right="0" w:firstLine="720"/>
        <w:jc w:val="both"/>
        <w:rPr/>
      </w:pPr>
      <w:r>
        <w:rPr/>
        <w:t>“</w:t>
      </w:r>
      <w:r>
        <w:rPr>
          <w:rFonts w:ascii="Times" w:hAnsi="Times"/>
          <w:sz w:val="24"/>
        </w:rPr>
        <w:t>Term SOFR Administrator” means CBA (or a successor administrator of the Term SOFR Reference Rate, as selected by the Administrative Agent in its reasonable discretion).</w:t>
      </w:r>
    </w:p>
    <w:p>
      <w:pPr>
        <w:pStyle w:val="TextBody"/>
        <w:bidi w:val="0"/>
        <w:spacing w:before="240" w:after="0"/>
        <w:ind w:left="0" w:right="0" w:firstLine="720"/>
        <w:jc w:val="both"/>
        <w:rPr/>
      </w:pPr>
      <w:r>
        <w:rPr/>
        <w:t>“</w:t>
      </w:r>
      <w:r>
        <w:rPr>
          <w:rFonts w:ascii="Times" w:hAnsi="Times"/>
          <w:sz w:val="24"/>
        </w:rPr>
        <w:t xml:space="preserve">Term SOFR Rate Loan” means each Loan bearing interest at a rate based upon </w:t>
      </w:r>
      <w:bookmarkStart w:id="2434" w:name="_cp_change_456"/>
      <w:bookmarkEnd w:id="2434"/>
      <w:r>
        <w:rPr>
          <w:rFonts w:ascii="Times" w:hAnsi="Times"/>
          <w:color w:val="FF0000"/>
          <w:sz w:val="24"/>
        </w:rPr>
        <w:t xml:space="preserve">Adjusted </w:t>
      </w:r>
      <w:r>
        <w:rPr>
          <w:rFonts w:ascii="Times" w:hAnsi="Times"/>
          <w:sz w:val="24"/>
        </w:rPr>
        <w:t>Term SOFR (other than pursuant to clause (iii) of the definition of Base Rate).</w:t>
      </w:r>
    </w:p>
    <w:p>
      <w:pPr>
        <w:pStyle w:val="TextBody"/>
        <w:bidi w:val="0"/>
        <w:spacing w:before="240" w:after="0"/>
        <w:ind w:left="0" w:right="0" w:firstLine="720"/>
        <w:jc w:val="both"/>
        <w:rPr/>
      </w:pPr>
      <w:r>
        <w:rPr/>
        <w:t>“</w:t>
      </w:r>
      <w:r>
        <w:rPr>
          <w:rFonts w:ascii="Times" w:hAnsi="Times"/>
          <w:sz w:val="24"/>
        </w:rPr>
        <w:t>Term SOFR Reference Rate” means the forward-looking term rate based on SOFR.</w:t>
      </w:r>
    </w:p>
    <w:p>
      <w:pPr>
        <w:pStyle w:val="TextBody"/>
        <w:bidi w:val="0"/>
        <w:spacing w:before="280" w:after="0"/>
        <w:ind w:left="0" w:right="0" w:firstLine="720"/>
        <w:jc w:val="both"/>
        <w:rPr/>
      </w:pPr>
      <w:r>
        <w:rPr/>
        <w:t>“</w:t>
      </w:r>
      <w:r>
        <w:rPr>
          <w:rFonts w:ascii="Times New Roman;Times;serif" w:hAnsi="Times New Roman;Times;serif"/>
          <w:sz w:val="24"/>
        </w:rPr>
        <w:t xml:space="preserve">Total Asset Value” means, as of the end of any Rolling Period, an amount equal to the sum of (a) for all Properties owned by the Borrower and its Subsidiaries for more than twelve (12) months, the quotient of (i) the Property NOI from such Properties divided by (ii) the Capitalization Rate, plus (b) for all Properties owned by the Borrower and its Subsidiaries for twelve (12) months or less, the undepreciated book value (as defined in GAAP) of any such property, plus (c) the aggregate book value of all unimproved land holdings, land-related assets, mortgage or mezzanine loans, notes receivable and/or construction in progress owned by the Borrower and its Subsidiaries plus (d) cash, cash equivalents and marketable securities, including, without limitation, PINE Common Equity, owned by the Borrower and its Subsidiaries that are not then being held in or subject to escrow in connection with funding commitments of the Borrower or such Subsidiary plus (e) to the extent not already included in clauses (a) through (d), investments consisting of structured debt products, preferred equity, mortgage loans (other than leases structured as mortgages due to reimbursement requirements), mezzanine loans and notes receivable, including without limitation, Mortgage Receivables, owned by the Borrower and its Subsidiaries.  Other than with respect to assets of the type described in the immediately preceding clause (d) and (e),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Borrower’s or Subsidiaries’ Ownership Share of any Properties held by Unconsolidated Affiliates shall be included when determining Total Asset Value of Borrower and its Subsidiaries, subject to the adjustments set forth in this definition.  For purposes of determining Total Asset Value: (u) to the extent the amount of Total Asset Value attributable to non-Wholly Owned Subsidiaries and Unconsolidated Affiliates would exceed 15% of Total Asset Value, such excess shall be excluded; (v) to the extent the amount of Total Asset Value attributable to Assets Under Development would exceed 10% of Total Asset Value, such excess shall be excluded; (w) to the extent the amount of Total Asset Value attributable to mortgages, deeds of trust, deeds to secure debt or similar instruments that are a lien upon Property, mezzanine loans, notes receivable, including, without limitation, Mortgage Receivables, and investments in preferred equity securities plus PINE Common Equity would exceed 15% of Total Asset Value , such excess shall be excluded; (x) to the extent the amount of Total Asset Value attributable to Land Assets and Land Assets contributed to joint ventures would exceed 10% of Total Asset Value, such excess shall be excluded, (y) to the extent the amount of Total Asset Value attributable to Eligible Leasehold Interests would exceed 15% of Total Asset Value, such excess shall be excluded and (z) to the extent the amount of Total Asset Value attributable to the items outlined in clauses (u), (v), (w), (x) and (y) of this sentence would exceed 30% of Total Asset Value, such excess shall be excluded.</w:t>
      </w:r>
    </w:p>
    <w:p>
      <w:pPr>
        <w:pStyle w:val="TextBody"/>
        <w:bidi w:val="0"/>
        <w:spacing w:before="240" w:after="0"/>
        <w:ind w:left="0" w:right="0" w:firstLine="720"/>
        <w:jc w:val="both"/>
        <w:rPr/>
      </w:pPr>
      <w:r>
        <w:rPr/>
        <w:t>“</w:t>
      </w:r>
      <w:r>
        <w:rPr>
          <w:rFonts w:ascii="Times" w:hAnsi="Times"/>
          <w:sz w:val="24"/>
        </w:rPr>
        <w:t>Total Indebtedness” means, as of a given date, all liabilities of the Borrower and its Subsidiaries which would, in conformity with GAAP, be properly classified as a liability on a consolidated balance sheet of the Borrower and its Subsidiaries as of such date, excluding any amounts categorized as accrued expenses, accrued dividends, deposits held, deferred revenues, minority interests and other liabilities not directly associated with the borrowing of money.  The Borrower’s Ownership Share of Total Indebtedness held by Unconsolidated Affiliates shall be included when determining Total Indebtedness of the Borrower and its Subsidiaries.</w:t>
      </w:r>
    </w:p>
    <w:p>
      <w:pPr>
        <w:pStyle w:val="TextBody"/>
        <w:bidi w:val="0"/>
        <w:spacing w:before="240" w:after="0"/>
        <w:ind w:left="0" w:right="0" w:firstLine="720"/>
        <w:jc w:val="both"/>
        <w:rPr/>
      </w:pPr>
      <w:r>
        <w:rPr/>
        <w:t>“</w:t>
      </w:r>
      <w:r>
        <w:rPr>
          <w:rFonts w:ascii="Times" w:hAnsi="Times"/>
          <w:sz w:val="24"/>
        </w:rPr>
        <w:t>Total Outstandings” means the aggregate Outstanding Amount of all Loans for all Facilities.</w:t>
      </w:r>
    </w:p>
    <w:p>
      <w:pPr>
        <w:pStyle w:val="TextBody"/>
        <w:bidi w:val="0"/>
        <w:spacing w:before="240" w:after="0"/>
        <w:ind w:left="0" w:right="0" w:firstLine="720"/>
        <w:jc w:val="both"/>
        <w:rPr/>
      </w:pPr>
      <w:r>
        <w:rPr/>
        <w:t>“</w:t>
      </w:r>
      <w:r>
        <w:rPr>
          <w:rFonts w:ascii="Times" w:hAnsi="Times"/>
          <w:sz w:val="24"/>
        </w:rPr>
        <w:t>UCC” means the Uniform Commercial Code as in effect in the State of New York.</w:t>
      </w:r>
    </w:p>
    <w:p>
      <w:pPr>
        <w:pStyle w:val="TextBody"/>
        <w:bidi w:val="0"/>
        <w:spacing w:before="240" w:after="0"/>
        <w:ind w:left="0" w:right="0" w:firstLine="720"/>
        <w:jc w:val="both"/>
        <w:rPr/>
      </w:pPr>
      <w:r>
        <w:rPr/>
        <w:t>“</w:t>
      </w:r>
      <w:r>
        <w:rPr>
          <w:rFonts w:ascii="Times" w:hAnsi="Times"/>
          <w:sz w:val="24"/>
        </w:rPr>
        <w:t>UK Financial Institution”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40" w:after="0"/>
        <w:ind w:left="0" w:right="0" w:firstLine="720"/>
        <w:jc w:val="both"/>
        <w:rPr/>
      </w:pPr>
      <w:r>
        <w:rPr/>
        <w:t>“</w:t>
      </w:r>
      <w:r>
        <w:rPr>
          <w:rFonts w:ascii="Times" w:hAnsi="Times"/>
          <w:sz w:val="24"/>
        </w:rPr>
        <w:t>UK Resolution Authority” means the Bank of England or any other public administrative authority having responsibility for the resolution of any UK Financial Institution.</w:t>
      </w:r>
    </w:p>
    <w:p>
      <w:pPr>
        <w:pStyle w:val="TextBody"/>
        <w:bidi w:val="0"/>
        <w:spacing w:before="240" w:after="0"/>
        <w:ind w:left="0" w:right="0" w:firstLine="720"/>
        <w:jc w:val="both"/>
        <w:rPr/>
      </w:pPr>
      <w:r>
        <w:rPr/>
        <w:t>“</w:t>
      </w:r>
      <w:r>
        <w:rPr>
          <w:rFonts w:ascii="Times" w:hAnsi="Times"/>
          <w:sz w:val="24"/>
        </w:rPr>
        <w:t>Unadjusted Benchmark Replacement” means the applicable Benchmark Replacement excluding the related Benchmark Replacement Adjustment.</w:t>
      </w:r>
    </w:p>
    <w:p>
      <w:pPr>
        <w:pStyle w:val="TextBody"/>
        <w:bidi w:val="0"/>
        <w:spacing w:before="240" w:after="0"/>
        <w:ind w:left="0" w:right="0" w:firstLine="720"/>
        <w:jc w:val="both"/>
        <w:rPr/>
      </w:pPr>
      <w:r>
        <w:rPr/>
        <w:t>“</w:t>
      </w:r>
      <w:r>
        <w:rPr>
          <w:rFonts w:ascii="Times" w:hAnsi="Times"/>
          <w:sz w:val="24"/>
        </w:rPr>
        <w:t>Unfunded Vested Liabilities”</w:t>
      </w:r>
      <w:r>
        <w:rPr>
          <w:rFonts w:ascii="Times New Roman;Times;serif" w:hAnsi="Times New Roman;Times;serif"/>
          <w:sz w:val="24"/>
        </w:rPr>
        <w:t xml:space="preserve"> </w:t>
      </w:r>
      <w:r>
        <w:rPr>
          <w:rFonts w:ascii="Times" w:hAnsi="Times"/>
          <w:sz w:val="24"/>
        </w:rPr>
        <w:t xml:space="preserve">means, for any Plan at any time, the amount (if any) by which the present value of all vested nonforfeitable accrued benefits under such Plan exceeds the fair market value of all Plan assets allocable to such benefits, all determined as of the then most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w:hAnsi="Times"/>
          <w:sz w:val="24"/>
        </w:rPr>
      </w:pPr>
      <w:r>
        <w:rPr>
          <w:rFonts w:ascii="Times" w:hAnsi="Times"/>
          <w:sz w:val="24"/>
        </w:rPr>
        <w:t>recent valuation date for such Plan, but only to the extent that such excess represents a potential liability of a member of the Controlled Group to the PBGC or the Plan under Title IV of ERISA.</w:t>
      </w:r>
    </w:p>
    <w:p>
      <w:pPr>
        <w:pStyle w:val="TextBody"/>
        <w:bidi w:val="0"/>
        <w:spacing w:before="240" w:after="0"/>
        <w:ind w:left="0" w:right="0" w:firstLine="720"/>
        <w:jc w:val="both"/>
        <w:rPr/>
      </w:pPr>
      <w:r>
        <w:rPr/>
        <w:t>“</w:t>
      </w:r>
      <w:r>
        <w:rPr>
          <w:rFonts w:ascii="Times" w:hAnsi="Times"/>
          <w:sz w:val="24"/>
        </w:rPr>
        <w:t xml:space="preserve">Unconsolidated Affiliate”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For the avoidance of doubt, Alpine shall not be deemed to constitute an Unconsolidated Affiliate of the Borrower for purposes of calculating the financial covenants set forth in this Agreement. </w:t>
      </w:r>
    </w:p>
    <w:p>
      <w:pPr>
        <w:pStyle w:val="TextBody"/>
        <w:bidi w:val="0"/>
        <w:spacing w:before="240" w:after="0"/>
        <w:ind w:left="0" w:right="0" w:firstLine="720"/>
        <w:jc w:val="both"/>
        <w:rPr/>
      </w:pPr>
      <w:r>
        <w:rPr/>
        <w:t>“</w:t>
      </w:r>
      <w:r>
        <w:rPr>
          <w:rFonts w:ascii="Times" w:hAnsi="Times"/>
          <w:sz w:val="24"/>
        </w:rPr>
        <w:t>Unsecured Indebtedness” means Total Indebtedness minus Secured Indebtedness, provided, that so long as an Other Guaranty Trigger has not occurred, the calculation of Unsecured Indebtedness shall not include Convertible Senior Notes.</w:t>
      </w:r>
    </w:p>
    <w:p>
      <w:pPr>
        <w:pStyle w:val="TextBody"/>
        <w:bidi w:val="0"/>
        <w:spacing w:before="240" w:after="0"/>
        <w:ind w:left="0" w:right="0" w:firstLine="720"/>
        <w:jc w:val="both"/>
        <w:rPr/>
      </w:pPr>
      <w:r>
        <w:rPr/>
        <w:t>“</w:t>
      </w:r>
      <w:r>
        <w:rPr>
          <w:rFonts w:ascii="Times" w:hAnsi="Times"/>
          <w:sz w:val="24"/>
        </w:rPr>
        <w:t xml:space="preserve">Unsecured Interest Expense” means, with respect to a Person, for any Rolling Period (without duplication), the aggregate amount of Interest Expense attributable to Unsecured Indebtedness during such Rolling Period calculated at an implied rate equal to the greatest of (i) </w:t>
      </w:r>
      <w:bookmarkStart w:id="2435" w:name="_cp_change_457"/>
      <w:bookmarkEnd w:id="2435"/>
      <w:r>
        <w:rPr>
          <w:rFonts w:ascii="Times" w:hAnsi="Times"/>
          <w:color w:val="FF0000"/>
          <w:sz w:val="24"/>
        </w:rPr>
        <w:t xml:space="preserve">Adjusted </w:t>
      </w:r>
      <w:r>
        <w:rPr>
          <w:rFonts w:ascii="Times" w:hAnsi="Times"/>
          <w:sz w:val="24"/>
        </w:rPr>
        <w:t>Term SOFR for an Interest Period of one (1) month as of the last day of such Rolling Period plus the Applicable Margin, (ii) 5.75% and (ii) the 10-year treasury rate on the last day of such period plus 1.75%.</w:t>
      </w:r>
    </w:p>
    <w:p>
      <w:pPr>
        <w:pStyle w:val="TextBody"/>
        <w:bidi w:val="0"/>
        <w:spacing w:before="240" w:after="0"/>
        <w:ind w:left="0" w:right="0" w:firstLine="720"/>
        <w:jc w:val="both"/>
        <w:rPr/>
      </w:pPr>
      <w:r>
        <w:rPr/>
        <w:t>“</w:t>
      </w:r>
      <w:r>
        <w:rPr>
          <w:rFonts w:ascii="Times" w:hAnsi="Times"/>
          <w:sz w:val="24"/>
        </w:rPr>
        <w:t>U.S. Dollars” and “$” each means the lawful currency of the United States of America.</w:t>
      </w:r>
    </w:p>
    <w:p>
      <w:pPr>
        <w:pStyle w:val="TextBody"/>
        <w:bidi w:val="0"/>
        <w:spacing w:before="240" w:after="0"/>
        <w:ind w:left="0" w:right="0" w:firstLine="720"/>
        <w:jc w:val="both"/>
        <w:rPr>
          <w:color w:val="0000FF"/>
          <w:u w:val="single"/>
        </w:rPr>
      </w:pPr>
      <w:bookmarkStart w:id="2436" w:name="_cp_change_459"/>
      <w:bookmarkEnd w:id="2436"/>
      <w:r>
        <w:rPr>
          <w:color w:val="0000FF"/>
          <w:u w:val="single"/>
        </w:rPr>
        <w:t>“</w:t>
      </w:r>
      <w:r>
        <w:rPr>
          <w:rFonts w:ascii="Times" w:hAnsi="Times"/>
          <w:color w:val="0000FF"/>
          <w:sz w:val="24"/>
          <w:u w:val="single"/>
        </w:rPr>
        <w:t>U.S. Person” means any United States citizen, lawful permanent resident, entity organized under the laws of the United States or any jurisdiction within the United States, including any foreign branch of any such entity, or any person in the United States.</w:t>
      </w:r>
      <w:bookmarkStart w:id="2437" w:name="_cp_change_458"/>
      <w:bookmarkEnd w:id="2437"/>
    </w:p>
    <w:p>
      <w:pPr>
        <w:pStyle w:val="TextBody"/>
        <w:bidi w:val="0"/>
        <w:spacing w:before="240" w:after="0"/>
        <w:ind w:left="0" w:right="0" w:firstLine="720"/>
        <w:jc w:val="both"/>
        <w:rPr/>
      </w:pPr>
      <w:r>
        <w:rPr/>
        <w:t>“</w:t>
      </w:r>
      <w:r>
        <w:rPr>
          <w:rFonts w:ascii="Times" w:hAnsi="Times"/>
          <w:sz w:val="24"/>
        </w:rPr>
        <w:t>Voting Stock” of any Person means capital stock or other equity interests of any class or classes (however designated) having ordinary power for the election of directors or other similar governing body of such Person, other than stock or other equity interests having such power only by reason of the happening of a contingency.</w:t>
      </w:r>
    </w:p>
    <w:p>
      <w:pPr>
        <w:pStyle w:val="TextBody"/>
        <w:bidi w:val="0"/>
        <w:spacing w:before="240" w:after="0"/>
        <w:ind w:left="0" w:right="0" w:firstLine="720"/>
        <w:jc w:val="both"/>
        <w:rPr/>
      </w:pPr>
      <w:r>
        <w:rPr/>
        <w:t>“</w:t>
      </w:r>
      <w:r>
        <w:rPr>
          <w:rFonts w:ascii="Times" w:hAnsi="Times"/>
          <w:sz w:val="24"/>
        </w:rPr>
        <w:t>Welfare Plan” means a “welfare plan” as defined in Section 3(1) of ERISA.</w:t>
      </w:r>
    </w:p>
    <w:p>
      <w:pPr>
        <w:pStyle w:val="TextBody"/>
        <w:bidi w:val="0"/>
        <w:spacing w:before="240" w:after="0"/>
        <w:ind w:left="0" w:right="0" w:firstLine="720"/>
        <w:jc w:val="both"/>
        <w:rPr/>
      </w:pPr>
      <w:r>
        <w:rPr/>
        <w:t>“</w:t>
      </w:r>
      <w:r>
        <w:rPr>
          <w:rFonts w:ascii="Times" w:hAnsi="Times"/>
          <w:sz w:val="24"/>
        </w:rPr>
        <w:t>Wholly-owned Subsidiary” means a Subsidiary of which all of the issued and outstanding shares of capital stock (other than directors’ qualifying shares as required by law) or other equity interests are owned by the Borrower and/or one or more Wholly-owned Subsidiaries within the meaning of this definition.</w:t>
      </w:r>
    </w:p>
    <w:p>
      <w:pPr>
        <w:pStyle w:val="TextBody"/>
        <w:bidi w:val="0"/>
        <w:spacing w:before="240" w:after="0"/>
        <w:ind w:left="0" w:right="0" w:firstLine="720"/>
        <w:jc w:val="both"/>
        <w:rPr/>
      </w:pPr>
      <w:r>
        <w:rPr/>
        <w:t>“</w:t>
      </w:r>
      <w:r>
        <w:rPr>
          <w:rFonts w:ascii="Times" w:hAnsi="Times"/>
          <w:sz w:val="24"/>
        </w:rPr>
        <w:t xml:space="preserve">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11.2</w:t>
      </w:r>
      <w:bookmarkStart w:id="2438" w:name="_Toc209549760"/>
      <w:bookmarkEnd w:id="2438"/>
      <w:r>
        <w:rPr>
          <w:rFonts w:ascii="Times New Roman;Times;serif" w:hAnsi="Times New Roman;Times;serif"/>
          <w:sz w:val="24"/>
        </w:rPr>
        <w:t>Interpretation.  The foregoing definitions are equally applicable to both the singular and plural forms of the terms defined.  The words “</w:t>
      </w:r>
      <w:r>
        <w:rPr>
          <w:rFonts w:ascii="Times New Roman;Times;serif" w:hAnsi="Times New Roman;Times;serif"/>
          <w:i/>
          <w:sz w:val="24"/>
        </w:rPr>
        <w:t>hereof”</w:t>
      </w:r>
      <w:r>
        <w:rPr>
          <w:rFonts w:ascii="Times New Roman;Times;serif" w:hAnsi="Times New Roman;Times;serif"/>
          <w:sz w:val="24"/>
        </w:rPr>
        <w:t>, “</w:t>
      </w:r>
      <w:r>
        <w:rPr>
          <w:rFonts w:ascii="Times New Roman;Times;serif" w:hAnsi="Times New Roman;Times;serif"/>
          <w:i/>
          <w:sz w:val="24"/>
        </w:rPr>
        <w:t>herein”</w:t>
      </w:r>
      <w:r>
        <w:rPr>
          <w:rFonts w:ascii="Times New Roman;Times;serif" w:hAnsi="Times New Roman;Times;serif"/>
          <w:sz w:val="24"/>
        </w:rPr>
        <w:t>, and “</w:t>
      </w:r>
      <w:r>
        <w:rPr>
          <w:rFonts w:ascii="Times New Roman;Times;serif" w:hAnsi="Times New Roman;Times;serif"/>
          <w:i/>
          <w:sz w:val="24"/>
        </w:rPr>
        <w:t>hereunder”</w:t>
      </w:r>
      <w:r>
        <w:rPr>
          <w:rFonts w:ascii="Times New Roman;Times;serif" w:hAnsi="Times New Roman;Times;serif"/>
          <w:sz w:val="24"/>
        </w:rPr>
        <w:t xml:space="preserve"> and words of like import when used in this Agreement shall refer to this Agreement as a whole and not to any particular provision of this Agreement.  All references to time of day herein are references to New York, New York,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Whenever reference is made to the Borrower’s knowledge or awareness, or a similar qualification, knowledge or awareness means the actual knowledge of the Borrower’s Responsible Officers.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11.3</w:t>
      </w:r>
      <w:bookmarkStart w:id="2439" w:name="_Toc209549761"/>
      <w:bookmarkEnd w:id="2439"/>
      <w:r>
        <w:rPr>
          <w:rFonts w:ascii="Times New Roman;Times;serif" w:hAnsi="Times New Roman;Times;serif"/>
          <w:sz w:val="24"/>
        </w:rPr>
        <w:t>Change in Accounting Principles.  If, after the date of this Agreement, there shall occur any change in GAAP from those used in the preparation of the financial statements referred to in Section 6.5 hereof and such change shall result in a change in the method of calculation of any financial covenant, standard or term found in this Agreement, either the Borrower or the Required Lenders may by written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Borrower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11.4</w:t>
      </w:r>
      <w:bookmarkStart w:id="2440" w:name="_Toc209549762"/>
      <w:bookmarkEnd w:id="2440"/>
      <w:r>
        <w:rPr>
          <w:rFonts w:ascii="Times New Roman;Times;serif" w:hAnsi="Times New Roman;Times;serif"/>
          <w:sz w:val="24"/>
        </w:rPr>
        <w:t>Divisions.  For all purposes under the Loan Documents, in connection with any Division or plan of Division (whether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11.5</w:t>
      </w:r>
      <w:bookmarkStart w:id="2441" w:name="_Toc209549763"/>
      <w:bookmarkEnd w:id="2441"/>
      <w:r>
        <w:rPr>
          <w:rFonts w:ascii="Times New Roman;Times;serif" w:hAnsi="Times New Roman;Times;serif"/>
          <w:sz w:val="24"/>
        </w:rPr>
        <w:t xml:space="preserve">Interest Rates.  The interest rate on Loans denominated in U.S. Dollars may be determined by reference to a benchmark rate that is, or may in the future become, the subject of regulatory reform or cessation.  The Administrative Agent does not warrant or accept responsibility for, and shall not have any liability with respect to (a) the continuation of, administration of, submission of, calculation of or any other matter related to the Base Rate, Daily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Simple SOFR, </w:t>
      </w:r>
      <w:bookmarkStart w:id="2442" w:name="_cp_change_460"/>
      <w:bookmarkEnd w:id="2442"/>
      <w:r>
        <w:rPr>
          <w:rFonts w:ascii="Times New Roman;Times;serif" w:hAnsi="Times New Roman;Times;serif"/>
          <w:b w:val="false"/>
          <w:i w:val="false"/>
          <w:caps w:val="false"/>
          <w:smallCaps w:val="false"/>
          <w:color w:val="FF0000"/>
          <w:sz w:val="24"/>
        </w:rPr>
        <w:t xml:space="preserve">Adjusted Daily Simple SOFR, </w:t>
      </w:r>
      <w:r>
        <w:rPr>
          <w:rFonts w:ascii="Times New Roman;Times;serif" w:hAnsi="Times New Roman;Times;serif"/>
          <w:b w:val="false"/>
          <w:i w:val="false"/>
          <w:caps w:val="false"/>
          <w:smallCaps w:val="false"/>
          <w:sz w:val="24"/>
        </w:rPr>
        <w:t xml:space="preserve">the Term SOFR Reference Rate, </w:t>
      </w:r>
      <w:bookmarkStart w:id="2443" w:name="_cp_change_461"/>
      <w:bookmarkEnd w:id="2443"/>
      <w:r>
        <w:rPr>
          <w:rFonts w:ascii="Times New Roman;Times;serif" w:hAnsi="Times New Roman;Times;serif"/>
          <w:b w:val="false"/>
          <w:i w:val="false"/>
          <w:caps w:val="false"/>
          <w:smallCaps w:val="false"/>
          <w:color w:val="FF0000"/>
          <w:sz w:val="24"/>
        </w:rPr>
        <w:t xml:space="preserve">Adjusted Term SOFR </w:t>
      </w:r>
      <w:r>
        <w:rPr>
          <w:rFonts w:ascii="Times New Roman;Times;serif" w:hAnsi="Times New Roman;Times;serif"/>
          <w:b w:val="false"/>
          <w:i w:val="false"/>
          <w:caps w:val="false"/>
          <w:smallCaps w:val="false"/>
          <w:sz w:val="24"/>
        </w:rPr>
        <w:t xml:space="preserve">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Daily Simple SOFR, </w:t>
      </w:r>
      <w:bookmarkStart w:id="2444" w:name="_cp_change_462"/>
      <w:bookmarkEnd w:id="2444"/>
      <w:r>
        <w:rPr>
          <w:rFonts w:ascii="Times New Roman;Times;serif" w:hAnsi="Times New Roman;Times;serif"/>
          <w:b w:val="false"/>
          <w:i w:val="false"/>
          <w:caps w:val="false"/>
          <w:smallCaps w:val="false"/>
          <w:color w:val="FF0000"/>
          <w:sz w:val="24"/>
        </w:rPr>
        <w:t xml:space="preserve">Adjusted Daily Simple SOFR, </w:t>
      </w:r>
      <w:r>
        <w:rPr>
          <w:rFonts w:ascii="Times New Roman;Times;serif" w:hAnsi="Times New Roman;Times;serif"/>
          <w:b w:val="false"/>
          <w:i w:val="false"/>
          <w:caps w:val="false"/>
          <w:smallCaps w:val="false"/>
          <w:sz w:val="24"/>
        </w:rPr>
        <w:t xml:space="preserve">the Term SOFR Reference Rate, </w:t>
      </w:r>
      <w:bookmarkStart w:id="2445" w:name="_cp_change_463"/>
      <w:bookmarkEnd w:id="2445"/>
      <w:r>
        <w:rPr>
          <w:rFonts w:ascii="Times New Roman;Times;serif" w:hAnsi="Times New Roman;Times;serif"/>
          <w:b w:val="false"/>
          <w:i w:val="false"/>
          <w:caps w:val="false"/>
          <w:smallCaps w:val="false"/>
          <w:color w:val="FF0000"/>
          <w:sz w:val="24"/>
        </w:rPr>
        <w:t xml:space="preserve">Adjusted </w:t>
      </w:r>
      <w:r>
        <w:rPr>
          <w:rFonts w:ascii="Times New Roman;Times;serif" w:hAnsi="Times New Roman;Times;serif"/>
          <w:b w:val="false"/>
          <w:i w:val="false"/>
          <w:caps w:val="false"/>
          <w:smallCaps w:val="false"/>
          <w:sz w:val="24"/>
        </w:rPr>
        <w:t xml:space="preserve">Term </w:t>
      </w:r>
      <w:bookmarkStart w:id="2446" w:name="_cp_change_464"/>
      <w:bookmarkEnd w:id="2446"/>
      <w:r>
        <w:rPr>
          <w:rFonts w:ascii="Times New Roman;Times;serif" w:hAnsi="Times New Roman;Times;serif"/>
          <w:b w:val="false"/>
          <w:i w:val="false"/>
          <w:caps w:val="false"/>
          <w:smallCaps w:val="false"/>
          <w:color w:val="FF0000"/>
          <w:sz w:val="24"/>
        </w:rPr>
        <w:t xml:space="preserve">SOFR, Term </w:t>
      </w:r>
      <w:r>
        <w:rPr>
          <w:rFonts w:ascii="Times New Roman;Times;serif" w:hAnsi="Times New Roman;Times;serif"/>
          <w:b w:val="false"/>
          <w:i w:val="false"/>
          <w:caps w:val="false"/>
          <w:smallCaps w:val="false"/>
          <w:sz w:val="24"/>
        </w:rPr>
        <w:t xml:space="preserve">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Daily Simple SOFR, </w:t>
      </w:r>
      <w:bookmarkStart w:id="2447" w:name="_cp_change_465"/>
      <w:bookmarkEnd w:id="2447"/>
      <w:r>
        <w:rPr>
          <w:rFonts w:ascii="Times New Roman;Times;serif" w:hAnsi="Times New Roman;Times;serif"/>
          <w:b w:val="false"/>
          <w:i w:val="false"/>
          <w:caps w:val="false"/>
          <w:smallCaps w:val="false"/>
          <w:color w:val="FF0000"/>
          <w:sz w:val="24"/>
        </w:rPr>
        <w:t xml:space="preserve">Adjusted Daily Simple SOFR, </w:t>
      </w:r>
      <w:r>
        <w:rPr>
          <w:rFonts w:ascii="Times New Roman;Times;serif" w:hAnsi="Times New Roman;Times;serif"/>
          <w:b w:val="false"/>
          <w:i w:val="false"/>
          <w:caps w:val="false"/>
          <w:smallCaps w:val="false"/>
          <w:sz w:val="24"/>
        </w:rPr>
        <w:t>the Term SOFR Reference Rate, Term SOFR</w:t>
      </w:r>
      <w:bookmarkStart w:id="2448" w:name="_cp_change_466"/>
      <w:bookmarkEnd w:id="2448"/>
      <w:r>
        <w:rPr>
          <w:rFonts w:ascii="Times New Roman;Times;serif" w:hAnsi="Times New Roman;Times;serif"/>
          <w:b w:val="false"/>
          <w:i w:val="false"/>
          <w:caps w:val="false"/>
          <w:smallCaps w:val="false"/>
          <w:color w:val="FF0000"/>
          <w:sz w:val="24"/>
        </w:rPr>
        <w:t>, Adjusted Term SOFR</w:t>
      </w:r>
      <w:r>
        <w:rPr>
          <w:rFonts w:ascii="Times New Roman;Times;serif" w:hAnsi="Times New Roman;Times;serif"/>
          <w:b w:val="false"/>
          <w:i w:val="false"/>
          <w:caps w:val="false"/>
          <w:smallCaps w:val="false"/>
          <w:sz w:val="24"/>
        </w:rPr>
        <w:t xml:space="preserv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Daily Simple SOFR, </w:t>
      </w:r>
      <w:bookmarkStart w:id="2449" w:name="_cp_change_467"/>
      <w:bookmarkEnd w:id="2449"/>
      <w:r>
        <w:rPr>
          <w:rFonts w:ascii="Times New Roman;Times;serif" w:hAnsi="Times New Roman;Times;serif"/>
          <w:b w:val="false"/>
          <w:i w:val="false"/>
          <w:caps w:val="false"/>
          <w:smallCaps w:val="false"/>
          <w:color w:val="FF0000"/>
          <w:sz w:val="24"/>
        </w:rPr>
        <w:t xml:space="preserve">Adjusted Daily Simple SOFR, </w:t>
      </w:r>
      <w:r>
        <w:rPr>
          <w:rFonts w:ascii="Times New Roman;Times;serif" w:hAnsi="Times New Roman;Times;serif"/>
          <w:b w:val="false"/>
          <w:i w:val="false"/>
          <w:caps w:val="false"/>
          <w:smallCaps w:val="false"/>
          <w:sz w:val="24"/>
        </w:rPr>
        <w:t xml:space="preserve">the Term SOFR Reference Rate, Term SOFR, </w:t>
      </w:r>
      <w:bookmarkStart w:id="2450" w:name="_cp_change_468"/>
      <w:bookmarkEnd w:id="2450"/>
      <w:r>
        <w:rPr>
          <w:rFonts w:ascii="Times New Roman;Times;serif" w:hAnsi="Times New Roman;Times;serif"/>
          <w:b w:val="false"/>
          <w:i w:val="false"/>
          <w:caps w:val="false"/>
          <w:smallCaps w:val="false"/>
          <w:color w:val="FF0000"/>
          <w:sz w:val="24"/>
        </w:rPr>
        <w:t xml:space="preserve">Adjusted Term SOFR </w:t>
      </w:r>
      <w:r>
        <w:rPr>
          <w:rFonts w:ascii="Times New Roman;Times;serif" w:hAnsi="Times New Roman;Times;serif"/>
          <w:b w:val="false"/>
          <w:i w:val="false"/>
          <w:caps w:val="false"/>
          <w:smallCaps w:val="false"/>
          <w:sz w:val="24"/>
        </w:rPr>
        <w:t>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In connection with the use or administration of Daily Simple SOFR and Term SOFR,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Daily Simple SOFR and Term SOFR.</w:t>
      </w:r>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12.</w:t>
      </w:r>
      <w:bookmarkStart w:id="2451" w:name="_Toc209549764"/>
      <w:bookmarkEnd w:id="2451"/>
      <w:r>
        <w:rPr>
          <w:rFonts w:ascii="Times New Roman;Times;serif" w:hAnsi="Times New Roman;Times;serif"/>
          <w:caps/>
          <w:sz w:val="24"/>
        </w:rPr>
        <w:t>Representations and Warranties</w:t>
      </w:r>
      <w:r>
        <w:rPr>
          <w:rFonts w:ascii="Times New Roman Bold" w:hAnsi="Times New Roman Bold"/>
          <w:caps/>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Borrower represents and warrants to the Administrative Agent and the Lenders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12.1</w:t>
      </w:r>
      <w:bookmarkStart w:id="2452" w:name="_Toc209549765"/>
      <w:bookmarkEnd w:id="2452"/>
      <w:r>
        <w:rPr>
          <w:rFonts w:ascii="Times New Roman;Times;serif" w:hAnsi="Times New Roman;Times;serif"/>
          <w:sz w:val="24"/>
        </w:rPr>
        <w:t>Organization and Qualification.  The Borrower is duly organized, validly existing, and in good standing as a corporation under the laws of the State of Maryland.  The Borrower has full and adequate power to own its Property and other assets and conduct its business as now conducted, and is duly licensed or qualified and in good standing in each jurisdiction in which the nature of the business conducted by it or the nature of the Property and other assets owned or leased by it requires such licensing or qualifying and where the failure to be so qualified could reasonably be expected to have, in each instance,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12.2</w:t>
      </w:r>
      <w:bookmarkStart w:id="2453" w:name="_Toc209549766"/>
      <w:bookmarkEnd w:id="2453"/>
      <w:r>
        <w:rPr>
          <w:rFonts w:ascii="Times New Roman;Times;serif" w:hAnsi="Times New Roman;Times;serif"/>
          <w:sz w:val="24"/>
        </w:rPr>
        <w:t xml:space="preserve">Subsidiaries.  Each Subsidiary is duly organized, validly existing, and in good standing under the laws of the jurisdiction in which it is organized, has full and adequate power to own its Property and other assets and conduct its business as now conducted, and is duly licensed or qualified and in good standing in each jurisdiction in which the nature of the business conducted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by it or the nature of the Property and other assets owned or leased by it requires such licensing or qualifying and where the failure to be so qualified could reasonably be expected to have, in each instance, a Material Adverse Effect.  Schedule 6.2 hereto identifies each Subsidiary as of the date hereof and as updated from time to time as provided in Section 8.5(l), the jurisdiction of its organization, the percentage of issued and outstanding shares of each class of its capital stock or other equity interests owned by the Borrower and the other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Borrower or another Subsidiary are owned, beneficially and of record, by the Borrower or such Subsidiary free and clear of all Liens (other than Permitted Liens).  There are no outstanding commitments or other obligations of any Subsidiary to issue, and no options, warrants or other rights of any Person to acquire, any shares of any class of capital stock or other equity interests of any Subsidiary.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12.3</w:t>
      </w:r>
      <w:bookmarkStart w:id="2454" w:name="_Toc209549767"/>
      <w:bookmarkEnd w:id="2454"/>
      <w:r>
        <w:rPr>
          <w:rFonts w:ascii="Times New Roman;Times;serif" w:hAnsi="Times New Roman;Times;serif"/>
          <w:sz w:val="24"/>
        </w:rPr>
        <w:t>Authority and Validity of Obligations.  The Borrower has full right and authority to enter into this Agreement and the other Loan Documents executed by it, to make the borrowings herein provided for and to perform all of its obligations hereunder and under the other Loan Documents executed by it.  Each Material Subsidiary has full right and authority to enter into the Loan Documents executed by it, to guarantee the Obligations, Hedging Liability, and Funds Transfer and Deposit Account Liability, and to perform all of its obligations under the Loan Documents executed by it.  The Loan Documents delivered by the Borrower and its Material Subsidiaries have been duly authorized, executed, and delivered by such Persons and constitute valid and binding obligations of the Borrower and its Material Subsidiaries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Borrower or any Subsidiary of any of the matters and things herein or therein provided for, (a) contravene or constitute a default under any provision of law or any judgment, injunction, order or decree binding upon the Borrower or any Subsidiary or any provision of the organizational documents (</w:t>
      </w:r>
      <w:r>
        <w:rPr>
          <w:rFonts w:ascii="Times New Roman;Times;serif" w:hAnsi="Times New Roman;Times;serif"/>
          <w:i/>
          <w:sz w:val="24"/>
        </w:rPr>
        <w:t>e.g.,</w:t>
      </w:r>
      <w:r>
        <w:rPr>
          <w:rFonts w:ascii="Times New Roman;Times;serif" w:hAnsi="Times New Roman;Times;serif"/>
          <w:sz w:val="24"/>
        </w:rPr>
        <w:t xml:space="preserve"> charter, certificate or articles of incorporation and by-laws, certificate or articles of association and operating agreement, partnership agreement, or other similar organizational documents) of the Borrower or any Material Subsidiary, (b) contravene or constitute a default under any covenant, indenture or agreement of or affecting the Borrower or any Material Subsidiary or any of their Properties or other assets, in each case where such contravention or default, individually or in the aggregate, could reasonably be expected to have a Material Adverse Effect, or (c) result in the creation or imposition of any Lien on any Property or other assets of the Borrower or any Material Subsidiary (other than in favor of the Administrative Agent for its benefit and the benefit of the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12.4</w:t>
      </w:r>
      <w:bookmarkStart w:id="2455" w:name="_Toc209549768"/>
      <w:bookmarkEnd w:id="2455"/>
      <w:r>
        <w:rPr>
          <w:rFonts w:ascii="Times New Roman;Times;serif" w:hAnsi="Times New Roman;Times;serif"/>
          <w:sz w:val="24"/>
        </w:rPr>
        <w:t xml:space="preserve">Use of Proceeds; Margin Stock.  The Borrower shall use the proceeds of the Loans for its general corporate purposes, to refinance existing indebtedness, finance capital expenditures, real estate related investments (including investments permitted pursuant to Section 8.8 hereof), working capital and stock buybacks and for such other legal and proper purposes as are consistent with all applicable laws.  Neither the Borrower nor any Subsidiary is engaged in the business of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(except for such stock repurchases as permitted hereunder) or to 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12.5</w:t>
      </w:r>
      <w:bookmarkStart w:id="2456" w:name="_Toc209549769"/>
      <w:bookmarkEnd w:id="2456"/>
      <w:r>
        <w:rPr>
          <w:rFonts w:ascii="Times New Roman;Times;serif" w:hAnsi="Times New Roman;Times;serif"/>
          <w:sz w:val="24"/>
        </w:rPr>
        <w:t>Financial Reports.  The consolidated balance sheet of the Borrower and its Subsidiaries as of September 30, 2024, and the related consolidated statements of income, retained earnings and cash flows of the Borrower and its Subsidiaries for the fiscal year then ended, and accompanying notes thereto, which consolidated financial statements are accompanied by the unqualified audit report of independent public accountants, heretofore furnished to the Administrative Agent and the Lenders, fairly present the consolidated financial condition of the Borrower and its Subsidiaries as at said date and the consolidated results of their operations and cash flows for the period then ended in conformity with GAAP applied on a consistent basis.  None of the Borrower or any Subsidiary has contingent liabilities which are material to it and are required to be set forth in its consolidated financial statements or notes thereto in accordance with GAAP other than as indicated on such consolidated financial statements and notes thereto, including with respect to future periods, on the consolidated financial statements furnished pursuant to Section 8.5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12.6</w:t>
      </w:r>
      <w:bookmarkStart w:id="2457" w:name="_Toc209549770"/>
      <w:bookmarkEnd w:id="2457"/>
      <w:r>
        <w:rPr>
          <w:rFonts w:ascii="Times New Roman;Times;serif" w:hAnsi="Times New Roman;Times;serif"/>
          <w:sz w:val="24"/>
        </w:rPr>
        <w:t>No Material Adverse Effect</w:t>
      </w:r>
      <w:r>
        <w:rPr>
          <w:rFonts w:ascii="Times New Roman;Times;serif" w:hAnsi="Times New Roman;Times;serif"/>
          <w:i/>
          <w:sz w:val="24"/>
        </w:rPr>
        <w:t>.</w:t>
      </w:r>
      <w:r>
        <w:rPr>
          <w:rFonts w:ascii="Times New Roman;Times;serif" w:hAnsi="Times New Roman;Times;serif"/>
          <w:sz w:val="24"/>
        </w:rPr>
        <w:t xml:space="preserve">  Except as set forth on Schedule 6.6, since the date of delivery of the most recent financial statements delivered to the Administrative Agent pursuant to Section 8.5(c), there has been no change in the financial condition or business of the Borrower or any Subsidiary except those occurring in the ordinary course of business, none of which individually or in the aggregate could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12.7</w:t>
      </w:r>
      <w:bookmarkStart w:id="2458" w:name="_Toc209549771"/>
      <w:bookmarkEnd w:id="2458"/>
      <w:r>
        <w:rPr>
          <w:rFonts w:ascii="Times New Roman;Times;serif" w:hAnsi="Times New Roman;Times;serif"/>
          <w:sz w:val="24"/>
        </w:rPr>
        <w:t>Full Disclosure.  The statements and information furnished to the Administrative Agent and the Lenders in connection with the negotiation of this Agreement and the other Loan Documents and the commitments by the Lenders to provide all or part of the financing contemplated hereby do not contain any untrue statements (known by the Borrower to be untrue) of a material fact known to the Borrower or omit a material fact necessary to make the material statements contained herein or therein, in light of the circumstances under which they were made, not misleading, the Administrative Agent and the Lenders acknowledging that (a) as to any projections or forward looking information furnished to the Administrative Agent and the Lenders, the Borrower only represents that the same were prepared on the basis of information and estimates the Borrower believed to be reasonable and (b) the financial information provided to the Administrative Agent and the Lenders is governed by Section 6.5 hereof.  As of the First Amendment Effective Date, the information included in the Beneficial Ownership Certification is true and correct in all respects.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12.8</w:t>
      </w:r>
      <w:bookmarkStart w:id="2459" w:name="_Toc209549772"/>
      <w:bookmarkEnd w:id="2459"/>
      <w:r>
        <w:rPr>
          <w:rFonts w:ascii="Times New Roman;Times;serif" w:hAnsi="Times New Roman;Times;serif"/>
          <w:sz w:val="24"/>
        </w:rPr>
        <w:t xml:space="preserve">Trademarks, Franchises, and Licenses.  To the Borrower’s knowledge, the Borrower and its Subsidiaries own, possess, or have the right to use all patents, licenses, franchises, trademarks, trade names, trade styles, copyrights, trade secrets, know how, and confidential commercial and proprietary information necessary to conduct their businesses substantially as now conducted, without known conflict with any patent, license, franchise, trademark, trade name,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trade style, copyright or other proprietary right of any other Person, which conflict could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12.9</w:t>
      </w:r>
      <w:bookmarkStart w:id="2460" w:name="_Toc209549773"/>
      <w:bookmarkEnd w:id="2460"/>
      <w:r>
        <w:rPr>
          <w:rFonts w:ascii="Times New Roman;Times;serif" w:hAnsi="Times New Roman;Times;serif"/>
          <w:sz w:val="24"/>
        </w:rPr>
        <w:t>Governmental Authority and Licensing.  The Borrower and its Subsidiaries have received all 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could reasonably be expected to result in revocation or denial of any license, permit or approval and could reasonably be expected to have a Material Adverse Effect, is pending or, to the knowledge of the Borrower, threatened.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12.10</w:t>
      </w:r>
      <w:bookmarkStart w:id="2461" w:name="_Toc209549774"/>
      <w:bookmarkEnd w:id="2461"/>
      <w:r>
        <w:rPr>
          <w:rFonts w:ascii="Times New Roman;Times;serif" w:hAnsi="Times New Roman;Times;serif"/>
          <w:sz w:val="24"/>
        </w:rPr>
        <w:t>Good Title.  The Borrower and its Subsidiaries have good and defensible title (or valid leasehold interests) to their material assets as reflected on the most recent consolidated balance sheet of the Borrower and its Subsidiaries furnished to the Administrative Agent and the Lenders (except for sales of assets in the ordinary course of business), subject to no Liens other than such thereof as are permitted by Section 8.7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12.11</w:t>
      </w:r>
      <w:bookmarkStart w:id="2462" w:name="_Toc209549775"/>
      <w:bookmarkEnd w:id="2462"/>
      <w:r>
        <w:rPr>
          <w:rFonts w:ascii="Times New Roman;Times;serif" w:hAnsi="Times New Roman;Times;serif"/>
          <w:sz w:val="24"/>
        </w:rPr>
        <w:t>Litigation and Other Controversies</w:t>
      </w:r>
      <w:r>
        <w:rPr>
          <w:rFonts w:ascii="Times New Roman;Times;serif" w:hAnsi="Times New Roman;Times;serif"/>
          <w:i/>
          <w:sz w:val="24"/>
        </w:rPr>
        <w:t>.</w:t>
      </w:r>
      <w:r>
        <w:rPr>
          <w:rFonts w:ascii="Times New Roman;Times;serif" w:hAnsi="Times New Roman;Times;serif"/>
          <w:sz w:val="24"/>
        </w:rPr>
        <w:t xml:space="preserve">  Except as set forth on Schedule 6.11, there is no litigation or governmental or arbitration proceeding or labor controversy pending, nor to the knowledge of the Borrower threatened, against the Borrower or any Subsidiary or any of their Property or other assets which individually or in the aggregate, could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12.12</w:t>
      </w:r>
      <w:bookmarkStart w:id="2463" w:name="_Toc209549776"/>
      <w:bookmarkEnd w:id="2463"/>
      <w:r>
        <w:rPr>
          <w:rFonts w:ascii="Times New Roman;Times;serif" w:hAnsi="Times New Roman;Times;serif"/>
          <w:sz w:val="24"/>
        </w:rPr>
        <w:t>Taxes.  All material tax returns required to be filed by the Borrower or any Subsidiary in any jurisdiction have, in fact, been filed, and all taxes, assessments, fees, and other governmental charges upon the Borrower or any Subsidiary or upon any of its Property, other assets, 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The Borrower has not received written notice of any proposed additional tax assessment against the Borrower or its Subsidiaries for which adequate provisions in accordance with GAAP have not been made on their accounts.  Adequate provisions in accordance with GAAP for taxes on the books of the Borrower and each Subsidiary have been made for all open years, and for its current fiscal period.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12.13</w:t>
      </w:r>
      <w:bookmarkStart w:id="2464" w:name="_Toc209549777"/>
      <w:bookmarkEnd w:id="2464"/>
      <w:r>
        <w:rPr>
          <w:rFonts w:ascii="Times New Roman;Times;serif" w:hAnsi="Times New Roman;Times;serif"/>
          <w:sz w:val="24"/>
        </w:rPr>
        <w:t>Approvals.  No authorization, consent, license or exemption from, or filing or registration with, any court or governmental department, agency or instrumentality, nor any approval or consent of any other Person, is or will be necessary to the valid execution, delivery or performance by the Borrower or any Guarantor of any Loan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12.14</w:t>
      </w:r>
      <w:bookmarkStart w:id="2465" w:name="_Toc209549778"/>
      <w:bookmarkEnd w:id="2465"/>
      <w:r>
        <w:rPr>
          <w:rFonts w:ascii="Times New Roman;Times;serif" w:hAnsi="Times New Roman;Times;serif"/>
          <w:sz w:val="24"/>
        </w:rPr>
        <w:t>Affiliate Transactions</w:t>
      </w:r>
      <w:r>
        <w:rPr>
          <w:rFonts w:ascii="Times New Roman;Times;serif" w:hAnsi="Times New Roman;Times;serif"/>
          <w:i/>
          <w:sz w:val="24"/>
        </w:rPr>
        <w:t>.</w:t>
      </w:r>
      <w:r>
        <w:rPr>
          <w:rFonts w:ascii="Times New Roman;Times;serif" w:hAnsi="Times New Roman;Times;serif"/>
          <w:sz w:val="24"/>
        </w:rPr>
        <w:t xml:space="preserve">  Except as permitted by Section 8.14 hereof, none of the Borrower or any Subsidiary is a party to any contracts or agreements with any of its Affiliates on terms and conditions which are less favorable to the Borrower or such Subsidiary than would be usual and customary in similar contracts or agreements between Persons not affiliated with each other.</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12.15</w:t>
      </w:r>
      <w:bookmarkStart w:id="2466" w:name="_Toc209549779"/>
      <w:bookmarkEnd w:id="2466"/>
      <w:r>
        <w:rPr>
          <w:rFonts w:ascii="Times New Roman;Times;serif" w:hAnsi="Times New Roman;Times;serif"/>
          <w:sz w:val="24"/>
        </w:rPr>
        <w:t>Investment Company</w:t>
      </w:r>
      <w:r>
        <w:rPr>
          <w:rFonts w:ascii="Times New Roman;Times;serif" w:hAnsi="Times New Roman;Times;serif"/>
          <w:i/>
          <w:sz w:val="24"/>
        </w:rPr>
        <w:t>.</w:t>
      </w:r>
      <w:r>
        <w:rPr>
          <w:rFonts w:ascii="Times New Roman;Times;serif" w:hAnsi="Times New Roman;Times;serif"/>
          <w:sz w:val="24"/>
        </w:rPr>
        <w:t xml:space="preserve">  None of the Borrower or any Subsidiary is an “investment company” or a company “controlled” by an “investment company” within the meaning of the Investment Company Act of 1940, as amended.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12.16</w:t>
      </w:r>
      <w:bookmarkStart w:id="2467" w:name="_Toc209549780"/>
      <w:bookmarkEnd w:id="2467"/>
      <w:r>
        <w:rPr>
          <w:rFonts w:ascii="Times New Roman;Times;serif" w:hAnsi="Times New Roman;Times;serif"/>
          <w:sz w:val="24"/>
        </w:rPr>
        <w:t>ERISA.  The Borrower and each other member of their Controlled 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None of the Borrower or any Subsidiary has any material contingent liabilities with respect to any post-retirement benefits under a Welfare Plan, other than liability for continuation coverage described in article 6 of Title I of ERISA.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12.17</w:t>
      </w:r>
      <w:bookmarkStart w:id="2468" w:name="_Toc209549781"/>
      <w:bookmarkEnd w:id="2468"/>
      <w:r>
        <w:rPr>
          <w:rFonts w:ascii="Times New Roman;Times;serif" w:hAnsi="Times New Roman;Times;serif"/>
          <w:sz w:val="24"/>
        </w:rPr>
        <w:t>Compliance with Laws.  (a) The Borrower and its Subsidiaries are in compliance with the requirements of all federal, state and local laws, rules and regulations applicable to or pertaining to their Property, assets or business operations (including, without limitation,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(b)Without limiting the representations and warranties set forth in Section 6.17(a) above, except for such matters individually or in the aggregate, which could not reasonably be expected to result in a Material Adverse Effect, the Borrower represents and warrants that, except as set forth in Schedule 6.17: (i) the Borrower and its Subsidiaries, and each of the Properties, comply in all material respects with all applicable Environmental Laws; (ii) the Borrower and its Subsidiaries have obtained all governmental approvals required for their operations and each of the Properties by any applicable Environmental Law; (iii) the Borrower and its Subsidiaries have not, and the Borrower has no knowledge of any other Person who has, caused any Release, threatened Release or disposal of any Hazardous Material at, on, about, or off any of the Properties in any material quantity and, to the knowledge of the Borrower, none of the Properties are adversely affected by any Release, threatened Release or disposal of a Hazardous Material originating or emanating from any other property; (iv) none of the Properties, to the Borrower’s knowledge, contain or have contained any: (1) underground storage tank, (2) material amounts of asbestos containing building material, (3) landfills or dumps, (4) hazardous waste management facility as defined pursuant to RCRA or any comparable state law, or (5) site on or nominated for the National Priority List promulgated pursuant to CERCLA or any state remedial priority list promulgated or published pursuant to any comparable state law; (v) the Borrower and its Subsidiaries have not used a material quantity of any Hazardous Material and have conducted no Hazardous Material Activity at any of the Properties; (vi) other than in compliance with applicable law in all material respects the Borrower and its Subsidiaries have no material liability for response or corrective action, natural resource damage or other harm pursuant to CERCLA, RCRA or any comparable state law; (vii) the Borrower and its Subsidiaries are not subject to, have no notice or knowledge of and are not required to give any notice of any Environmental Claim involving the Borrower or any Subsidiary or any of the Properties, and there are no conditions or occurrences at any of the Properties which could reasonably be anticipated to form the basis for an Environmental Claim against the Borrower or any Subsidiary or such Properties; (viii) none of the Properties are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subject to any, and the Borrower has no knowledge of any imminent restriction on the ownership, occupancy, use or transferability of the Properties in connection with any (1) Environmental Law or (2) Release, threatened Release or disposal of a Hazardous Material, which would affect the lawful use of any such Property as currently used; and (ix) there are no conditions or circumstances at any of the Properties which pose an unreasonable risk to the environment or the health or safety of Persons. Promptly after the reasonable request of the Administrative Agent, the Borrower shall deliver to the Administrative Agent a Phase I Environmental Report in form and substance acceptable to the Administrative Agent from an environmental firm acceptable to the Administrative Agent with respect to any (y) Eligible Property specified by the Administrative Agent that has an environmental issue that would materially affect the value or use of such Eligible Property and (z) Property that is not an Eligible Property if the environmental issues associated with such Property could reasonably be expected to have a Material Adverse Effect and, if such Phase I Environmental Report indicates any environmental issues, a Phase II Environmental Report; provided that the Administrative Agent shall be entitled to make only one (1) such request per Property during the term of this Agreement unless an Event of Default has occurred and is continuing.</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(c)The Borrower and each of its Subsidiaries is in material compliance with all Anti-Corruption Laws. The Borrower and each of its Subsidiaries has implemented and maintains in effect policies and procedures designed to ensure compliance by such Person, its Subsidiaries and their respective directors, officers, employees and agents with Anti-Corruption Laws. Neither the Borrower nor any Subsidiary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Borrower or such Subsidiary or to any other Person, in violation of any Anti-Corruption Laws.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12.18</w:t>
      </w:r>
      <w:bookmarkStart w:id="2469" w:name="_Toc209549782"/>
      <w:bookmarkEnd w:id="2469"/>
      <w:r>
        <w:rPr>
          <w:rFonts w:ascii="Times New Roman;Times;serif" w:hAnsi="Times New Roman;Times;serif"/>
          <w:sz w:val="24"/>
        </w:rPr>
        <w:t>OFAC.  (a) The Borrower is in compliance, in all material respects, with the requirements of all OFAC Sanctions Programs applicable to it, (b) each Subsidiary of the Borrower is in compliance, in all material respects, with the requirements of all OFAC Sanctions Programs applicable to such Subsidiary, (c) the Borrower has provided to the Administrative Agent and the Lenders all information regarding the Borrower and its Affiliates and Subsidiaries necessary for the Administrative Agent and the Lenders to comply with all applicable OFAC Sanctions Programs, and (d) neither the Borrower nor any of its Affiliates or Subsidiaries nor, to the knowledge of the Borrower, any officer, director or Affiliate of any such Person or any of its Subsidiaries, is a person, that is, or is owned or controlled by Persons that are (i) the target of any OFAC Sanctions Programs or (ii) located, organized or resident in a country or territory that is, or whose government is, the subject of any OFAC Sanctions Programs.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12.19</w:t>
      </w:r>
      <w:bookmarkStart w:id="2470" w:name="_Toc209549783"/>
      <w:bookmarkEnd w:id="2470"/>
      <w:r>
        <w:rPr>
          <w:rFonts w:ascii="Times New Roman;Times;serif" w:hAnsi="Times New Roman;Times;serif"/>
          <w:sz w:val="24"/>
        </w:rPr>
        <w:t>Other Agreements.  Neither the Borrower nor any Subsidiary is in default under the terms of any covenant, indenture or agreement of or affecting such Person or any of its Properties or other assets, which default could reasonably be expected to have a Material Adverse Effect.  Neither the Borrower nor any Subsidiary shall enter into an amendment or modification of any contract or agreement which could, in the Responsible Officer’s business judgment, reasonably be expected to have a Material Adverse Effect.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12.20</w:t>
      </w:r>
      <w:bookmarkStart w:id="2471" w:name="_Toc209549784"/>
      <w:bookmarkEnd w:id="2471"/>
      <w:r>
        <w:rPr>
          <w:rFonts w:ascii="Times New Roman;Times;serif" w:hAnsi="Times New Roman;Times;serif"/>
          <w:sz w:val="24"/>
        </w:rPr>
        <w:t>Solvency.  The Borrower and its Subsidiaries are solvent, able to pay their debts as they become due, and have sufficient capital to carry on their business and all businesses in which they are about to engage.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12.21</w:t>
      </w:r>
      <w:bookmarkStart w:id="2472" w:name="_Toc209549785"/>
      <w:bookmarkEnd w:id="2472"/>
      <w:r>
        <w:rPr>
          <w:rFonts w:ascii="Times New Roman;Times;serif" w:hAnsi="Times New Roman;Times;serif"/>
          <w:sz w:val="24"/>
        </w:rPr>
        <w:t>No Default</w:t>
      </w:r>
      <w:r>
        <w:rPr>
          <w:rFonts w:ascii="Times New Roman;Times;serif" w:hAnsi="Times New Roman;Times;serif"/>
          <w:i/>
          <w:sz w:val="24"/>
        </w:rPr>
        <w:t>.</w:t>
      </w:r>
      <w:r>
        <w:rPr>
          <w:rFonts w:ascii="Times New Roman;Times;serif" w:hAnsi="Times New Roman;Times;serif"/>
          <w:sz w:val="24"/>
        </w:rPr>
        <w:t xml:space="preserve">  No Default or Event of Default has occurred and is continuing.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12.22</w:t>
      </w:r>
      <w:bookmarkStart w:id="2473" w:name="_Toc209549786"/>
      <w:bookmarkEnd w:id="2473"/>
      <w:r>
        <w:rPr>
          <w:rFonts w:ascii="Times New Roman;Times;serif" w:hAnsi="Times New Roman;Times;serif"/>
          <w:sz w:val="24"/>
        </w:rPr>
        <w:t>No Broker Fees.  No broker’s or finder’s fee or commission will be payable with respect hereto or any of the transactions contemplated thereby with respect to any broker or finder claim for which the Borrower is responsible; and the Borrower hereby agrees to indemnify the Administrative Agent and the Lenders against, and agrees that it will hold the Administrative Agent and the Lenders harmless from, any such claim, demand, or liability for any such broker’s or finder’s fees alleged to have been incurred by the Borrower in connection herewith or therewith and any expenses (including reasonable attorneys’ fees) arising in connection with any such claim, demand, or liability.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12.23</w:t>
      </w:r>
      <w:bookmarkStart w:id="2474" w:name="_Toc209549787"/>
      <w:bookmarkEnd w:id="2474"/>
      <w:r>
        <w:rPr>
          <w:rFonts w:ascii="Times New Roman;Times;serif" w:hAnsi="Times New Roman;Times;serif"/>
          <w:sz w:val="24"/>
        </w:rPr>
        <w:t xml:space="preserve">Condition of Property; Casualties; Condemnation.  Each Property owned by the Borrower and each Subsidiary, in all material respects (a) is in good repair, working order and condition, normal wear and tear excepted, (b) is free of material structural defects, (c) is not subject to material deferred maintenance, (d) has and will have all building systems contained therein in good repair, working order and condition, normal wear and tear excepted and (e) is not located in a flood plain or flood hazard area, or if located in a flood plain or flood hazard area is covered by full replacement cost flood insurance.  None of the Properties owned by the Borrower or any Subsidiary is currently materially and adversely affected as a result of any fire, explosion, earthquake, flood, drought, windstorm, accident, strike or other labor disturbance, embargo, requisition or taking of property or cancellation of contracts, permits or concessions by a Governmental Authority, riot, activities of armed forces or acts of God or of any public enemy which is not in the process of being repaired.  No condemnation or other like proceedings that has had, or could reasonably be expected to result in, a Material Adverse Effect, are pending and served nor threatened against any Property owned by it in any manner whatsoever.  No casualty has occurred to any such Property that could reasonably be expected to have a Material Adverse Effect.  Promptly after the reasonable request of the Administrative Agent, the Borrower shall deliver a current property condition report in form and substance acceptable to Administrative Agent from an independent engineering or architectural firm acceptable to Administrative Agent with respect to any (i) Eligible Property specified by Administrative Agent that has a material maintenance or structural issue that would materially affect the value or use of such Eligible Property and (ii) Property that is not an Eligible Property that has a material maintenance or structural issue associated with such Property that could reasonably be expected to have a Material Adverse Effect; </w:t>
      </w:r>
      <w:r>
        <w:rPr>
          <w:rFonts w:ascii="Times New Roman;Times;serif" w:hAnsi="Times New Roman;Times;serif"/>
          <w:i/>
          <w:sz w:val="24"/>
        </w:rPr>
        <w:t>provided</w:t>
      </w:r>
      <w:r>
        <w:rPr>
          <w:rFonts w:ascii="Times New Roman;Times;serif" w:hAnsi="Times New Roman;Times;serif"/>
          <w:sz w:val="24"/>
        </w:rPr>
        <w:t xml:space="preserve"> that the Administrative Agent shall be entitled to make only one (1) such request with respect to each Property during the term of this Agreement unless an Event of Default has occurred and is continuing.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12.24</w:t>
      </w:r>
      <w:bookmarkStart w:id="2475" w:name="_Toc209549788"/>
      <w:bookmarkEnd w:id="2475"/>
      <w:r>
        <w:rPr>
          <w:rFonts w:ascii="Times New Roman;Times;serif" w:hAnsi="Times New Roman;Times;serif"/>
          <w:sz w:val="24"/>
        </w:rPr>
        <w:t xml:space="preserve">Legal Requirements and Zoning.  To the Borrower’s knowledge, the use and operation of each Property owned by the Borrower and its Subsidiaries constitutes a legal use (including legally nonconforming use) under applicable zoning regulations (as the same may be modified by special use permits or the granting of variances) and complies in all material respects with all Legal Requirements, and does not violate in any material respect any approvals,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restrictions of record or any material agreement affecting any such Property (or any portion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12.25</w:t>
      </w:r>
      <w:bookmarkStart w:id="2476" w:name="_Toc209549789"/>
      <w:bookmarkEnd w:id="2476"/>
      <w:r>
        <w:rPr>
          <w:rFonts w:ascii="Times New Roman;Times;serif" w:hAnsi="Times New Roman;Times;serif"/>
          <w:sz w:val="24"/>
        </w:rPr>
        <w:t>No Defaults; Landlord is in Compliance with Leases.  The Borrower and each Subsidiary shall at all times maintain accurate and complete records of each Significant Lease.  Except as disclosed to the Administrative Agent in writing in accordance with Section 8.5(l) hereof, none of the tenants under Significant Leases on Properties owned by the Borrower, Material Subsidiaries or any other Subsidiary of the Borrower are in default for a period in excess of sixty (60) days on the monthly contractual rent payments.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12.26</w:t>
      </w:r>
      <w:bookmarkStart w:id="2477" w:name="_Toc209549790"/>
      <w:bookmarkEnd w:id="2477"/>
      <w:r>
        <w:rPr>
          <w:rFonts w:ascii="Times New Roman;Times;serif" w:hAnsi="Times New Roman;Times;serif"/>
          <w:sz w:val="24"/>
        </w:rPr>
        <w:t>Affected Financial Institution.  Neither the Borrower nor any Subsidiary is an Affected Financial Institution.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12.27</w:t>
      </w:r>
      <w:bookmarkStart w:id="2478" w:name="_Toc209549791"/>
      <w:bookmarkEnd w:id="2478"/>
      <w:r>
        <w:rPr>
          <w:rFonts w:ascii="Times New Roman;Times;serif" w:hAnsi="Times New Roman;Times;serif"/>
          <w:sz w:val="24"/>
        </w:rPr>
        <w:t>REIT Status.  The Borrower has elected to be taxed as a REIT and will operate in a manner so as to qualify as a REIT, and will not revoke its election to be taxed as a REIT.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12.28</w:t>
      </w:r>
      <w:bookmarkStart w:id="2479" w:name="_Toc209549792"/>
      <w:bookmarkEnd w:id="2479"/>
      <w:r>
        <w:rPr>
          <w:rFonts w:ascii="Times New Roman;Times;serif" w:hAnsi="Times New Roman;Times;serif"/>
          <w:sz w:val="24"/>
        </w:rPr>
        <w:t>Covered Entity.  The Borrower is not a Covered Entity.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i/>
          <w:color w:val="0000FF"/>
          <w:sz w:val="24"/>
        </w:rPr>
        <w:t>Section 12.29.</w:t>
      </w:r>
      <w:bookmarkStart w:id="2480" w:name="_cp_change_471"/>
      <w:bookmarkStart w:id="2481" w:name="_Toc209549793"/>
      <w:bookmarkStart w:id="2482" w:name="_cp_change_469"/>
      <w:bookmarkEnd w:id="2480"/>
      <w:bookmarkEnd w:id="2481"/>
      <w:bookmarkEnd w:id="2482"/>
      <w:r>
        <w:rPr>
          <w:rFonts w:ascii="Times New Roman;Times;serif" w:hAnsi="Times New Roman;Times;serif"/>
          <w:color w:val="0000FF"/>
          <w:sz w:val="24"/>
          <w:u w:val="single"/>
        </w:rPr>
        <w:t>Outbound Investment Rules</w:t>
      </w:r>
      <w:bookmarkStart w:id="2483" w:name="_cp_change_473"/>
      <w:bookmarkStart w:id="2484" w:name="_cp_change_470"/>
      <w:bookmarkEnd w:id="2483"/>
      <w:bookmarkEnd w:id="2484"/>
      <w:r>
        <w:rPr>
          <w:rFonts w:ascii="Times New Roman;Times;serif" w:hAnsi="Times New Roman;Times;serif"/>
          <w:color w:val="0000FF"/>
          <w:sz w:val="24"/>
          <w:u w:val="single"/>
        </w:rPr>
        <w:t>.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any Transaction Party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bookmarkStart w:id="2485" w:name="_cp_change_472"/>
      <w:bookmarkEnd w:id="2485"/>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13.</w:t>
      </w:r>
      <w:bookmarkStart w:id="2486" w:name="_Toc209549794"/>
      <w:bookmarkEnd w:id="2486"/>
      <w:r>
        <w:rPr>
          <w:rFonts w:ascii="Times New Roman;Times;serif" w:hAnsi="Times New Roman;Times;serif"/>
          <w:caps/>
          <w:sz w:val="24"/>
        </w:rPr>
        <w:t>Conditions Precedent</w:t>
      </w:r>
      <w:r>
        <w:rPr>
          <w:rFonts w:ascii="Times New Roman Bold" w:hAnsi="Times New Roman Bold"/>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13.1</w:t>
      </w:r>
      <w:bookmarkStart w:id="2487" w:name="_Toc209549795"/>
      <w:bookmarkEnd w:id="2487"/>
      <w:r>
        <w:rPr>
          <w:rFonts w:ascii="Times New Roman;Times;serif" w:hAnsi="Times New Roman;Times;serif"/>
          <w:sz w:val="24"/>
        </w:rPr>
        <w:t>All Borrowings.  At the time of each Borrowing hereunder: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(a)each of the representations and warranties set forth herein and in the other Loan Documents shall be and remain true and correct in all material respects (except in the case of a representation or warranty qualified by materiality in which case such representation or warranty shall be true and correct in all respects) as of said time, except to the extent the same expressly relate to an earlier date (in which case, the same shall be true and correct in all material respects (except in the case of a representation or warranty qualified by materiality in which case such representation or warranty shall be true and correct in all respects) as of such earlier date);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(b)no Default or Event of Default shall have occurred and be continuing or would occur as a result of such Borrowing;</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(c)in the case of a Borrowing the Administrative Agent shall have received the notice required by Section 1.6 hereof; and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(d)such Borrowing shall not violate any order, judgment or decree of any court or other authority or any provision of law or regulation applicable to the Administrative Agent or any Lender (including, without limitation, Regulation U of the Board of Governors of the Federal Reserve System) as then in effect.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Each request for a Borrowing hereunder shall be deemed to be a representation and warranty by the Borrower on the date of such Borrowing as to the facts specified in subsections (a) through (c), inclusive, of this Section 7.1; provided, however, that the Lenders may advance a Loan, in the sole discretion of the Lenders with Commitments, notwithstanding the failure of the Borrower to satisfy one or more of the conditions set forth above and any such advances so made shall not be deemed a waiver of any Default or Event of Default or other condition set forth above that may then exist.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13.2</w:t>
      </w:r>
      <w:bookmarkStart w:id="2488" w:name="_Toc209549796"/>
      <w:bookmarkEnd w:id="2488"/>
      <w:r>
        <w:rPr>
          <w:rFonts w:ascii="Times New Roman;Times;serif" w:hAnsi="Times New Roman;Times;serif"/>
          <w:sz w:val="24"/>
        </w:rPr>
        <w:t>Initial Borrowing</w:t>
      </w:r>
      <w:r>
        <w:rPr>
          <w:rFonts w:ascii="Times New Roman;Times;serif" w:hAnsi="Times New Roman;Times;serif"/>
          <w:i/>
          <w:sz w:val="24"/>
        </w:rPr>
        <w:t>.</w:t>
      </w:r>
      <w:r>
        <w:rPr>
          <w:rFonts w:ascii="Times New Roman;Times;serif" w:hAnsi="Times New Roman;Times;serif"/>
          <w:sz w:val="24"/>
        </w:rPr>
        <w:t xml:space="preserve">  Before or concurrently with the advance of the 2029 Term Loans: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(a)the Administrative Agent shall have received this Agreement duly executed by the Borrower, the Material Subsidiaries, as Guarantors, and the Lenders.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(b)</w:t>
      </w:r>
      <w:bookmarkStart w:id="2489" w:name="_Hlk207371017"/>
      <w:bookmarkEnd w:id="2489"/>
      <w:r>
        <w:rPr>
          <w:rFonts w:ascii="Times New Roman;Times;serif" w:hAnsi="Times New Roman;Times;serif"/>
          <w:sz w:val="24"/>
        </w:rPr>
        <w:t>if requested by any Lender, the Administrative Agent shall have received for such Lender such Lender’s duly executed Note of the Borrower dated the date hereof and otherwise in compliance with the provisions of Section 1.10 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(c)</w:t>
      </w:r>
      <w:bookmarkStart w:id="2490" w:name="_Hlk207371270"/>
      <w:bookmarkEnd w:id="2490"/>
      <w:r>
        <w:rPr>
          <w:rFonts w:ascii="Times New Roman;Times;serif" w:hAnsi="Times New Roman;Times;serif"/>
          <w:sz w:val="24"/>
        </w:rPr>
        <w:t>the Administrative Agent shall have received copies of the Borrower’s and each Material Subsidiary’s articles of incorporation and bylaws (or comparable organizational documents) and any amendments thereto, certified in each instance by its Secretary or Assistant Secretary;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(d)</w:t>
      </w:r>
      <w:bookmarkStart w:id="2491" w:name="_Hlk207371161"/>
      <w:bookmarkEnd w:id="2491"/>
      <w:r>
        <w:rPr>
          <w:rFonts w:ascii="Times New Roman;Times;serif" w:hAnsi="Times New Roman;Times;serif"/>
          <w:sz w:val="24"/>
        </w:rPr>
        <w:t>the Administrative Agent shall have received copies of resolutions of the Borrower’s and each Material Subsidiary’s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and each Material Subsidiary’s behalf, all certified in each instance by its Secretary or Assistant Secretary or other Authorized Representative;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(e)the Administrative Agent shall have received copies of the certificates of good standing for the Borrower and each Material Subsidiary (dated no earlier than forty-five (45) days prior to the date hereof) from the office of the secretary of the state of its incorporation or organization and of each state in which it is required to the qualified to do business as a foreign corporation or organization under Sections 6.1 or 6.2;</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(f)the Administrative Agent shall have received a list of the Borrower’s Authorized Representatives;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(g)</w:t>
      </w:r>
      <w:bookmarkStart w:id="2492" w:name="_Hlk207374326"/>
      <w:bookmarkEnd w:id="2492"/>
      <w:r>
        <w:rPr>
          <w:rFonts w:ascii="Times New Roman;Times;serif" w:hAnsi="Times New Roman;Times;serif"/>
          <w:sz w:val="24"/>
        </w:rPr>
        <w:t>the Administrative Agent shall have received the initial fees called for by Section 2.1 hereof;</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(h)the capital and organizational structure of the Borrower and its Subsidiaries shall be reasonably satisfactory to the Administrative Agent;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(i)the Administrative Agent shall have received a Closing Date Borrowing Base Certificate;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(j)the Administrative Agent shall have received financing statement, tax, and judgment lien search results against the Borrower evidencing the absence of Liens on its Property except as Permitted Liens or as otherwise permitted by Section 8.8 hereof;</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(k)</w:t>
      </w:r>
      <w:bookmarkStart w:id="2493" w:name="_Hlk207371437"/>
      <w:bookmarkEnd w:id="2493"/>
      <w:r>
        <w:rPr>
          <w:rFonts w:ascii="Times New Roman;Times;serif" w:hAnsi="Times New Roman;Times;serif"/>
          <w:sz w:val="24"/>
        </w:rPr>
        <w:t>the Administrative Agent shall have received a written opinion of counsel to the Borrower and each Material Subsidiary organized in the State of Delaware, in form and substance reasonably satisfactory to the Administrative Agent;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(l)the Administrative Agent shall have received a fully executed Internal Revenue Service Form W-9 for the Borrower; and the Administrative Agent and the Borrower shall have received the Internal Revenue Service Forms and any applicable attachments required by Section 12.1(b);</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(m)the Administrative Agent shall have received such other agreements, instruments, documents, certificates, and opinions as the Administrative Agent may reasonably request;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(n)</w:t>
      </w:r>
      <w:bookmarkStart w:id="2494" w:name="_Hlk207372818"/>
      <w:bookmarkEnd w:id="2494"/>
      <w:r>
        <w:rPr>
          <w:rFonts w:ascii="Times New Roman;Times;serif" w:hAnsi="Times New Roman;Times;serif"/>
          <w:sz w:val="24"/>
        </w:rPr>
        <w:t>the Administrative Agent and any Lender shall have received any information or materials reasonably required by the Administrative Agent or such Lender in order to assist the Administrative Agent or such Lender in maintaining compliance with (i) the Patriot Act and (ii) any applicable “know your customer” or similar rules and regulations; and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(o)at least five days prior to the Closing Date, if the Borrower qualifies as a “legal entity customer” under the Beneficial Ownership Regulation, the Borrower shall deliver a Beneficial Ownership Certification in relation to 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13.3</w:t>
      </w:r>
      <w:bookmarkStart w:id="2495" w:name="_Toc209549797"/>
      <w:bookmarkEnd w:id="2495"/>
      <w:r>
        <w:rPr>
          <w:rFonts w:ascii="Times New Roman;Times;serif" w:hAnsi="Times New Roman;Times;serif"/>
          <w:sz w:val="24"/>
        </w:rPr>
        <w:t>Eligible Asset Additions and Deletions to the Borrowing Base.  The Borrower represents and warrants to the Lenders and the Administrative Agent that Schedule 1.1 sets forth each of the Borrowing Base Assets as of the First Amendment Effective Date and that the information provided on Schedule 1.1 is true and correct in all material respects.</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Upon not less than ten (10) Business Days prior written notice from the Borrower to the Administrative Agent, the Borrower can designate that an Eligible Asset be added (subject to the other requirements for a Property, Mortgage Receivable and PINE Common Equity qualifying as an Eligible Asset) or deleted as an Eligible Asset included in calculating the Borrowing Base.  Such notice shall be accompanied by a Borrowing Base Certificate setting forth </w:t>
      </w:r>
      <w:r>
        <w:rPr>
          <w:rFonts w:ascii="Times" w:hAnsi="Times"/>
          <w:sz w:val="24"/>
        </w:rPr>
        <w:t>the</w:t>
      </w:r>
      <w:r>
        <w:rPr>
          <w:rFonts w:ascii="Times New Roman;Times;serif" w:hAnsi="Times New Roman;Times;serif"/>
          <w:sz w:val="24"/>
        </w:rPr>
        <w:t xml:space="preserve"> components of the Borrowing Base as of the addition or deletion of the designated Property, Mortgage Receivable or PINE Common Equity as an Eligible Asset, and with respect to a deletion, Borrower’s certification in such detail as reasonably required by the Administrative Agent that no Default or Event of Default exists under this Agreement and such deletion shall not (A) cause the Eligible Assets to violate the Borrowing Base Requirements, (B) cause a Default, or (C) cause or result in the Borrower failing to comply with any of the financial covenants contained in Section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8.20 hereof.  Each addition with respect to Eligible Assets shall be an Eligible Asset in a minimum amount equal to $500,000 Borrowing Base Value or $500,000 Debt Service Coverage Amount, or shall be comprised of more than one qualifying Eligible Assets that in the aggregate have a minimum amount equal to $1,000,000 Borrowing Base Value or $1,000,000 Debt Service Coverage Amount, and all such additions shall be subject to reasonable approval by the Administrative Agent.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no Default exists at the time of any deletion of a Property, Mortgage Receivable or PINE Common Equity from qualifying as an Eligible Asset included in calculating the Borrowing Base, any Material Subsidiary which owned such Property, Mortgage Receivable or PINE Common Equity, but that does not otherwise own any other Eligible Asset, shall be released from its obligations under its Guaranty.</w:t>
      </w:r>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14.</w:t>
      </w:r>
      <w:bookmarkStart w:id="2496" w:name="_Toc209549798"/>
      <w:bookmarkEnd w:id="2496"/>
      <w:r>
        <w:rPr>
          <w:rFonts w:ascii="Times New Roman;Times;serif" w:hAnsi="Times New Roman;Times;serif"/>
          <w:caps/>
          <w:sz w:val="24"/>
        </w:rPr>
        <w:t>Covenants</w:t>
      </w:r>
      <w:r>
        <w:rPr>
          <w:rFonts w:ascii="Times New Roman Bold" w:hAnsi="Times New Roman Bold"/>
          <w:caps/>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Borrower agrees that, so long as any credit is available to or in use by the Borrower hereunder, except to the extent compliance in any case or cases is cured or waived in writing pursuant to the terms of Section 12.13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14.1</w:t>
      </w:r>
      <w:bookmarkStart w:id="2497" w:name="_Toc209549799"/>
      <w:bookmarkEnd w:id="2497"/>
      <w:r>
        <w:rPr>
          <w:rFonts w:ascii="Times New Roman;Times;serif" w:hAnsi="Times New Roman;Times;serif"/>
          <w:sz w:val="24"/>
        </w:rPr>
        <w:t>Maintenance of Existence</w:t>
      </w:r>
      <w:r>
        <w:rPr>
          <w:rFonts w:ascii="Times New Roman;Times;serif" w:hAnsi="Times New Roman;Times;serif"/>
          <w:i/>
          <w:sz w:val="24"/>
        </w:rPr>
        <w:t>.</w:t>
      </w:r>
      <w:r>
        <w:rPr>
          <w:rFonts w:ascii="Times New Roman;Times;serif" w:hAnsi="Times New Roman;Times;serif"/>
          <w:sz w:val="24"/>
        </w:rPr>
        <w:t xml:space="preserve">  (i) The Borrower shall, and shall cause each Guarantor to, preserve and maintain its existence, except as otherwise provided in Section 8.10(c) hereof and where failure to preserve and maintain its existence could not reasonably be expected to have a Material Adverse Effect.  The Borrower shall, and shall cause each Guarantor to, preserve and keep in force and effect all licenses, permits, franchises, approvals, patents, trademarks, trade names, trade styles, copyrights, and other proprietary rights necessary to the proper conduct of its business except where such failure to preserve and keep in force and effect could not reasonably be expected to have a Material Adverse Effect.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(ii)(a) At least one class of common stock of the Borrower shall at all times be duly listed on the New York Stock Exchange, the NYSE American or The NASDAQ Stock Market and (b) the Borrower shall timely file all reports required to be filed by it with the New York Stock Exchange, the NYSE American or The NASDAQ Stock Market, as applicable, and the Securities and Exchange Commission, unless such failure to timely file could not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14.2</w:t>
      </w:r>
      <w:bookmarkStart w:id="2498" w:name="_Toc209549800"/>
      <w:bookmarkEnd w:id="2498"/>
      <w:r>
        <w:rPr>
          <w:rFonts w:ascii="Times New Roman;Times;serif" w:hAnsi="Times New Roman;Times;serif"/>
          <w:sz w:val="24"/>
        </w:rPr>
        <w:t>Maintenance of Properties, Agreements</w:t>
      </w:r>
      <w:r>
        <w:rPr>
          <w:rFonts w:ascii="Times New Roman;Times;serif" w:hAnsi="Times New Roman;Times;serif"/>
          <w:i/>
          <w:sz w:val="24"/>
        </w:rPr>
        <w:t>.</w:t>
      </w:r>
      <w:r>
        <w:rPr>
          <w:rFonts w:ascii="Times New Roman;Times;serif" w:hAnsi="Times New Roman;Times;serif"/>
          <w:sz w:val="24"/>
        </w:rPr>
        <w:t xml:space="preserve">  The Borrower and each Guarantor shall cause each of its tenants to maintain, preserve, and keep all of the Borrower’s and each Guarantor’s Properties and other assets in working condition and order (ordinary wear and tear excepted) in all material respects, and the Borrower and each Guarantor shall from time to time make all needful and proper repairs, renewals, replacements, additions, and betterments to its Properties and other assets so that it shall at all times be fully preserved and maintained in all material respects.  The Borrower shall, and shall cause each Subsidiary to, keep in full force and effect all material contracts and agreements (except any terminations in accordance with the terms therein or approved by the Board of Directors of the Borrower in its business judgment or due to any breach by the other party thereto) and shall not modify or amend any material contract or agreement that would cause a Material Adverse Effect.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14.3</w:t>
      </w:r>
      <w:bookmarkStart w:id="2499" w:name="_Toc209549801"/>
      <w:bookmarkEnd w:id="2499"/>
      <w:r>
        <w:rPr>
          <w:rFonts w:ascii="Times New Roman;Times;serif" w:hAnsi="Times New Roman;Times;serif"/>
          <w:sz w:val="24"/>
        </w:rPr>
        <w:t>Taxes and Assessments.  The Borrower and each Guarantor shall, or shall cause its tenants to, duly pay and discharge all taxes, rates, assessments, fees, and governmental charges upon or against it or its Properties and other assets,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14.4</w:t>
      </w:r>
      <w:bookmarkStart w:id="2500" w:name="_Toc209549802"/>
      <w:bookmarkEnd w:id="2500"/>
      <w:r>
        <w:rPr>
          <w:rFonts w:ascii="Times New Roman;Times;serif" w:hAnsi="Times New Roman;Times;serif"/>
          <w:sz w:val="24"/>
        </w:rPr>
        <w:t>Insurance</w:t>
      </w:r>
      <w:r>
        <w:rPr>
          <w:rFonts w:ascii="Times New Roman;Times;serif" w:hAnsi="Times New Roman;Times;serif"/>
          <w:i/>
          <w:sz w:val="24"/>
        </w:rPr>
        <w:t>.</w:t>
      </w:r>
      <w:r>
        <w:rPr>
          <w:rFonts w:ascii="Times New Roman;Times;serif" w:hAnsi="Times New Roman;Times;serif"/>
          <w:sz w:val="24"/>
        </w:rPr>
        <w:t xml:space="preserve">  Except where the Tenant of a Property shall maintain insurance pursuant to the terms of its Lease, the Borrower shall insure and keep insured, and shall cause each Subsidiary to insure and keep insured, with good and responsible insurance companies all insurable Properties and other assets owned by it which is of a character usually insured by Persons similarly situated and operating like Properties and other assets against loss or damage from such hazards and risks, and in such amounts, as are insured by Persons similarly situated and operating like Properties and other assets; and the Borrower shall insure, and shall cause each Subsidiary to insure, such other hazards and risks (including, without limitation, business interruption, employers’ and public liability risks) with good and responsible insurance companies as and to the extent usually insured by Persons similarly situated and conducting similar businesses.  The Borrower shall, upon the reasonable request of the Administrative Agent, furnish to the Administrative Agent and the Lenders a certificate setting forth in summary form the nature and extent of the insurance maintained pursuant to this Section 8.4.  After the occurrence of a Collateral Trigger Event, such policies of insurance shall contain satisfactory mortgagee/lender’s loss payable endorsements showing only such loss payees, assignees and additional insureds as are satisfactory to the Administrative Agent.  After the occurrence of a Collateral Trigger Event, each policy of insurance or endorsement shall contain a clause requiring the insurer to give not less than thirty (30) days’ (or ten (10) days’ in the case of nonpayment of insurance premiums) prior written notice to the Administrative Agent in the event of cancellation of the policy for any reason whatsoever and a clause specifying that the interest of the Administrative Agent shall not be impaired or invalidated by any act or neglect of any Material Subsidiary or Tenant, or the owner of the premises or Property or by the occupation of the premises for purposes more hazardous than are permitted by said policy.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14.5</w:t>
      </w:r>
      <w:bookmarkStart w:id="2501" w:name="_Toc209549803"/>
      <w:bookmarkEnd w:id="2501"/>
      <w:r>
        <w:rPr>
          <w:rFonts w:ascii="Times New Roman;Times;serif" w:hAnsi="Times New Roman;Times;serif"/>
          <w:sz w:val="24"/>
        </w:rPr>
        <w:t>Financial Reports</w:t>
      </w:r>
      <w:r>
        <w:rPr>
          <w:rFonts w:ascii="Times New Roman;Times;serif" w:hAnsi="Times New Roman;Times;serif"/>
          <w:i/>
          <w:sz w:val="24"/>
        </w:rPr>
        <w:t>.</w:t>
      </w:r>
      <w:r>
        <w:rPr>
          <w:rFonts w:ascii="Times New Roman;Times;serif" w:hAnsi="Times New Roman;Times;serif"/>
          <w:sz w:val="24"/>
        </w:rPr>
        <w:t xml:space="preserve">  The Borrower shall, and shall cause each Subsidiary to, maintain a standard system of accounting in accordance with GAAP and shall furnish to the Administrative Agent, each Lender and each of their duly authorized representatives such information respecting the business and financial condition of the Borrower and each Subsidiary as the Administrative Agent or such Lender may reasonably request; and without any request, shall furnish to the Administrative Agent for distribution to the Lenders: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(a)as soon as available, and in any event no later than ninety (90) days after the last day each fiscal year of the Borrower, a copy of the consolidated and consolidating balance sheet of the Borrower and its Subsidiaries as of the last day of the fiscal year then ended and the consolidated and consolidating statements of income, retained earnings, and cash flows of the Borrower and its Subsidiaries for the fiscal year then ended, and accompanying notes thereto, each in reasonable detail showing in comparative form the figures for the previous fiscal year, accompanied by an unqualified opinion of independent public accountants of recognized national standing, selected by the Borrower and reasonably satisfactory to the Administrative Agent, to the effect that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consolidated financial statements have been prepared in accordance with GAAP and present fairly in accordance with GAAP the consolidated financial condition of the Borrower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(b)within the period provided in subsection (a)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(c)as soon as available, and in any event no later than forty-five (45) days after the last day of each fiscal quarter of each fiscal year of the Borrower, a copy of the consolidated and consolidating balance sheet of the Borrower and its Subsidiaries as of the last day of such fiscal quarter and the consolidated and consolidating statements of income, retained earnings, and cash flows of the Borrower and its Subsidiaries for the fiscal quarter and for the fiscal year-to-date period then ended, each in reasonable detail showing in comparative form the figures for the corresponding date and period in the previous fiscal year, prepared by the Borrower in accordance with GAAP (subject to the absence of footnote disclosures and year-end audit adjustments) and certified to by its chief financial officer, chief accounting officer or another officer of the Borrower reasonably acceptable to the Administrative Agent;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(d)as soon as available, and in any event within forty-five (45) days after the last day of each Fiscal Quarter (or ninety (90) days after the last day of each Fiscal Year) a Borrowing Base Certificate showing the computation of the Borrowing Base in reasonable detail as of the close of business on the last day of such fiscal quarter, prepared by the Borrower and certified to by its chief financial officer, chief accounting officer or another officer of the Borrower acceptable to the Administrative Agent;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(e)with each of the financial statements delivered pursuant to subsections (a) and (b) above, a Compliance Certificate (“Compliance Certificate”) in the form attached hereto as Exhibit E signed by the chief financial officer, chief accounting officer or another officer of the Borrower reasonably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8.20 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(f)promptly after receipt thereof, any additional written reports, management letters or other detailed information contained in writing concerning significant aspects of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the Borrower’s or any Subsidiary’s operations and financial affairs given to it by its independent public accountants;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(g)promptly after the sending or filing thereof, copies of each financial statement, report, notice or proxy statement sent by the Borrower or any Subsidiary to its stockholders or other equity holders, and upon written request from the Administrative Agent, copies of each regular, periodic or special report, registration statement or prospectus (including all Form 10-K, Form 10-Q and Form 8-K reports) filed by the Borrower or any Subsidiary with any securities exchange or the Securities and Exchange Commission or any successor agency;</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(h)promptly after receipt thereof, a copy of each audit made by any regulatory agency of the books and records of the Borrower or any Subsidiary or of notice of any material noncompliance with any applicable law, regulation or guideline relating to the Borrower or any Subsidiary, or its business;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(i)reserved;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(j)notice of any Change of Control;</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(k)promptly after knowledge thereof shall have come to the attention of any Responsible Officer of the Borrower, written notice of (i) any threatened (in writing) or pending litigation or governmental or arbitration proceeding or labor controversy against the Borrower or any Subsidiary or any of their Property or other assets which could reasonably be expected to have a Material Adverse Effect, (ii) the occurrence of any matter which could reasonably be expected to have a Material Adverse Effect, (iii) the occurrence of any Default or Event of Default hereunder or (iv) any change in the information provided in the Beneficial Ownership Certification that would result in a change to the list of beneficial owners identified in such certification;</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(l)within forty-five (45) days of the end of each of the first three (3) fiscal quarters and within ninety (90) days after the close of the last fiscal quarter of the year (i) a list of all newly formed or acquired Subsidiaries during such quarter (such list shall contain the information relative to such new Subsidiaries as set forth in Schedule 6.2 hereto); (ii) a list of newly executed Significant Leases during such quarter; (iii) a copy of any notice of a material default or any other material notice (including without limitation property condition reviews) received by the Borrower or any Guarantor from any ground lessor under a Significant Lease during such quarter and (iv) a schedule showing for such quarter (A) any Significant Lease that was or is continuing to be in default with respect to monthly contractual rent payments in excess of sixty (60) days;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(m)promptly after knowledge thereof shall have come to the attention of any Responsible Officer of Borrower, written notice to the Administrative Agent if (i) amounts payable under a Significant Lease of any Eligible Property or portion thereof included in the Borrowing Base Value is more than sixty (60) days past due, (ii) amounts payable under a Borrowing Base Mortgage Receivable is more than sixty (60) days past due, or (iii) any Borrowing Base Asset fails to qualify as an Eligible Asset; and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(n)promptly after the request of any Lender, any other information or report reasonably requested by a Lender.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provided, however, to the extent such items set forth above are filed with the Securities and Exchange Commission or otherwise are publicly available, the Borrower shall be deemed to have satisfied this covenant once it provides notice to the Administrative Agent of such availability.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14.6</w:t>
      </w:r>
      <w:bookmarkStart w:id="2502" w:name="_Toc209549804"/>
      <w:bookmarkEnd w:id="2502"/>
      <w:r>
        <w:rPr>
          <w:rFonts w:ascii="Times New Roman;Times;serif" w:hAnsi="Times New Roman;Times;serif"/>
          <w:sz w:val="24"/>
        </w:rPr>
        <w:t>Inspection.  The Borrower shall, and shall cause each Subsidiary to, permit the Administrative Agent, each Lender and each of their duly authorized representatives and agents during normal business hours to visit and inspect any of its Properties, corporate books, and financial records, to examine and make copies of its books of accounts and other financial records (which shall be subject to the confidentiality requirements of Section 12.25 hereof), and to discuss its affairs, finances, and accounts with, and to be advised as to the same by, its officers, employees (in the presence of a Responsible Officer) and independent public accountants (and by this provision the Borrower hereby authorizes such accountants with the Borrower present to discuss with the Administrative Agent and such Lenders the finances and affairs of the Borrower and its Subsidiaries) at such reasonable times and intervals as the Administrative Agent or any such Lender may designate and, so long as no Default or Event of Default exists, with reasonable prior notice to the Borrower.  The Administrative Agent and Lenders shall use reasonable efforts to coordinate inspections undertaken in accordance with this Section 8.6 to reduce the administrative burden of such inspections on the Borrower and their Subsidiaries.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14.7</w:t>
      </w:r>
      <w:bookmarkStart w:id="2503" w:name="_Toc209549805"/>
      <w:bookmarkEnd w:id="2503"/>
      <w:r>
        <w:rPr>
          <w:rFonts w:ascii="Times New Roman;Times;serif" w:hAnsi="Times New Roman;Times;serif"/>
          <w:sz w:val="24"/>
        </w:rPr>
        <w:t>Liens</w:t>
      </w:r>
      <w:r>
        <w:rPr>
          <w:rFonts w:ascii="Times New Roman;Times;serif" w:hAnsi="Times New Roman;Times;serif"/>
          <w:i/>
          <w:sz w:val="24"/>
        </w:rPr>
        <w:t>.</w:t>
      </w:r>
      <w:r>
        <w:rPr>
          <w:rFonts w:ascii="Times New Roman;Times;serif" w:hAnsi="Times New Roman;Times;serif"/>
          <w:sz w:val="24"/>
        </w:rPr>
        <w:t xml:space="preserve">  The Borrower shall not, nor shall it permit any Subsidiary to, create, incur or permit to exist any Lien of any kind on any Property or other assets owned by any such Person;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xml:space="preserve"> that the foregoing shall not apply to nor operate to prevent any Permitted Liens.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14.8</w:t>
      </w:r>
      <w:bookmarkStart w:id="2504" w:name="_Toc209549806"/>
      <w:bookmarkEnd w:id="2504"/>
      <w:r>
        <w:rPr>
          <w:rFonts w:ascii="Times New Roman;Times;serif" w:hAnsi="Times New Roman;Times;serif"/>
          <w:sz w:val="24"/>
        </w:rPr>
        <w:t xml:space="preserve">Investments, Acquisitions, Loans and Advances.  The Borrower shall not, nor shall it permit any Subsidiary to (i) directly or indirectly, make, retain or have outstanding any of the following any investments (whether through the purchase of stock or obligations or otherwise) in any Person, Property or improvements on Property, or any loans, advances, lines of credit, mortgage loans or other financings (including pursuant to sale/leaseback transactions) to any other Person, or (ii) acquire any Property, improvements on Property or all or any substantial part of the assets or business of any other Person or division thereof; </w:t>
      </w:r>
      <w:r>
        <w:rPr>
          <w:rFonts w:ascii="Times New Roman;Times;serif" w:hAnsi="Times New Roman;Times;serif"/>
          <w:i/>
          <w:sz w:val="24"/>
        </w:rPr>
        <w:t>provided, however,</w:t>
      </w:r>
      <w:r>
        <w:rPr>
          <w:rFonts w:ascii="Times New Roman;Times;serif" w:hAnsi="Times New Roman;Times;serif"/>
          <w:sz w:val="24"/>
        </w:rPr>
        <w:t xml:space="preserve"> that the foregoing shall not apply to nor operate to prevent, with respect to the Borrower or any Subsidiary, any of the following:</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(a)investments in direct obligations of the United States of America or of any agency or instrumentality thereof whose obligations constitute full faith and credit obligations of the United States of America, provided that any such obligations shall mature within one (1) year of the date of issuance thereof;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(b)investments in commercial paper with a Rating of at least P-1 by Moody’s and at least A-1 by S&amp;P maturing within one (1) year of the date of issuance thereof;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(c)interest bearing assets or investments in certificates of deposit issued by any Lender or by any United States commercial bank having capital and surplus of not less than $100,000,000 which have a maturity of one (1) year or less;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(d)investments in repurchase obligations with a term of not more than seven (7) 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(e)investments in money market funds that invest solely, and which are restricted by their respective charters to invest solely, in investments of the type described in the immediately preceding subsections (a), (b), (c), and (d) above;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(f)investments in (x) corporate debt issued by any real estate company or real estate investment trust, (y) Stock or Stock Equivalents issued by any real estate company or real estate investment trust, so long as in each case the real estate company or real estate investment trust is listed on the New York Stock Exchange, the NYSE American or The NASDAQ Stock Market or (z) Stock issued by Alpine; or (ii) investments in Stock Equivalents issued by Alpine or its operating partnership, including, without limitation, the PINE Common Equity;</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(g)the Borrower’s investments from time to time in its Subsidiaries, and investments made from time to time by a Subsidiary in one or more of its Subsidiaries;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(h)intercompany advances made from time to time among the Borrower and its Subsidiaries in the ordinary course of business to finance working capital needs; a</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(i)investments from time to time in individual Properties, including Eligible Properties and Eligible Leasehold Interests, Land Assets, and Assets Under Development, or in joint venture or other entities which own such individual Properties, including Eligible Properties, Eligible Leasehold Interests, Land Assets, and Assets Under Development, provided that such investment does not cause a breach of the financial covenants set forth in Section 8.20 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(j)investments from time to time in mortgages, deeds of trust, deeds to secure debt or similar instruments that are a lien upon Property, Mortgage Receivables, mezzanine loans, notes receivable, and investments in preferred equity securities; provided that, such investment does not cause a breach of the financial covenants set forth in Section 8.20 hereof; and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(k)repurchases (including tender offers (e.g. Dutch or modified Dutch tender offers)) of the Borrower’s stock to the extent permitted under Section 8.29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determining the amount of investments, acquisitions, loans, and advances permitted under this Section, investments and acquisitions shall always be taken at the book value (as defined in GAAP) thereof, and loans and advances shall be taken at the principal amount thereof then remaining unpaid.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14.9</w:t>
      </w:r>
      <w:bookmarkStart w:id="2505" w:name="_Toc209549807"/>
      <w:bookmarkEnd w:id="2505"/>
      <w:r>
        <w:rPr>
          <w:rFonts w:ascii="Times New Roman;Times;serif" w:hAnsi="Times New Roman;Times;serif"/>
          <w:sz w:val="24"/>
        </w:rPr>
        <w:t>Mergers, Consolidations and Sales</w:t>
      </w:r>
      <w:r>
        <w:rPr>
          <w:rFonts w:ascii="Times New Roman;Times;serif" w:hAnsi="Times New Roman;Times;serif"/>
          <w:i/>
          <w:sz w:val="24"/>
        </w:rPr>
        <w:t>.</w:t>
      </w:r>
      <w:r>
        <w:rPr>
          <w:rFonts w:ascii="Times New Roman;Times;serif" w:hAnsi="Times New Roman;Times;serif"/>
          <w:sz w:val="24"/>
        </w:rPr>
        <w:t xml:space="preserve">  Except with the prior written consent of the Required Lenders (which shall not be unreasonably withheld, conditioned or delayed), the Borrower shall not, nor shall it permit any Subsidiary to, be a party to any merger or consolidation,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or sell, transfer, lease or otherwise dispose of all or substantially all of its Property or other assets; </w:t>
      </w:r>
      <w:r>
        <w:rPr>
          <w:rFonts w:ascii="Times New Roman;Times;serif" w:hAnsi="Times New Roman;Times;serif"/>
          <w:b w:val="false"/>
          <w:i/>
          <w:sz w:val="24"/>
        </w:rPr>
        <w:t>provided,</w:t>
      </w:r>
      <w:r>
        <w:rPr>
          <w:rFonts w:ascii="Times New Roman;Times;serif" w:hAnsi="Times New Roman;Times;serif"/>
          <w:caps w:val="false"/>
          <w:smallCaps w:val="false"/>
          <w:sz w:val="24"/>
        </w:rPr>
        <w:t xml:space="preserve"> </w:t>
      </w:r>
      <w:r>
        <w:rPr>
          <w:rFonts w:ascii="Times New Roman;Times;serif" w:hAnsi="Times New Roman;Times;serif"/>
          <w:b w:val="false"/>
          <w:i/>
          <w:sz w:val="24"/>
        </w:rPr>
        <w:t>however,</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so long as the Borrower and Subsidiaries are in compliance with all covenants and agreements in this Agreement and no Default or Event of Default then exist, this Section shall not apply to nor operate to prevent: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(a)the sale, transfer, lease or other disposition of Property and other assets of the Borrower and its Subsidiaries to one another in the ordinary course of its business;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(b)the merger of any Subsidiary with and into the Borrower or any other Subsidiary, provided that, in the case of any merger involving the Borrower, the Borrower is the corporation surviving the merger;</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(c)the sale, transfer or other disposition of any tangible personal property that, in the reasonable business judgment of the Borrower or its Subsidiary, has become obsolete or worn out, and which is disposed of in the ordinary course of business; and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(d)the sale, transfer, lease or other disposition of Property of the Borrower or any Subsidiary (including any disposition of Property as part of a sale and leaseback transaction) aggregating not more than all or substantially all of the Total Asset Value of the Borrower on the last day of the prior Fiscal Quarter, as applicable; and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(e)any merger if it results in the simultaneous payoff in immediately available funds of the Obligations.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14.10</w:t>
      </w:r>
      <w:bookmarkStart w:id="2506" w:name="_Toc209549808"/>
      <w:bookmarkEnd w:id="2506"/>
      <w:r>
        <w:rPr>
          <w:rFonts w:ascii="Times New Roman;Times;serif" w:hAnsi="Times New Roman;Times;serif"/>
          <w:sz w:val="24"/>
        </w:rPr>
        <w:t>Maintenance of Subsidiaries</w:t>
      </w:r>
      <w:r>
        <w:rPr>
          <w:rFonts w:ascii="Times New Roman;Times;serif" w:hAnsi="Times New Roman;Times;serif"/>
          <w:i/>
          <w:sz w:val="24"/>
        </w:rPr>
        <w:t>.</w:t>
      </w:r>
      <w:r>
        <w:rPr>
          <w:rFonts w:ascii="Times New Roman;Times;serif" w:hAnsi="Times New Roman;Times;serif"/>
          <w:sz w:val="24"/>
        </w:rPr>
        <w:t xml:space="preserve">  The Borrower shall not assign, sell or transfer, nor shall it permit any Material Subsidiary to issue, assign, sell or transfer, any shares of capital stock or other equity interests of a Material Subsidiary;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xml:space="preserve"> that the foregoing shall not operate to prevent (a) Liens on the capital stock or other equity interests of Material Subsidiaries granted to the Administrative Agent, (b) the issuance, sale and transfer to any Person of any shares of capital stock of a Material Subsidiary solely for the purpose of qualifying, and to the extent legally necessary to qualify, such person as a director of such Subsidiary, and (c) any transaction permitted by Section 8.9(b) above.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14.11</w:t>
      </w:r>
      <w:bookmarkStart w:id="2507" w:name="_Toc209549809"/>
      <w:bookmarkEnd w:id="2507"/>
      <w:r>
        <w:rPr>
          <w:rFonts w:ascii="Times New Roman;Times;serif" w:hAnsi="Times New Roman;Times;serif"/>
          <w:sz w:val="24"/>
        </w:rPr>
        <w:t>ERISA</w:t>
      </w:r>
      <w:r>
        <w:rPr>
          <w:rFonts w:ascii="Times New Roman;Times;serif" w:hAnsi="Times New Roman;Times;serif"/>
          <w:i/>
          <w:sz w:val="24"/>
        </w:rPr>
        <w:t>.</w:t>
      </w:r>
      <w:r>
        <w:rPr>
          <w:rFonts w:ascii="Times New Roman;Times;serif" w:hAnsi="Times New Roman;Times;serif"/>
          <w:sz w:val="24"/>
        </w:rPr>
        <w:t xml:space="preserve">  The Borrower shall, and shall cause each Subsidiary to, promptly pay and discharge all obligations and liabilities arising under ERISA in excess of $1,000,000 of a character which if unpaid or unperformed could reasonably be expected to result in the imposition of a Lien against any of its Properties or other assets.  Upon the Borrower or a Subsidiary obtaining knowledge of any of the following events, the Borrower shall, and shall cause each Subsidiary to, promptly notify the Administrative Agent and each Lender of:  (a) the occurrence of any reportable event (as defined in Section 4043 of ERISA) with respect to a Plan (except for events for which reporting is waived), (b) receipt of any notice from the PBGC of its intention to seek termination of any Plan or appointment of a trustee therefor, (c) its intention to terminate or withdraw from any Plan, and (d) the occurrence of any event with respect to any Plan (other than normal operation of the Plan or investments of Plan assets) which would result in the incurrence by the Borrower or any Subsidiary of any material increase in liability, material penalty, or any material increase in the contingent liability of the Borrower or any Subsidiary with respect to any post-retirement Welfare Plan benefit.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14.12</w:t>
      </w:r>
      <w:bookmarkStart w:id="2508" w:name="_Toc209549810"/>
      <w:bookmarkEnd w:id="2508"/>
      <w:r>
        <w:rPr>
          <w:rFonts w:ascii="Times New Roman;Times;serif" w:hAnsi="Times New Roman;Times;serif"/>
          <w:sz w:val="24"/>
        </w:rPr>
        <w:t>Compliance with Laws</w:t>
      </w:r>
      <w:r>
        <w:rPr>
          <w:rFonts w:ascii="Times New Roman;Times;serif" w:hAnsi="Times New Roman;Times;serif"/>
          <w:i/>
          <w:sz w:val="24"/>
        </w:rPr>
        <w:t>.</w:t>
      </w:r>
      <w:r>
        <w:rPr>
          <w:rFonts w:ascii="Times New Roman;Times;serif" w:hAnsi="Times New Roman;Times;serif"/>
          <w:sz w:val="24"/>
        </w:rPr>
        <w:t xml:space="preserve">  </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(a)The Borrower shall, and shall cause each Subsidiary to, comply in all material respects with the requirements of all federal, state, and local laws, rules, regulations, ordinances and orders applicable to or pertaining to its Properties, assets or business operations, where any such non-compliance, individually or in the aggregate, could reasonably be expected to have a Material Adverse Effect.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(b)The Borrower shall and shall cause each Subsidiary to, at all times, do the following to the extent the failure to do so, individually or in the aggregate, could reasonably be expected to have a Material Adverse Effect: (i) comply in all material respects with, and maintain each of the Properties in compliance in all material respects with, all applicable Environmental Laws; (ii) use commercially reasonable efforts to require that each tenant and subtenant, if any, of any of the Properties or any part thereof comply in all material respects with all applicable Environmental Laws; (iii) obtain and maintain in full force and effect all material governmental approvals required by any applicable Environmental Law for operations at each of the Properties; (iv) cure any material violation by it or at any of the Properties of applicable Environmental Laws; (v) not allow the presence or operation at any of the Properties of any (1) landfill or dump or (2) hazardous waste management facility or solid waste disposal facility as defined pursuant to RCRA or any comparable state law; (vi) not manufacture, use, generate, transport, treat, store, release, dispose or handle any Hazardous Material at any of the Properties except in the ordinary course of its business and in compliance with law; (vii) within ten (10) Business Days notify the Administrative Agent in writing of and provide any reasonably requested documents upon receipt of written notice of any of the following in connection with the Borrower or any Subsidiary or any of the Properties that could reasonably be expected to have a Material Adverse Effect: (1) 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 (4) any restriction on the ownership, occupancy, use or transferability arising pursuant to any (x) Release, threatened Release or disposal of a Hazardous Material or (y) 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to be performed by the Borrower or its Subsidiaries by any applicable Environmental Law, (ix) abide by and observe any restrictions on the use of the Properties imposed by any governmental authority as set forth in a deed or other instrument affecting the Borrower’s or any Subsidiary’s interest therein; (x) promptly provide or otherwise make available to the Administrative Agent any reasonably requested environmental record concerning the Properties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14.13</w:t>
      </w:r>
      <w:bookmarkStart w:id="2509" w:name="_Toc209549811"/>
      <w:bookmarkEnd w:id="2509"/>
      <w:r>
        <w:rPr>
          <w:rFonts w:ascii="Times New Roman;Times;serif" w:hAnsi="Times New Roman;Times;serif"/>
          <w:sz w:val="24"/>
        </w:rPr>
        <w:t>Compliance with OFAC Sanctions Programs and Anti-Corruption Laws</w:t>
      </w:r>
      <w:r>
        <w:rPr>
          <w:rFonts w:ascii="Times New Roman;Times;serif" w:hAnsi="Times New Roman;Times;serif"/>
          <w:i/>
          <w:sz w:val="24"/>
        </w:rPr>
        <w:t>.</w:t>
      </w:r>
      <w:r>
        <w:rPr>
          <w:rFonts w:ascii="Times New Roman;Times;serif" w:hAnsi="Times New Roman;Times;serif"/>
          <w:sz w:val="24"/>
        </w:rPr>
        <w:t xml:space="preserve">  (a) The Borrower shall at all times comply in all material respects with the requirements of all OFAC Sanctions Programs applicable to the Borrower and shall cause each of its Subsidiaries to comply with the requirements of all OFAC Sanctions Programs applicable to such Subsidiary.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(b)The Borrower shall provide the Administrative Agent and the Lenders any information regarding the Borrower, its Affiliates, and its Subsidiaries necessary for the Administrative Agent and the Lenders to comply with all applicable OFAC Sanctions Programs; subject however, in the case of Affiliates, to the Borrower’s ability to provide information applicable to them.</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(c)If a Responsible Officer of the Borrower obtains actual knowledge or receives any written notice that the Borrower, any Subsidiary of the Borrower, or any officer, director or Affiliate of Borrower or any Subsidiary or that any Person that owns or controls any such Person is the target of any OFAC Sanctions Programs or is located, organized or resident in a country or territory that is, or whose government is, the subject of any OFAC Sanctions Programs (such occurrence, an “OFAC Event”), the Borrower shall promptly (i) give written notice to the `Administrative Agent and the Lenders of such OFAC Event, and (ii) comply with all applicable laws with respect to such OFAC Event (regardless of whether the target Person is located within the jurisdiction of the United States of America), including the OFAC Sanctions Programs, and the Borrower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OFAC Sanctions Programs (including the freezing and/or blocking of assets and reporting such action to OFAC).</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(d)The Borrower will not, nor will it permit any Subsidiary to directly or, to any such Person’s knowledge, indirectly, use the proceeds of the Loans, or lend, contribute or otherwise make available such proceeds to any other Person, (i) to fund any activities or business of or with any Person or in any country or territory, that, at the time of such funding, is, or whose government is, the subject of any OFAC Sanctions Programs, or (ii) in any other manner that would result in a violation of OFAC Sanctions Programs or Anti-Corruption Laws by any Person (including any Person participating in the Loans, whether as underwriter, lender, advisor, investor, or otherwise).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(e)The Borrower will not, nor will it permit any Subsidiary to, violate any Anti-Corruption Law in any material respect.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(f)The Borrower and each Subsidiary will maintain in effect policies and procedures designed to ensure compliance by such Persons, their Subsidiaries, and their respective directors, officers, employees, and agents with applicable Anti-Corruption Laws.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14.14</w:t>
      </w:r>
      <w:bookmarkStart w:id="2510" w:name="_Toc209549812"/>
      <w:bookmarkEnd w:id="2510"/>
      <w:r>
        <w:rPr>
          <w:rFonts w:ascii="Times New Roman;Times;serif" w:hAnsi="Times New Roman;Times;serif"/>
          <w:sz w:val="24"/>
        </w:rPr>
        <w:t>Burdensome Contracts With Affiliates</w:t>
      </w:r>
      <w:r>
        <w:rPr>
          <w:rFonts w:ascii="Times New Roman;Times;serif" w:hAnsi="Times New Roman;Times;serif"/>
          <w:i/>
          <w:sz w:val="24"/>
        </w:rPr>
        <w:t>.</w:t>
      </w:r>
      <w:r>
        <w:rPr>
          <w:rFonts w:ascii="Times New Roman;Times;serif" w:hAnsi="Times New Roman;Times;serif"/>
          <w:sz w:val="24"/>
        </w:rPr>
        <w:t xml:space="preserve">  Except (a) compensation, bonus and benefit arrangements with employees, officers and directors approved by the Board of Directors or committee thereof, (b) transactions permitted by Section 8.9 hereof, (c) transactions in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ordinary course of business of the Borrower or its Subsidiaries or (d) transactions approved by the Borrower’s board of directors and reasonably acceptable to the Administrative Agent, the Borrower shall not, nor shall it permit any Subsidiary to, enter into any contract, agreement or business arrangement with any of its Affiliates on terms and conditions which are less favorable to the Borrower or such Subsidiary than would be usual and customary in similar contracts, agreements or business arrangements between Persons not affiliated with each other.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14.15</w:t>
      </w:r>
      <w:bookmarkStart w:id="2511" w:name="_Toc209549813"/>
      <w:bookmarkEnd w:id="2511"/>
      <w:r>
        <w:rPr>
          <w:rFonts w:ascii="Times New Roman;Times;serif" w:hAnsi="Times New Roman;Times;serif"/>
          <w:sz w:val="24"/>
        </w:rPr>
        <w:t>No Changes in Fiscal Year</w:t>
      </w:r>
      <w:r>
        <w:rPr>
          <w:rFonts w:ascii="Times New Roman;Times;serif" w:hAnsi="Times New Roman;Times;serif"/>
          <w:i/>
          <w:sz w:val="24"/>
        </w:rPr>
        <w:t>.</w:t>
      </w:r>
      <w:r>
        <w:rPr>
          <w:rFonts w:ascii="Times New Roman;Times;serif" w:hAnsi="Times New Roman;Times;serif"/>
          <w:sz w:val="24"/>
        </w:rPr>
        <w:t xml:space="preserve">  The Fiscal Year of the Borrower and its Subsidiaries ends on December 31 of each year; and the Borrower shall not, nor shall it permit any Subsidiary to, change its Fiscal Year from its present basis.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14.16</w:t>
      </w:r>
      <w:bookmarkStart w:id="2512" w:name="_Toc209549814"/>
      <w:bookmarkEnd w:id="2512"/>
      <w:r>
        <w:rPr>
          <w:rFonts w:ascii="Times New Roman;Times;serif" w:hAnsi="Times New Roman;Times;serif"/>
          <w:sz w:val="24"/>
        </w:rPr>
        <w:t>Formation of Subsidiaries</w:t>
      </w:r>
      <w:r>
        <w:rPr>
          <w:rFonts w:ascii="Times New Roman;Times;serif" w:hAnsi="Times New Roman;Times;serif"/>
          <w:i/>
          <w:sz w:val="24"/>
        </w:rPr>
        <w:t>.</w:t>
      </w:r>
      <w:r>
        <w:rPr>
          <w:rFonts w:ascii="Times New Roman;Times;serif" w:hAnsi="Times New Roman;Times;serif"/>
          <w:sz w:val="24"/>
        </w:rPr>
        <w:t xml:space="preserve">  Promptly upon the formation or acquisition of any Material Subsidiary, the Borrower shall provide the Administrative Agent and the Lenders notice thereof and timely comply with the requirements of Sections 4.2 and 8.24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14.17</w:t>
      </w:r>
      <w:bookmarkStart w:id="2513" w:name="_Toc209549815"/>
      <w:bookmarkEnd w:id="2513"/>
      <w:r>
        <w:rPr>
          <w:rFonts w:ascii="Times New Roman;Times;serif" w:hAnsi="Times New Roman;Times;serif"/>
          <w:sz w:val="24"/>
        </w:rPr>
        <w:t>Change in the Nature of Business</w:t>
      </w:r>
      <w:r>
        <w:rPr>
          <w:rFonts w:ascii="Times New Roman;Times;serif" w:hAnsi="Times New Roman;Times;serif"/>
          <w:i/>
          <w:sz w:val="24"/>
        </w:rPr>
        <w:t>.</w:t>
      </w:r>
      <w:r>
        <w:rPr>
          <w:rFonts w:ascii="Times New Roman;Times;serif" w:hAnsi="Times New Roman;Times;serif"/>
          <w:sz w:val="24"/>
        </w:rPr>
        <w:t xml:space="preserve">  The Borrower shall not, nor shall it permit any Subsidiary to, engage in any business or activity if as a result the general nature of the business of the Borrower or any Subsidiary would be changed in any material respect from the general nature of the business engaged in by it on the Closing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14.18</w:t>
      </w:r>
      <w:bookmarkStart w:id="2514" w:name="_Toc209549816"/>
      <w:bookmarkEnd w:id="2514"/>
      <w:r>
        <w:rPr>
          <w:rFonts w:ascii="Times New Roman;Times;serif" w:hAnsi="Times New Roman;Times;serif"/>
          <w:sz w:val="24"/>
        </w:rPr>
        <w:t>Use of Proceeds.  The Borrower shall use the credit extended under this Agreement solely for the purposes set forth in, or otherwise permitted by, Section 6.4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14.19</w:t>
      </w:r>
      <w:bookmarkStart w:id="2515" w:name="_Toc209549817"/>
      <w:bookmarkEnd w:id="2515"/>
      <w:r>
        <w:rPr>
          <w:rFonts w:ascii="Times New Roman;Times;serif" w:hAnsi="Times New Roman;Times;serif"/>
          <w:sz w:val="24"/>
        </w:rPr>
        <w:t>No Restrictions.  Except as provided herein, the Borrower shall not, nor shall it permit any Subsidiary to, directly or indirectly create or otherwise cause or suffer to exist or become effective any consensual encumbrance or restriction of any kind on the ability of the Borrower or any Subsidiary to:  (a) pay Dividends or make any other distribution on any Subsidiary’s capital stock or other equity interests owned by the Borrower or any other Subsidiary, (b) pay any indebtedness owed to the Borrower or any other Subsidiary, (c) make loans or advances to the Borrower or any other Subsidiary, (d) transfer any of its Properties or other assets to the Borrower or any other Subsidiary</w:t>
      </w:r>
      <w:r>
        <w:rPr>
          <w:rFonts w:ascii="Times New Roman;Times;serif" w:hAnsi="Times New Roman;Times;serif"/>
          <w:i/>
          <w:sz w:val="24"/>
        </w:rPr>
        <w:t>;</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xml:space="preserve"> </w:t>
      </w:r>
      <w:r>
        <w:rPr>
          <w:rFonts w:ascii="Times New Roman;Times;serif" w:hAnsi="Times New Roman;Times;serif"/>
          <w:i/>
          <w:sz w:val="24"/>
        </w:rPr>
        <w:t>that</w:t>
      </w:r>
      <w:r>
        <w:rPr>
          <w:rFonts w:ascii="Times New Roman;Times;serif" w:hAnsi="Times New Roman;Times;serif"/>
          <w:sz w:val="24"/>
        </w:rPr>
        <w:t xml:space="preserve"> the foregoing does not apply to any limitation on transfers of property that is subject to a Permitted Lien or (e) guarantee the Obligations, Hedging Liability, and Funds Transfer and Deposit Account Liability and/or grant Liens on its assets to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14.20</w:t>
      </w:r>
      <w:bookmarkStart w:id="2516" w:name="_Toc209549818"/>
      <w:bookmarkEnd w:id="2516"/>
      <w:r>
        <w:rPr>
          <w:rFonts w:ascii="Times New Roman;Times;serif" w:hAnsi="Times New Roman;Times;serif"/>
          <w:sz w:val="24"/>
        </w:rPr>
        <w:t>Financial Covenants.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(a)Maximum Total Indebtedness to Total Asset Value Ratio. As of the last day of each Fiscal Quarter of the Borrower, the Borrower shall not permit the ratio of Total Indebtedness to Total Asset Value to be greater than (x) during a Leverage Ratio Increase Period, 0.65 to 1.00 and (y) at all other times, 0.60 to 1.00.</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(b)Maximum Unsecured Indebtedness to Borrowing Base Value Ratio. As of the last day of each Fiscal Quarter of the Borrower, the Borrower shall not permit the ratio of Unsecured Indebtedness to Borrowing Base Value to be greater than (x) during a Leverage Ratio Increase Period, 0.65 to 1.00 and (y) at all other times, 0.60 to 1.00.</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(c)Maximum Secured Indebtedness to Total Asset Value Ratio. As of the last day of each Fiscal Quarter of the Borrower, the Borrower shall not permit the ratio of Secured Indebtedness to Total Asset Value to be greater than 0.40 to 1.00.</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(d)Minimum Adjusted EBITDA to Fixed Charges Ratio. As of the last day of each Fiscal Quarter of the Borrower, the Borrower shall not permit the ratio of Adjusted EBITDA for the applicable Rolling Period to Fixed Charges for such Rolling Period to be less than 1.50 to 1.0.</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(e)Maximum Secured Recourse Indebtedness to Total Asset Value Ratio. As of the last day of each Fiscal Quarter of the Borrower, the Borrower and its Subsidiaries shall not permit the ratio of Secured Recourse Indebtedness to Total Asset Value to be greater than 0.05 to 1.0.</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(f)Maintenance of Net Worth. The Borrower shall, as of the last day of each Fiscal Quarter, maintain a Tangible Net Worth of not less than the sum of (a) $</w:t>
      </w:r>
      <w:bookmarkStart w:id="2517" w:name="_cp_change_474"/>
      <w:bookmarkEnd w:id="2517"/>
      <w:r>
        <w:rPr>
          <w:rFonts w:ascii="Times New Roman;Times;serif" w:hAnsi="Times New Roman;Times;serif"/>
          <w:color w:val="FF0000"/>
          <w:sz w:val="24"/>
        </w:rPr>
        <w:t>465,259,119</w:t>
      </w:r>
      <w:bookmarkStart w:id="2518" w:name="_cp_change_475"/>
      <w:bookmarkEnd w:id="2518"/>
      <w:r>
        <w:rPr>
          <w:rFonts w:ascii="Times New Roman;Times;serif" w:hAnsi="Times New Roman;Times;serif"/>
          <w:color w:val="0000FF"/>
          <w:sz w:val="24"/>
          <w:u w:val="single"/>
        </w:rPr>
        <w:t>552,823,575</w:t>
      </w:r>
      <w:r>
        <w:rPr>
          <w:rFonts w:ascii="Times New Roman;Times;serif" w:hAnsi="Times New Roman;Times;serif"/>
          <w:sz w:val="24"/>
        </w:rPr>
        <w:t xml:space="preserve">, plus (b) 75% of the aggregate net proceeds received by the Borrower or any of its Subsidiaries after June 30, </w:t>
      </w:r>
      <w:bookmarkStart w:id="2519" w:name="_cp_change_476"/>
      <w:bookmarkEnd w:id="2519"/>
      <w:r>
        <w:rPr>
          <w:rFonts w:ascii="Times New Roman;Times;serif" w:hAnsi="Times New Roman;Times;serif"/>
          <w:color w:val="FF0000"/>
          <w:sz w:val="24"/>
        </w:rPr>
        <w:t>2024</w:t>
      </w:r>
      <w:bookmarkStart w:id="2520" w:name="_cp_change_477"/>
      <w:bookmarkEnd w:id="2520"/>
      <w:r>
        <w:rPr>
          <w:rFonts w:ascii="Times New Roman;Times;serif" w:hAnsi="Times New Roman;Times;serif"/>
          <w:color w:val="0000FF"/>
          <w:sz w:val="24"/>
          <w:u w:val="single"/>
        </w:rPr>
        <w:t>2025</w:t>
      </w:r>
      <w:r>
        <w:rPr>
          <w:rFonts w:ascii="Times New Roman;Times;serif" w:hAnsi="Times New Roman;Times;serif"/>
          <w:sz w:val="24"/>
        </w:rPr>
        <w:t xml:space="preserve"> in connection with any offering of Stock or Stock Equivalents of the Borrower or the Subsidiaries.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(g)Minimum Unsecured Coverage Ratio. As of the last day of each Fiscal Quarter of the Borrower, the Borrower shall not permit the ratio of Borrowing Base NOI to Unsecured Interest Expense to be less than 1.50 to 1.00.</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14.21</w:t>
      </w:r>
      <w:bookmarkStart w:id="2521" w:name="_Toc209549819"/>
      <w:bookmarkEnd w:id="2521"/>
      <w:r>
        <w:rPr>
          <w:rFonts w:ascii="Times New Roman;Times;serif" w:hAnsi="Times New Roman;Times;serif"/>
          <w:sz w:val="24"/>
        </w:rPr>
        <w:t>Borrowing Base Covenant.  The Borrower shall cause the Eligible Assets in the Borrowing Base to at all times comply with the Borrowing Base Requirements (other than with respect to Eligible Assets that may exceed concentration limits but still be included in the Borrowing Base Value in compliance with the definition of Borrowing Base Requirements) and shall exclude from the calculation of Borrowing Base Value any portion of Property NOI, cost or book value of any Eligible Assets attributable to any Eligible Assets that exceed the concentration limits set forth in the Borrowing Base Requirements..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14.22</w:t>
      </w:r>
      <w:bookmarkStart w:id="2522" w:name="_Toc209549820"/>
      <w:bookmarkEnd w:id="2522"/>
      <w:r>
        <w:rPr>
          <w:rFonts w:ascii="Times New Roman;Times;serif" w:hAnsi="Times New Roman;Times;serif"/>
          <w:sz w:val="24"/>
        </w:rPr>
        <w:t>Reserved.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14.23</w:t>
      </w:r>
      <w:bookmarkStart w:id="2523" w:name="_Toc209549821"/>
      <w:bookmarkEnd w:id="2523"/>
      <w:r>
        <w:rPr>
          <w:rFonts w:ascii="Times New Roman;Times;serif" w:hAnsi="Times New Roman;Times;serif"/>
          <w:sz w:val="24"/>
        </w:rPr>
        <w:t>Electronic Delivery of Certain Information</w:t>
      </w:r>
      <w:r>
        <w:rPr>
          <w:rFonts w:ascii="Times New Roman;Times;serif" w:hAnsi="Times New Roman;Times;serif"/>
          <w:i/>
          <w:sz w:val="24"/>
        </w:rPr>
        <w:t>.</w:t>
      </w:r>
      <w:r>
        <w:rPr>
          <w:rFonts w:ascii="Times New Roman;Times;serif" w:hAnsi="Times New Roman;Times;serif"/>
          <w:sz w:val="24"/>
        </w:rPr>
        <w:t xml:space="preserve">  (a) Documents, including financial reports to be delivered pursuant to Section 8.5 hereof, required to be delivered pursuant to this Agreement may be delivered by electronic communication and delivery, including, the Internet, including the website maintained by the Securities and Exchange Commission,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pursuant to Section 1.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Chicago time on the opening of business on the next business day for the recipient. Notwithstanding anything contained herein, in every instance the Borrower shall be required to provide paper copies of the certificates required by Sections 8.5(d) and 8.5(e) to the Administrative Agent. Except for the certificates required by Sections 8.5(d) and 8.5(e), the Administrative Agent shall have no obligation to request the delivery of or to maintain paper copies of the documents delivered electronically, and in any event shall have no responsibility to monitor compliance by the Borrower with any such request for delivery.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(b)Documents required to be delivered pursuant to Section 1 may be delivered electronically to a website provided for such purpose by the Administrative Agent pursuant to the procedures provided to the Borrower by the Administrative Agent.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(c)This </w:t>
      </w:r>
      <w:bookmarkStart w:id="2524" w:name="_cp_change_478"/>
      <w:bookmarkEnd w:id="2524"/>
      <w:r>
        <w:rPr>
          <w:rFonts w:ascii="Times New Roman;Times;serif" w:hAnsi="Times New Roman;Times;serif"/>
          <w:color w:val="FF0000"/>
          <w:sz w:val="24"/>
        </w:rPr>
        <w:t xml:space="preserve">Credit </w:t>
      </w:r>
      <w:r>
        <w:rPr>
          <w:rFonts w:ascii="Times New Roman;Times;serif" w:hAnsi="Times New Roman;Times;serif"/>
          <w:sz w:val="24"/>
        </w:rPr>
        <w:t xml:space="preserve">Agreement and any document, amendment, approval, consent, information, notice, certificate, request, statement, disclosure or authorization related to this </w:t>
      </w:r>
      <w:bookmarkStart w:id="2525" w:name="_cp_change_479"/>
      <w:bookmarkEnd w:id="2525"/>
      <w:r>
        <w:rPr>
          <w:rFonts w:ascii="Times New Roman;Times;serif" w:hAnsi="Times New Roman;Times;serif"/>
          <w:color w:val="FF0000"/>
          <w:sz w:val="24"/>
        </w:rPr>
        <w:t xml:space="preserve">Credit </w:t>
      </w:r>
      <w:r>
        <w:rPr>
          <w:rFonts w:ascii="Times New Roman;Times;serif" w:hAnsi="Times New Roman;Times;serif"/>
          <w:sz w:val="24"/>
        </w:rPr>
        <w:t xml:space="preserve">Agreement (each a “Communication”),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such Loan Party to the same extent as a manual, original signature, and that any Communication entered into by Electronic Signature, will constitute the legal, valid and binding obligation of such Loan Party, enforceable against such Loan Party in accordance with the terms thereof to the same extent as if a manually executed original signature was delivered or a paper-based recordkeeping system was used, as the case may be.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and each of the Lenders of a manually signed paper Communication which has been converted into electronic form (such as scanned into PDF format), or an electronically signed Communication converted into another format, for transmission, delivery and/or retention. Administrative Agent and each of the Lenders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provided, further, without limiting the foregoing, (i) to the extent Administrative Agent has agreed to accept such Electronic Signature, Administrative Agent and each of the Lenders shall be entitled to rely on any such Electronic Signature purportedly given by or on behalf of any Loan Party without further verification and (ii) upon the request of Administrative Agent or any Lender, any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Electronic Signature shall be promptly followed by such manually executed counterpart. For purposes hereof, “Electronic Record” and “Electronic Signature” shall have the meanings assigned to them, respectively, by 15 USC §7006, as it may be amended from time to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14.24</w:t>
      </w:r>
      <w:bookmarkStart w:id="2526" w:name="_Toc209549822"/>
      <w:bookmarkEnd w:id="2526"/>
      <w:r>
        <w:rPr>
          <w:rFonts w:ascii="Times New Roman;Times;serif" w:hAnsi="Times New Roman;Times;serif"/>
          <w:sz w:val="24"/>
        </w:rPr>
        <w:t>Collateral Trigger Event.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(a)Reserved.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(b)Collateral Trigger Event. If at any time (i) any Other Unsecured Indebtedness is required to be guaranteed, or otherwise becomes guaranteed, by any or all of the Material Subsidiaries, or is required to be secured, or otherwise becomes secured, by the Equity Interest owned by the Borrower in any or all of its direct and indirect Material Subsidiaries, the occurrence of any such event is an “Other Guaranty Trigger”) and (ii) the sum of the outstanding Loans plus the outstanding Other Unsecured Indebtedness would exceed the amount described in clause (x) of the calculation of “Borrowing Base” as then calculated (the occurrence of such event and an Other Guaranty Trigger is a “Collateral Trigger Event”), then, within ninety (90) days of the Collateral Trigger Event and at all times thereafter, the Borrower shall comply with Section 8.24(c) hereof. Promptly upon the occurrence of an Other Guaranty Trigger, and in any event within two (2) Business Days of such event, the Borrower shall deliver to the Administrative Agent a duly completed Borrowing Base Certificate calculating the Borrowing Base in the manner described in clause (ii) of the previous sentence.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(c)Collateral Requirements. Within ninety (90) days after the occurrence of a Collateral Trigger Event, the Borrower and each Material Subsidiary, as applicable, shall deliver, or cause to be delivered, to the Administrative Agent: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(i)Mortgages duly executed by Borrower or the relevant Material Subsidiaries for each Borrowing Base Real Property Asset, in form and substance reasonably acceptable to Borrower, each applicable Material Subsidiary, and Administrative Agent;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(ii)evidence of insurance required to be maintained under the Loan Documents, naming the Administrative Agent as mortgagee/lender’s loss payee and as an additional insured, as applicable;</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 xml:space="preserve">(iii)mortgagee’s title insurance policies with respect to each Borrowing Base Real Property Asset (or a prepaid binding commitment therefor) in form and substance reasonably acceptable to the Administrative Agent from a title insurance company acceptable to the Administrative Agent in the aggregate principal amount of the outstanding Term Loans and Incremental Term Loans (if any), </w:t>
      </w:r>
      <w:r>
        <w:rPr>
          <w:rFonts w:ascii="Times New Roman;Times;serif" w:hAnsi="Times New Roman;Times;serif"/>
          <w:i/>
          <w:sz w:val="24"/>
        </w:rPr>
        <w:t>plus</w:t>
      </w:r>
      <w:r>
        <w:rPr>
          <w:rFonts w:ascii="Times New Roman;Times;serif" w:hAnsi="Times New Roman;Times;serif"/>
          <w:sz w:val="24"/>
        </w:rPr>
        <w:t xml:space="preserve"> then aggregate Revolving Credit Commitments (subject to the underwriting requirements of the applicable title insurance company) insuring the Lien of the Mortgages to be valid first priority Liens subject only to Permitted Liens, together with such endorsements as the Administrative Agent may reasonably require;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(iv)a survey in form acceptable to the Administrative Agent and disclosing no Liens other than Permitted Liens prepared by a licensed surveyor for each parcel of Borrowing Base Real Property Asset, which surveys shall also state whether or not any portion of any Borrowing Base Real Property Asset is in a federally designated flood hazard area;</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(v)a report as to whether or not any portion of each Borrowing Base Real Property Asset is in a federally designated flood hazard area and, if any improvements thereon are in a federally designated flood hazard area, evidence of the maintenance of flood insurance (including on the improvements, personal property, structures and contents, as applicable), as may be required by applicable law;</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(vi)a report of an independent firm of environmental engineers acceptable to the Administrative Agent concerning the environmental conditions of each parcel of Borrowing Base Real Property Asset subject to the Lien of the Mortgages, together with a reliance letter thereon acceptable to the Administrative Agent;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(vii)an appraisal report prepared for the Administrative Agent by a state certified appraiser selected and retained by the Administrative Agent, which appraisal report describes the fair market value of each Borrowing Base Real Property Asset and otherwise meets the requirements of applicable law for appraisals prepared for federally insured depository institutions;</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(viii)the favorable written opinion of local counsel to each Material Subsidiary covering due authorization, execution and delivery and enforceability of the Mortgages, together with customary real estate opinions as to sufficiency of the Mortgages for recordation and perfection of the liens provided therein and otherwise in form and substance satisfactory to the Administrative Agent;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(ix)a property condition report satisfactory to Administrative Agent with respect to each Borrowing Base Real Property Asset;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(x)Collateral Assignments duly executed by Borrower or the relevant Material Subsidiaries for each Borrowing Base Mortgage Receivable, in form and substance reasonably acceptable to Borrower, each applicable Material Subsidiary, and Administrative Agent, together with (i) the original promissory note or other negotiable instrument evidencing such Borrowing Base Mortgage Receivable and (ii) and allonge to such promissory note or other negotiable instrument endorsed in blank;</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(xi)Pledge and Control Agreements duly executed by Borrower or the relevant Material Subsidiaries for the Borrowing Base PINE Common Equity, in form and substance reasonably acceptable to Borrower, each applicable Material Subsidiary, and Administrative Agent, together with an acknowledgment thereof by the applicable securities intermediary</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(xii)an amendment to this Agreement containing such provisions as may reasonably be required by Administrative Agent to incorporate relevant and appropriate provisions with respect to the Mortgages and Collateral Assignments; and</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(xiii)to the extent necessary for the Administrative Agent or any Lender to comply with its internal policies generally applicable to loans of this nature or with applicable Legal Requirements, any other agreement, instrument, document, certificate or opinion requested by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14.25</w:t>
      </w:r>
      <w:bookmarkStart w:id="2527" w:name="_Toc209549823"/>
      <w:bookmarkEnd w:id="2527"/>
      <w:r>
        <w:rPr>
          <w:rFonts w:ascii="Times New Roman;Times;serif" w:hAnsi="Times New Roman;Times;serif"/>
          <w:sz w:val="24"/>
        </w:rPr>
        <w:t>1031 Properties.  Upon the request of the Required Lenders after the occurrence and during the continuance of a Default, the Borrower hereby agrees that it shall, or it shall cause any applicable Guarantor to, cause any 1031 Property Holder to (i) follow instructions given by the Administrative Agent regarding the transfer of the 1031 Property to any other Person without the further consent of the Borrower, any Guarantor or any other Person and (ii) transfer fee simple title to any 1031 Property to the Borrower, a Guarantor or another entity acceptable to the Required Lenders regardless of whether such required transfer shall cause the Borrower or any Subsidiary to incur any additional liabilities or reduce or negate the tax or other anticipated benefits to the Borrower or any Subsidiary.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14.26</w:t>
      </w:r>
      <w:bookmarkStart w:id="2528" w:name="_Toc209549824"/>
      <w:bookmarkEnd w:id="2528"/>
      <w:r>
        <w:rPr>
          <w:rFonts w:ascii="Times New Roman;Times;serif" w:hAnsi="Times New Roman;Times;serif"/>
          <w:sz w:val="24"/>
        </w:rPr>
        <w:t>Reserved.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14.27</w:t>
      </w:r>
      <w:bookmarkStart w:id="2529" w:name="_Toc209549825"/>
      <w:bookmarkEnd w:id="2529"/>
      <w:r>
        <w:rPr>
          <w:rFonts w:ascii="Times New Roman;Times;serif" w:hAnsi="Times New Roman;Times;serif"/>
          <w:sz w:val="24"/>
        </w:rPr>
        <w:t>Reserved.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14.28</w:t>
      </w:r>
      <w:bookmarkStart w:id="2530" w:name="_Toc209549826"/>
      <w:bookmarkEnd w:id="2530"/>
      <w:r>
        <w:rPr>
          <w:rFonts w:ascii="Times New Roman;Times;serif" w:hAnsi="Times New Roman;Times;serif"/>
          <w:sz w:val="24"/>
        </w:rPr>
        <w:t>REIT Status</w:t>
      </w:r>
      <w:r>
        <w:rPr>
          <w:rFonts w:ascii="Times New Roman;Times;serif" w:hAnsi="Times New Roman;Times;serif"/>
          <w:i/>
          <w:sz w:val="24"/>
        </w:rPr>
        <w:t>.</w:t>
      </w:r>
      <w:r>
        <w:rPr>
          <w:rFonts w:ascii="Times New Roman;Times;serif" w:hAnsi="Times New Roman;Times;serif"/>
          <w:sz w:val="24"/>
        </w:rPr>
        <w:t xml:space="preserve">  The Borrower shall maintain its status as a REIT.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14.29</w:t>
      </w:r>
      <w:bookmarkStart w:id="2531" w:name="_Toc209549827"/>
      <w:bookmarkEnd w:id="2531"/>
      <w:r>
        <w:rPr>
          <w:rFonts w:ascii="Times New Roman;Times;serif" w:hAnsi="Times New Roman;Times;serif"/>
          <w:sz w:val="24"/>
        </w:rPr>
        <w:t>Restricted Payments</w:t>
      </w:r>
      <w:r>
        <w:rPr>
          <w:rFonts w:ascii="Times New Roman;Times;serif" w:hAnsi="Times New Roman;Times;serif"/>
          <w:i/>
          <w:sz w:val="24"/>
        </w:rPr>
        <w:t>.</w:t>
      </w:r>
      <w:r>
        <w:rPr>
          <w:rFonts w:ascii="Times New Roman;Times;serif" w:hAnsi="Times New Roman;Times;serif"/>
          <w:sz w:val="24"/>
        </w:rPr>
        <w:t xml:space="preserve">  The Borrower shall not permit, nor shall it permit any Subsidiary to, declare or make any Restricted Payment; </w:t>
      </w:r>
      <w:r>
        <w:rPr>
          <w:rFonts w:ascii="Times New Roman;Times;serif" w:hAnsi="Times New Roman;Times;serif"/>
          <w:i/>
          <w:sz w:val="24"/>
        </w:rPr>
        <w:t>provided</w:t>
      </w:r>
      <w:r>
        <w:rPr>
          <w:rFonts w:ascii="Times New Roman;Times;serif" w:hAnsi="Times New Roman;Times;serif"/>
          <w:sz w:val="24"/>
        </w:rPr>
        <w:t xml:space="preserve"> that: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(a)(i) Borrower may declare or make any Restricted Payments in cash to its equity holders in an aggregate amount not to exceed the greater of (x) ninety-five percent (95%) of Borrower’s Adjusted FFO (excluding any regular distributions to holders of preferred stock of Borrower) for each Rolling Period (commencing with the Rolling Period ending on December 31, 2024), or (y) the amount necessary for Borrower to be able to make Restricted Payments required to maintain its status as a REIT and to avoid the imposition of any federal or state income tax, and to avoid the imposition of the excise tax described by Section 4981 of the Code, in each case on Borrower; provided, that, in either case, (A) during the continuance of an Event of Default, Restricted Payments made pursuant to this clause (a) shall not exceed the amounts described in clause (y), and (B) following a Bankruptcy Event with respect to the Borrower or the acceleration of the Obligations, Borrower shall not make any cash Restricted Payments;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(b)each Subsidiary may make Restricted Payments ratably to the holders of its Equity Interests;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(c)the Borrower or any Guarantor may declare and make dividend payments or other distributions payable solely in the common equity interests or other equity interests of such entity including (i) “cashless exercises” of options granted under any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share option plan adopted by such entity, (ii) distributions of rights or equity securities under any rights plan adopted by such entity and (iii) distributions (or effect stock splits or reverse stock splits) with respect to its equity interests payable solely in additional shares of its equity interests;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(d)the Borrower and each Guarantor may make cash payments in lieu of the issuance of fractional shares representing insignificant interests in connection with the exercise of warrants, options or other securities convertible into or exchangeable for equity interests of the Borrower or any Subsidiary;</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(e)so long as no Change of Control results therefrom, the Borrower and each Subsidiary may make Restricted Payments in connection with the implementation of or pursuant to any retirement, health, stock option and other benefit plans, bonus plans, performance based incentive plans, and other similar forms of compensation;</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(f)so long as no Change of Control results therefrom, the Borrower and each Subsidiary that is a Guarantor may make dividends or distributions to allow Borrower to make payments in connection with share purchase programs, to the extent not otherwise prohibited by the terms of this Agreement; and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(g)The Borrower may exercise any redemption or conversion rights with respect to its Equity Interests in accordance with the terms of the governing documents setting out any such rights and, to the extent paid in cash from sources other than a concurrent offering of Equity Interests of Borrower, subject to Section 8.29(a).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14.30</w:t>
      </w:r>
      <w:bookmarkStart w:id="2532" w:name="_Toc209549828"/>
      <w:bookmarkEnd w:id="2532"/>
      <w:r>
        <w:rPr>
          <w:rFonts w:ascii="Times New Roman;Times;serif" w:hAnsi="Times New Roman;Times;serif"/>
          <w:sz w:val="24"/>
        </w:rPr>
        <w:t>Florida Documentary Stamp Tax</w:t>
      </w:r>
      <w:r>
        <w:rPr>
          <w:rFonts w:ascii="Times New Roman;Times;serif" w:hAnsi="Times New Roman;Times;serif"/>
          <w:i/>
          <w:sz w:val="24"/>
        </w:rPr>
        <w:t>.</w:t>
      </w:r>
      <w:r>
        <w:rPr>
          <w:rFonts w:ascii="Times New Roman;Times;serif" w:hAnsi="Times New Roman;Times;serif"/>
          <w:sz w:val="24"/>
        </w:rPr>
        <w:t xml:space="preserve">  To the extent any Notes described in Section 1.10 hereof are signed or delivered in the State of Florida, the Borrower shall pay any documentary stamp taxes due under Section 201.08, Florida Statutes on or prior to the date required thereunder with respect to such Notes.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i/>
          <w:color w:val="0000FF"/>
          <w:sz w:val="24"/>
        </w:rPr>
        <w:t>Section 14.31.</w:t>
      </w:r>
      <w:bookmarkStart w:id="2533" w:name="_cp_change_482"/>
      <w:bookmarkStart w:id="2534" w:name="_Toc209549829"/>
      <w:bookmarkStart w:id="2535" w:name="_cp_change_480"/>
      <w:bookmarkEnd w:id="2533"/>
      <w:bookmarkEnd w:id="2534"/>
      <w:bookmarkEnd w:id="2535"/>
      <w:r>
        <w:rPr>
          <w:rFonts w:ascii="Times New Roman;Times;serif" w:hAnsi="Times New Roman;Times;serif"/>
          <w:color w:val="0000FF"/>
          <w:sz w:val="24"/>
          <w:u w:val="single"/>
        </w:rPr>
        <w:t>Limitations Regarding Outbound Investment Rules</w:t>
      </w:r>
      <w:bookmarkStart w:id="2536" w:name="_cp_change_484"/>
      <w:bookmarkStart w:id="2537" w:name="_cp_change_481"/>
      <w:bookmarkEnd w:id="2536"/>
      <w:bookmarkEnd w:id="2537"/>
      <w:r>
        <w:rPr>
          <w:rFonts w:ascii="Times New Roman;Times;serif" w:hAnsi="Times New Roman;Times;serif"/>
          <w:color w:val="0000FF"/>
          <w:sz w:val="24"/>
          <w:u w:val="single"/>
        </w:rPr>
        <w:t>.  The Borrower will not, nor will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bookmarkStart w:id="2538" w:name="_cp_change_483"/>
      <w:bookmarkEnd w:id="2538"/>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15.</w:t>
      </w:r>
      <w:bookmarkStart w:id="2539" w:name="_Toc209549830"/>
      <w:bookmarkEnd w:id="2539"/>
      <w:r>
        <w:rPr>
          <w:rFonts w:ascii="Times New Roman;Times;serif" w:hAnsi="Times New Roman;Times;serif"/>
          <w:caps/>
          <w:sz w:val="24"/>
        </w:rPr>
        <w:t>Events of Default and Remedies</w:t>
      </w:r>
      <w:r>
        <w:rPr>
          <w:rFonts w:ascii="Times New Roman Bold" w:hAnsi="Times New Roman Bold"/>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15.1</w:t>
      </w:r>
      <w:bookmarkStart w:id="2540" w:name="_Toc209549831"/>
      <w:bookmarkEnd w:id="2540"/>
      <w:r>
        <w:rPr>
          <w:rFonts w:ascii="Times New Roman;Times;serif" w:hAnsi="Times New Roman;Times;serif"/>
          <w:sz w:val="24"/>
        </w:rPr>
        <w:t>Events of Default</w:t>
      </w:r>
      <w:r>
        <w:rPr>
          <w:rFonts w:ascii="Times New Roman;Times;serif" w:hAnsi="Times New Roman;Times;serif"/>
          <w:i/>
          <w:sz w:val="24"/>
        </w:rPr>
        <w:t>.</w:t>
      </w:r>
      <w:r>
        <w:rPr>
          <w:rFonts w:ascii="Times New Roman;Times;serif" w:hAnsi="Times New Roman;Times;serif"/>
          <w:sz w:val="24"/>
        </w:rPr>
        <w:t xml:space="preserve">  Any one or more of the following shall constitute an “</w:t>
      </w:r>
      <w:r>
        <w:rPr>
          <w:rFonts w:ascii="Times New Roman;Times;serif" w:hAnsi="Times New Roman;Times;serif"/>
          <w:i/>
          <w:sz w:val="24"/>
        </w:rPr>
        <w:t>Event</w:t>
      </w:r>
      <w:r>
        <w:rPr>
          <w:rFonts w:ascii="Times New Roman;Times;serif" w:hAnsi="Times New Roman;Times;serif"/>
          <w:sz w:val="24"/>
        </w:rPr>
        <w:t xml:space="preserve"> </w:t>
      </w:r>
      <w:r>
        <w:rPr>
          <w:rFonts w:ascii="Times New Roman;Times;serif" w:hAnsi="Times New Roman;Times;serif"/>
          <w:i/>
          <w:sz w:val="24"/>
        </w:rPr>
        <w:t>of</w:t>
      </w:r>
      <w:r>
        <w:rPr>
          <w:rFonts w:ascii="Times New Roman;Times;serif" w:hAnsi="Times New Roman;Times;serif"/>
          <w:sz w:val="24"/>
        </w:rPr>
        <w:t xml:space="preserve"> </w:t>
      </w:r>
      <w:r>
        <w:rPr>
          <w:rFonts w:ascii="Times New Roman;Times;serif" w:hAnsi="Times New Roman;Times;serif"/>
          <w:i/>
          <w:sz w:val="24"/>
        </w:rPr>
        <w:t>Default”</w:t>
      </w:r>
      <w:r>
        <w:rPr>
          <w:rFonts w:ascii="Times New Roman;Times;serif" w:hAnsi="Times New Roman;Times;serif"/>
          <w:sz w:val="24"/>
        </w:rPr>
        <w:t xml:space="preserve"> hereunder:</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(a)default in the payment when due of all or any part of the principal of any Loan (whether at the stated maturity thereof or at any other time provided for in this Agreement, including a mandatory prepayment required by Section 1.8(b)); or default for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 period of three (3) Business Days in the payment when due of any interest, fee or other Obligation payable hereunder or under any other Loan Document;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(b)default in the observance or performance of any covenant set forth in Sections 8.1 (only with respect to the first sentence thereof), 8.5 (for a period of five (5) days), 8.7, 8.8, 8.9, 8.10, 8.20, 8.21 (if not replaced with another Eligible Asset or Eligible Assets in accordance with Section 7.3 hereof within ten (10) Business Days after the period of notice required by Section 7.3), 8.22, 8.24, 8.25, 8.29 or 8.30 hereof or of any provision in any Loan Document dealing with the use, disposition or remittance of the proceeds of Collateral or requiring the maintenance of insurance thereon;</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(c)default in the observance or performance of any other provision hereof or of any other Loan Document which is not remedied within thirty (30) days after the earlier of (i) the date on which such failure shall first become known to any Responsible Officer of the Borrower or (ii) written notice thereof is given to the Borrower by the Administrative Agent; provided, however, if such a default is susceptible of cure but cannot reasonably be cured within such thirty (30) day period and provided further that the Borrower shall have commenced to cure such default within such thirty (30) day period and thereafter diligently and expeditiously proceeds to cure the same, such thirty (30) day period shall be extended for such time as is reasonably necessary for the Borrower in the exercise of due diligence to cure such default, provided such additional period shall not exceed sixty (60) days;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 provided, that such breach of a representation or warranty shall not constitute an Event of Default if within ten (10) days of the Borrower’s knowledge of such breach, the Borrower takes such action as may be required to make such representation or warranty to be true in all material respects as made and it did not have a Material Adverse Effect;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(e)any event occurs or condition exists (other than those described in subsections (a) through (d) above) which is specified as an event of default under any of the other Loan Documents (and the related grace period, if any, shall have expired), or any of the Loan Documents shall for any reason not be or shall cease to be in full force and effect or is declared to be null and void;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(f)default and expiration of any cure periods related thereto shall occur under (x) any nonrecourse Indebtedness for Borrowed Money issued, assumed or guaranteed by the Borrower or any Subsidiary aggregating in excess of $20,000,000 or (y) any recourse Indebtedness for Borrowed Money issued, assumed or guaranteed by the Borrower or any Subsidiary aggregating in excess of $10,000,000, or a default and expiration of any cure periods related thereto, shall occur under any indenture, agreement or other instrument under which such Indebtedness for Borrowed Money may be issued, and such default shall continue for a period of time sufficient to permit the acceleration of the maturity of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any such Indebtedness for Borrowed Money (whether or not such maturity is in fact accelerated), or any such Indebtedness for Borrowed Money shall not be paid when due (whether by demand, lapse of time, acceleration or otherwise);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(g)any judgment or judgments, writ or writs or warrant or warrants of attachment, or any similar process or processes, shall be entered or filed against the Borrower or any Subsidiary, or against any of its Property or other assets, in an aggregate amount in excess of $5,000,000 (except to the extent fully covered by insurance pursuant to which the insurer has accepted liability therefor in writing), and which remains undischarged, unvacated, unbonded or unstayed for a period of thirty (30) days;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(h)the Borrower or any Subsidiary, or any member of its Controlled Group, shall fail to pay when due an amount or amounts aggregating in excess of $10,000,000 which it shall have become liable to pay to the PBGC or to a Plan under Title IV of ERISA; or notice of intent to terminate a Plan or Plans having aggregate Unfunded Vested Liabilities in excess of $5,000,000 (collectively, a “Material Plan”) shall be filed under Title IV of ERISA by the Borrower or any Subsidiary,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Borrower or any Subsidiary,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(i)any Change of Control shall occur;</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(j)the Borrower or any Material Subsidiary shall (i) have entered involuntarily against it an order for relief under the United States 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Property or other assets,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within sixty (60) days, (vi) take any board of director or shareholder action (including the convening of a meeting) in furtherance of any matter described in parts (i) through (v) above, or (vii) fail to contest in good faith any appointment or proceeding described in Section 9.1(k) 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(k)a custodian, receiver, trustee, examiner, liquidator or similar official shall be appointed for the Borrower or any Subsidiary, or any substantial part of any of its Property or other assets, or a proceeding described in Section 9.1(j)(v) shall be instituted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against the Borrower or any Subsidiary, and such appointment continues undischarged or such proceeding continues undismissed or unstayed for a period of sixty (60) days;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(l)the common stock of the Borrower fails to be duly listed on the New York Stock Exchange, the NYSE American or The NASDAQ Stock Market; or</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(m)any material provision of any Loan Document, at any time after its execution and delivery and for any reason other than in accordance with the terms hereof or thereof, or satisfaction in full or all the Obligations, is revoked, terminated, cancelled or rescinded, without the prior written approval of the Administrative Agent; or any Borrower or any Guarantor commences any legal proceeding at law or in equity to contest, or make unenforceable, cancel, revoke or rescind any of the Loan Documents, or any court or any other Governmental Authority of competent jurisdiction shall make a determination that, or issue a judgment, order, decree or ruling to the effect that, any one or more of the Loan Documents is illegal, invalid or unenforceable as to any material terms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15.2</w:t>
      </w:r>
      <w:bookmarkStart w:id="2541" w:name="_Toc209549832"/>
      <w:bookmarkEnd w:id="2541"/>
      <w:r>
        <w:rPr>
          <w:rFonts w:ascii="Times New Roman;Times;serif" w:hAnsi="Times New Roman;Times;serif"/>
          <w:sz w:val="24"/>
        </w:rPr>
        <w:t>Non-Bankruptcy Defaults</w:t>
      </w:r>
      <w:r>
        <w:rPr>
          <w:rFonts w:ascii="Times New Roman;Times;serif" w:hAnsi="Times New Roman;Times;serif"/>
          <w:i/>
          <w:sz w:val="24"/>
        </w:rPr>
        <w:t>.</w:t>
      </w:r>
      <w:r>
        <w:rPr>
          <w:rFonts w:ascii="Times New Roman;Times;serif" w:hAnsi="Times New Roman;Times;serif"/>
          <w:sz w:val="24"/>
        </w:rPr>
        <w:t xml:space="preserve">  When any Event of Default (other than those described in subsection (j) or (k) of Section 9.1 hereof)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and (b) if so directed by the 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The Administrative Agent, after giving notice to the Borrower pursuant to Section 9.1(c) or this Section 9.2, shall also promptly send a copy of such notice to the other Lenders, but the failure to do so shall not impair or annul the effect of such notice.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15.3</w:t>
      </w:r>
      <w:bookmarkStart w:id="2542" w:name="_Toc209549833"/>
      <w:bookmarkEnd w:id="2542"/>
      <w:r>
        <w:rPr>
          <w:rFonts w:ascii="Times New Roman;Times;serif" w:hAnsi="Times New Roman;Times;serif"/>
          <w:sz w:val="24"/>
        </w:rPr>
        <w:t>Bankruptcy Defaults.  When any Event of Default described in subsections (j) or (k) of Section 9.1 hereof has occurred and is continuing, then all outstanding Loans shall immediately become due and payable together with all other amounts payable under the Loan Documents without presentment, demand, protest or notice of any kind.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15.4</w:t>
      </w:r>
      <w:bookmarkStart w:id="2543" w:name="_Toc209549834"/>
      <w:bookmarkEnd w:id="2543"/>
      <w:r>
        <w:rPr>
          <w:rFonts w:ascii="Times New Roman;Times;serif" w:hAnsi="Times New Roman;Times;serif"/>
          <w:sz w:val="24"/>
        </w:rPr>
        <w:t>Notice of Default.  The Administrative Agent shall give notice to the Borrower under Section 9.1 hereof promptly upon being requested to do so by any Lender and shall thereupon notify all the Lenders thereof.</w:t>
      </w:r>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16.</w:t>
      </w:r>
      <w:bookmarkStart w:id="2544" w:name="_Toc209549835"/>
      <w:bookmarkEnd w:id="2544"/>
      <w:r>
        <w:rPr>
          <w:rFonts w:ascii="Times New Roman;Times;serif" w:hAnsi="Times New Roman;Times;serif"/>
          <w:caps/>
          <w:sz w:val="24"/>
        </w:rPr>
        <w:t>Change in Circumstances</w:t>
      </w:r>
      <w:r>
        <w:rPr>
          <w:rFonts w:ascii="Times New Roman Bold" w:hAnsi="Times New Roman Bold"/>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16.1</w:t>
      </w:r>
      <w:bookmarkStart w:id="2545" w:name="_Toc209549836"/>
      <w:bookmarkEnd w:id="2545"/>
      <w:r>
        <w:rPr>
          <w:rFonts w:ascii="Times New Roman;Times;serif" w:hAnsi="Times New Roman;Times;serif"/>
          <w:sz w:val="24"/>
        </w:rPr>
        <w:t xml:space="preserve">Change of Law.  Notwithstanding any other provisions of this Agreement or any other Loan Document, if at any time any Change in Law makes it unlawful for any Lender to make or continue to maintain any SOFR Rate Loans or to perform its obligations as contemplated hereby related to SOFR Rate Loans, such Lender shall promptly give written notice thereof to the Borrower and such Lender’s obligations to make or maintain SOFR Rate Loans under this Agreement shall be suspended until it is no longer unlawful for such Lender to make or maintain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SOFR Rate Loans.  The Borrower shall promptly prepay the outstanding principal amount of any such affected SOFR Rate Loans, together with all interest accrued thereon and all other amounts then due and payable to such Lender under this Agreement or, subject to all of the terms and conditions of this Agreement, convert such affected SOFR Rate Loans into Base Rate Loans; </w:t>
      </w:r>
      <w:r>
        <w:rPr>
          <w:rFonts w:ascii="Times New Roman;Times;serif" w:hAnsi="Times New Roman;Times;serif"/>
          <w:b w:val="false"/>
          <w:i/>
          <w:sz w:val="24"/>
        </w:rPr>
        <w:t>provided,</w:t>
      </w:r>
      <w:r>
        <w:rPr>
          <w:rFonts w:ascii="Times New Roman;Times;serif" w:hAnsi="Times New Roman;Times;serif"/>
          <w:caps w:val="false"/>
          <w:smallCaps w:val="false"/>
          <w:sz w:val="24"/>
        </w:rPr>
        <w:t xml:space="preserve"> </w:t>
      </w:r>
      <w:r>
        <w:rPr>
          <w:rFonts w:ascii="Times New Roman;Times;serif" w:hAnsi="Times New Roman;Times;serif"/>
          <w:b w:val="false"/>
          <w:i/>
          <w:sz w:val="24"/>
        </w:rPr>
        <w:t>however,</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subject to all of the terms and conditions of this Agreement (unless the affected SOFR Rate Loans are converted into Base Rate Loans), the Borrower may then elect to borrow the principal amount of the affected SOFR Rate Loans from such Lender by means of Base Rate Loans from such Lender, which Base Rate Loans shall not be made ratably by the Lenders but only from such affected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16.2</w:t>
      </w:r>
      <w:bookmarkStart w:id="2546" w:name="_Toc209549837"/>
      <w:bookmarkEnd w:id="2546"/>
      <w:r>
        <w:rPr>
          <w:rFonts w:ascii="Times New Roman;Times;serif" w:hAnsi="Times New Roman;Times;serif"/>
          <w:sz w:val="24"/>
        </w:rPr>
        <w:t xml:space="preserve">Temporary Inability to Determine Rates; Alternate Rate of Interest.  If (A) the Administrative Agent determines (which determination shall be conclusive and binding absent manifest error) that </w:t>
      </w:r>
      <w:bookmarkStart w:id="2547" w:name="_cp_change_485"/>
      <w:bookmarkEnd w:id="2547"/>
      <w:r>
        <w:rPr>
          <w:rFonts w:ascii="Times New Roman;Times;serif" w:hAnsi="Times New Roman;Times;serif"/>
          <w:color w:val="FF0000"/>
          <w:sz w:val="24"/>
        </w:rPr>
        <w:t xml:space="preserve">Adjusted </w:t>
      </w:r>
      <w:r>
        <w:rPr>
          <w:rFonts w:ascii="Times New Roman;Times;serif" w:hAnsi="Times New Roman;Times;serif"/>
          <w:sz w:val="24"/>
        </w:rPr>
        <w:t xml:space="preserve">Daily Simple SOFR or </w:t>
      </w:r>
      <w:bookmarkStart w:id="2548" w:name="_cp_change_486"/>
      <w:bookmarkEnd w:id="2548"/>
      <w:r>
        <w:rPr>
          <w:rFonts w:ascii="Times New Roman;Times;serif" w:hAnsi="Times New Roman;Times;serif"/>
          <w:color w:val="FF0000"/>
          <w:sz w:val="24"/>
        </w:rPr>
        <w:t xml:space="preserve">Adjusted </w:t>
      </w:r>
      <w:r>
        <w:rPr>
          <w:rFonts w:ascii="Times New Roman;Times;serif" w:hAnsi="Times New Roman;Times;serif"/>
          <w:sz w:val="24"/>
        </w:rPr>
        <w:t xml:space="preserve">Term SOFR cannot be determined pursuant to the definition thereof or (B) the Required Lenders determine that for any reason in connection with any request for a SOFR Rate Loan or a conversion thereto or a continuation thereof that </w:t>
      </w:r>
      <w:bookmarkStart w:id="2549" w:name="_cp_change_487"/>
      <w:bookmarkEnd w:id="2549"/>
      <w:r>
        <w:rPr>
          <w:rFonts w:ascii="Times New Roman;Times;serif" w:hAnsi="Times New Roman;Times;serif"/>
          <w:color w:val="FF0000"/>
          <w:sz w:val="24"/>
        </w:rPr>
        <w:t xml:space="preserve">Adjusted </w:t>
      </w:r>
      <w:r>
        <w:rPr>
          <w:rFonts w:ascii="Times New Roman;Times;serif" w:hAnsi="Times New Roman;Times;serif"/>
          <w:sz w:val="24"/>
        </w:rPr>
        <w:t xml:space="preserve">Daily Simple SOFR or </w:t>
      </w:r>
      <w:bookmarkStart w:id="2550" w:name="_cp_change_488"/>
      <w:bookmarkEnd w:id="2550"/>
      <w:r>
        <w:rPr>
          <w:rFonts w:ascii="Times New Roman;Times;serif" w:hAnsi="Times New Roman;Times;serif"/>
          <w:color w:val="FF0000"/>
          <w:sz w:val="24"/>
        </w:rPr>
        <w:t xml:space="preserve">Adjusted </w:t>
      </w:r>
      <w:r>
        <w:rPr>
          <w:rFonts w:ascii="Times New Roman;Times;serif" w:hAnsi="Times New Roman;Times;serif"/>
          <w:sz w:val="24"/>
        </w:rPr>
        <w:t>Term SOFR for any requested Interest Period with respect to a proposed SOFR Rate Loan does not adequately and fairly reflect the cost to such Lenders of funding such Loan, and the Required Lenders have provided notice of such determination to the Administrative Agent, in each case of (A) and (B) with respect to a Term SOFR Rate Loan, on or prior to the first day of any Interest Period, the Administrative Agent will promptly so notify the Borrower and each Lender.  Upon notice thereof by the Administrative Agent to the Borrower, (i) any obligation of the Lenders to make or continue the applicable SOFR Rate Loans or to convert Base Rate Loans to SOFR Rate Loans shall be suspended (to the extent of the affected Interest Periods) until the Administrative Agent revokes such notice and (ii) if such determination affects the calculation of the Base Rate, the Administrative Agent shall during the period of such suspension compute the Base Rate without reference to clause (c) of the definition of “Base Rate” until the Administrative Agent revokes such notice. Upon receipt of such notice, (i) the Borrower may revoke any pending request for a borrowing of, conversion to or continuation of any applicable SOFR Rate Loans (to the extent of the affected SOFR Rate Loans or affected Interest Periods) or, failing that, the Borrower will be deemed to have converted any such request into a request for a Borrowing of or conversion to Base Rate Loans in the amount specified therein and (ii) any outstanding affected SOFR Rate Loans will be deemed to have been converted into Base Rate Loans at the end of the applicable Interest Period, in respect of Term SOFR Rate Loans, or immediately in respect of Daily Simple SOFR Rate Loans.  Upon any such conversion, the Borrower shall also pay accrued interest on the amount so converted, together with any additional amounts required pursuant to Section 1.11.   If the Administrative Agent determines (which determination shall be conclusive and binding absent manifest error) that “</w:t>
      </w:r>
      <w:bookmarkStart w:id="2551" w:name="_cp_change_489"/>
      <w:bookmarkEnd w:id="2551"/>
      <w:r>
        <w:rPr>
          <w:rFonts w:ascii="Times New Roman;Times;serif" w:hAnsi="Times New Roman;Times;serif"/>
          <w:color w:val="FF0000"/>
          <w:sz w:val="24"/>
        </w:rPr>
        <w:t xml:space="preserve">Adjusted </w:t>
      </w:r>
      <w:r>
        <w:rPr>
          <w:rFonts w:ascii="Times New Roman;Times;serif" w:hAnsi="Times New Roman;Times;serif"/>
          <w:sz w:val="24"/>
        </w:rPr>
        <w:t>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The Administrative Agent shall promptly revoke any such determination promptly upon the circumstances leading to such determination ceasing to exist.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16.3</w:t>
      </w:r>
      <w:bookmarkStart w:id="2552" w:name="_Toc209549838"/>
      <w:bookmarkEnd w:id="2552"/>
      <w:r>
        <w:rPr>
          <w:rFonts w:ascii="Times New Roman;Times;serif" w:hAnsi="Times New Roman;Times;serif"/>
          <w:sz w:val="24"/>
        </w:rPr>
        <w:t>Increased Cost and Reduced Return.</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(a)Increased Costs Generally. If any Change in Law shall:</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(i)subject any Lender (or its Lending Office) to any Tax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 xml:space="preserve">(ii)impose, modify or deem applicable any reserve, special deposit, compulsory loan, insurance charge or similar requirement (including, without limitation, any such requirement imposed by the Board of Governors of the Federal Reserve System) against assets of, deposits with or for the account of, or credit extended by, any Lender (or its Lending Office) or on the interbank market any other condition affecting its SOFR Rate Loans, it Notes or its obligations to make SOFR Rate Loans;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and the result of any of the foregoing is to increase the cost to such Lender (or its Lending Office) or to reduce the amount of any sum received or receivable by such Lender (or its Lending Office) or under any other Loan Document with respect thereto, by an amount deemed by such Lender to be material, then, within 15 days after demand by such Lender (with a copy to the Administrative Agent), the Borrower shall be obligated to pay to such Lender such additional amount or amounts as will compensate such Lender for such increased cost or reduction.</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(b)Capital Requirements.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within 15 days after demand by such Lender (with a copy to the Administrative Agent), the Borrower shall pay to such Lender, as the case may be, such additional amount or amounts as will compensate such Lender or such Lender’s holding company for any such reduction suffered.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(c)Certificates for Reimbursement. A certificate of a Lender setting forth the amount or amounts necessary to compensate such Lender or its holding company, as the case may be, as specified in subsection (a) or (b) of this Section and delivered to the Borrower, shall be conclusive absent manifest error. The Borrower shall pay such Lender the amount shown as due on any such certificate within ten (10) days after receipt thereof.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(d)Delay in Requests. Failure or delay on the part of any Lender to demand compensation pursuant to this Section shall not constitute a waiver of such Lender’s right to demand such compensation; provided that the Borrower shall not be required to compensate a Lender pursuant to this Section for any increased costs incurred or reductions suffered more than nine months prior to the date that such Lender, as the case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16.4</w:t>
      </w:r>
      <w:bookmarkStart w:id="2553" w:name="_Toc209549839"/>
      <w:bookmarkEnd w:id="2553"/>
      <w:r>
        <w:rPr>
          <w:rFonts w:ascii="Times New Roman;Times;serif" w:hAnsi="Times New Roman;Times;serif"/>
          <w:sz w:val="24"/>
        </w:rPr>
        <w:t>Lending Offices.  Each Lender may, at its option, elect to make its Loans hereunder at the branch, office or affiliate specified on the appropriate signature page hereof (each a “</w:t>
      </w:r>
      <w:r>
        <w:rPr>
          <w:rFonts w:ascii="Times New Roman;Times;serif" w:hAnsi="Times New Roman;Times;serif"/>
          <w:i/>
          <w:sz w:val="24"/>
        </w:rPr>
        <w:t>Lending</w:t>
      </w:r>
      <w:r>
        <w:rPr>
          <w:rFonts w:ascii="Times New Roman;Times;serif" w:hAnsi="Times New Roman;Times;serif"/>
          <w:sz w:val="24"/>
        </w:rPr>
        <w:t xml:space="preserve"> </w:t>
      </w:r>
      <w:r>
        <w:rPr>
          <w:rFonts w:ascii="Times New Roman;Times;serif" w:hAnsi="Times New Roman;Times;serif"/>
          <w:i/>
          <w:sz w:val="24"/>
        </w:rPr>
        <w:t>Office”</w:t>
      </w:r>
      <w:r>
        <w:rPr>
          <w:rFonts w:ascii="Times New Roman;Times;serif" w:hAnsi="Times New Roman;Times;serif"/>
          <w:sz w:val="24"/>
        </w:rPr>
        <w:t>) for each type of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SOFR Rate Loans to reduce any liability of the Borrower to such Lender under Section 10.3 hereof or to avoid the unavailability of SOFR Rate Loans under Section 10.2 hereof, so long as such designation is not otherwise disadvantageous to the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16.5</w:t>
      </w:r>
      <w:bookmarkStart w:id="2554" w:name="_Toc209549840"/>
      <w:bookmarkEnd w:id="2554"/>
      <w:r>
        <w:rPr>
          <w:rFonts w:ascii="Times New Roman;Times;serif" w:hAnsi="Times New Roman;Times;serif"/>
          <w:sz w:val="24"/>
        </w:rPr>
        <w:t>Discretion of Lender as to Manner of Funding.  Notwithstanding any other provision of this Agreement, each Lender shall be entitled to fund and maintain its funding of all or any part of its Loans in any manner it sees fit, it being understood, however, that for the purposes of this Agreement all determinations hereunder with respect to Term SOFR Rate Loans shall be made as if each Lender had actually funded and maintained each Term SOFR Rate Loan through the purchase of deposits in the applicable interbank market having a maturity corresponding to such Loan’s Interest Period, and bearing an interest rate equal to Term SOFR for any applicable Interest Period.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16.6</w:t>
      </w:r>
      <w:bookmarkStart w:id="2555" w:name="_Toc209549841"/>
      <w:bookmarkEnd w:id="2555"/>
      <w:r>
        <w:rPr>
          <w:rFonts w:ascii="Times New Roman;Times;serif" w:hAnsi="Times New Roman;Times;serif"/>
          <w:sz w:val="24"/>
        </w:rPr>
        <w:t>Permanent Inability to Determine Rate; Benchmark Replacement.  </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(a)Benchmark Replacement.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Chicago time,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No replacement of the then-current Benchmark with a Benchmark Replacement pursuant to this Section 10.6 will occur prior to the applicable Benchmark Transition Start Date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(b)Benchmark Replacement Conforming Changes.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(c)Notices; Standards for Decisions and Determinations. The Administrative Agent will promptly notify the Borrower and the Lenders of the implementation of any Benchmark Replacement and the effectiveness of any Conforming Changes. The Administrative Agent will notify the Borrower of (x) the removal or reinstatement of any tenor of a Benchmark and (y) the commencement of any Benchmark Unavailability Period. Any determination, decision or election that may be made by the Administrative Agent or Lenders pursuant to this Section 10.6,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10.6.</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(d)Unavailability of Tenor of Benchmark. Notwithstanding anything to the contrary herein or in any other Loan Document, at any time (including in connection with the implementation of a Benchmark Replacement), (i) if any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(e)Benchmark Unavailability Period. Upon the Borrower’s receipt of notice of the commencement of a Benchmark Unavailability Period, the Borrower may revoke any request for the applicable SOFR Borrowing of, conversion to or continuation of SOFR Rate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w:t>
      </w:r>
      <w:bookmarkStart w:id="2556" w:name="_cp_change_490"/>
      <w:bookmarkEnd w:id="2556"/>
      <w:r>
        <w:rPr>
          <w:rFonts w:ascii="Times New Roman;Times;serif" w:hAnsi="Times New Roman;Times;serif"/>
          <w:color w:val="FF0000"/>
          <w:sz w:val="24"/>
        </w:rPr>
        <w:t xml:space="preserve">Adjusted </w:t>
      </w:r>
      <w:r>
        <w:rPr>
          <w:rFonts w:ascii="Times New Roman;Times;serif" w:hAnsi="Times New Roman;Times;serif"/>
          <w:sz w:val="24"/>
        </w:rPr>
        <w:t>Term SOFR (or then-current Benchmark) will not be used in any determination of Base Rate.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17.</w:t>
      </w:r>
      <w:bookmarkStart w:id="2557" w:name="_Toc209549842"/>
      <w:bookmarkEnd w:id="2557"/>
      <w:r>
        <w:rPr>
          <w:rFonts w:ascii="Times New Roman;Times;serif" w:hAnsi="Times New Roman;Times;serif"/>
          <w:caps/>
          <w:sz w:val="24"/>
        </w:rPr>
        <w:t>The Administrative Agent</w:t>
      </w:r>
      <w:r>
        <w:rPr>
          <w:rFonts w:ascii="Times New Roman Bold" w:hAnsi="Times New Roman Bold"/>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17.1</w:t>
      </w:r>
      <w:bookmarkStart w:id="2558" w:name="_Toc209549843"/>
      <w:bookmarkEnd w:id="2558"/>
      <w:r>
        <w:rPr>
          <w:rFonts w:ascii="Times New Roman;Times;serif" w:hAnsi="Times New Roman;Times;serif"/>
          <w:sz w:val="24"/>
        </w:rPr>
        <w:t>Appointment and Authority.  Each of the Lenders hereby irrevocably appoints KeyBank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and the Lenders, and neither the Borrower nor any Guarantor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17.2</w:t>
      </w:r>
      <w:bookmarkStart w:id="2559" w:name="_Toc209549844"/>
      <w:bookmarkEnd w:id="2559"/>
      <w:r>
        <w:rPr>
          <w:rFonts w:ascii="Times New Roman;Times;serif" w:hAnsi="Times New Roman;Times;serif"/>
          <w:sz w:val="24"/>
        </w:rPr>
        <w:t>Rights as a Lender.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17.3</w:t>
      </w:r>
      <w:bookmarkStart w:id="2560" w:name="_Toc209549845"/>
      <w:bookmarkEnd w:id="2560"/>
      <w:r>
        <w:rPr>
          <w:rFonts w:ascii="Times New Roman;Times;serif" w:hAnsi="Times New Roman;Times;serif"/>
          <w:sz w:val="24"/>
        </w:rPr>
        <w:t>Action by Administrative Agent; Exculpatory Provisions. (a) 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(i)shall not be subject to any fiduciary or other implied duties, regardless of whether a Default has occurred and is continuing;</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 xml:space="preserve">(ii)shall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i/>
          <w:sz w:val="24"/>
        </w:rPr>
        <w:t>provided</w:t>
      </w:r>
      <w:r>
        <w:rPr>
          <w:rFonts w:ascii="Times New Roman;Times;serif" w:hAnsi="Times New Roman;Times;serif"/>
          <w:sz w:val="24"/>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(iii)shall not, except as expressly set forth herein and in the other Loan Documents, have any duty or responsibility to disclose, and shall not be liable for the failure to disclose, any information relating to the Borrower or any of its Affiliates or any Guarantor or any of their Affiliates that is communicated to or obtained by the Person serving as the Administrative Agent or any of its Affiliates in any capacity.</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9.2, 9.3, 9.4 and 12.13),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to the Administrative Agent in writing by the Borrower or a Lender.</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(c)Neither the Administrative Agent nor any of its Related Parties shall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Section 7.1 or 7.2 or elsewhere herein, other than to confirm receipt of items expressly required to be delivered to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17.4</w:t>
      </w:r>
      <w:bookmarkStart w:id="2561" w:name="_Toc209549846"/>
      <w:bookmarkEnd w:id="2561"/>
      <w:r>
        <w:rPr>
          <w:rFonts w:ascii="Times New Roman;Times;serif" w:hAnsi="Times New Roman;Times;serif"/>
          <w:sz w:val="24"/>
        </w:rPr>
        <w:t xml:space="preserve">Reliance by Administrative Agent.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the Administrative Agent may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presume that such condition is satisfactory to such Lender unless the Administrative Agent shall have received notice to the contrary from such Lender prior to the making of such Loan.  The Administrative Agent may consult with legal counsel (who may be counsel for the Borrower or Guarantors), independent accountants and other experts selected by it, and shall not be liable for any action taken or not taken by it in accordance with the advice of any such counsel, accountants or experts.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17.5</w:t>
      </w:r>
      <w:bookmarkStart w:id="2562" w:name="_Toc209549847"/>
      <w:bookmarkEnd w:id="2562"/>
      <w:r>
        <w:rPr>
          <w:rFonts w:ascii="Times New Roman;Times;serif" w:hAnsi="Times New Roman;Times;serif"/>
          <w:sz w:val="24"/>
        </w:rPr>
        <w:t>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17.6</w:t>
      </w:r>
      <w:bookmarkStart w:id="2563" w:name="_Toc209549848"/>
      <w:bookmarkEnd w:id="2563"/>
      <w:r>
        <w:rPr>
          <w:rFonts w:ascii="Times New Roman;Times;serif" w:hAnsi="Times New Roman;Times;serif"/>
          <w:sz w:val="24"/>
        </w:rPr>
        <w:t>Resignation of Administrative Agent; Removal of Administrative Agent.  (a) The Administrative Agent may at any time give notice of its resignation to the Lenders and the Borrower.  The Required Lenders may remove the Administrative Agent from its capacity as Administrative Agent in the event of the Administrative Agent’s willful misconduct or gross negligence.  Upon receipt of any such notice of resignation or removal, the Required Lenders shall have the right, in consultation with the Borrower, to appoint a successor, which shall 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after removal by the Required Lenders (or such earlier day as shall be agreed by the Required Lenders) (the “</w:t>
      </w:r>
      <w:r>
        <w:rPr>
          <w:rFonts w:ascii="Times New Roman;Times;serif" w:hAnsi="Times New Roman;Times;serif"/>
          <w:i/>
          <w:sz w:val="24"/>
        </w:rPr>
        <w:t>Resignation</w:t>
      </w:r>
      <w:r>
        <w:rPr>
          <w:rFonts w:ascii="Times New Roman;Times;serif" w:hAnsi="Times New Roman;Times;serif"/>
          <w:sz w:val="24"/>
        </w:rPr>
        <w:t xml:space="preserve"> </w:t>
      </w:r>
      <w:r>
        <w:rPr>
          <w:rFonts w:ascii="Times New Roman;Times;serif" w:hAnsi="Times New Roman;Times;serif"/>
          <w:i/>
          <w:sz w:val="24"/>
        </w:rPr>
        <w:t>Effective</w:t>
      </w:r>
      <w:r>
        <w:rPr>
          <w:rFonts w:ascii="Times New Roman;Times;serif" w:hAnsi="Times New Roman;Times;serif"/>
          <w:sz w:val="24"/>
        </w:rPr>
        <w:t xml:space="preserve"> </w:t>
      </w:r>
      <w:r>
        <w:rPr>
          <w:rFonts w:ascii="Times New Roman;Times;serif" w:hAnsi="Times New Roman;Times;serif"/>
          <w:i/>
          <w:sz w:val="24"/>
        </w:rPr>
        <w:t>Date”</w:t>
      </w:r>
      <w:r>
        <w:rPr>
          <w:rFonts w:ascii="Times New Roman;Times;serif" w:hAnsi="Times New Roman;Times;serif"/>
          <w:sz w:val="24"/>
        </w:rPr>
        <w:t>), then the retiring Administrative Agent may (but shall not be obligated to), on behalf of the Lenders, appoint a successor Administrative Agent meeting the qualifications set forth above.  Whether or not a successor has been appointed, such resignation or removal shall become effective in accordance with such notice on the Resignation Effective Date.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(b)With effect from the Resignation Effective Date, (i) the retiring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If on the Resignation Effective Date no successor has been appointed and accepted such appointment, the Administrative Agent’s rights in the Collateral Documents shall be assigned without representation, recourse or warranty to the Lenders as their interests may appear. Upon the acceptance of a successor’s appointment as Administrative Agent hereunder, such successor shall succeed to and become vested with all of the rights, powers, privileges and duties of the retiring Administrative Agent (other than any rights to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11 and Section 12.15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17.7</w:t>
      </w:r>
      <w:bookmarkStart w:id="2564" w:name="_Toc209549849"/>
      <w:bookmarkEnd w:id="2564"/>
      <w:r>
        <w:rPr>
          <w:rFonts w:ascii="Times New Roman;Times;serif" w:hAnsi="Times New Roman;Times;serif"/>
          <w:sz w:val="24"/>
        </w:rPr>
        <w:t>Non-Reliance on Administrative Agent and Other Lenders.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bookmarkStart w:id="2565" w:name="_DV_C555"/>
      <w:bookmarkEnd w:id="2565"/>
      <w:r>
        <w:rPr>
          <w:rFonts w:ascii="Times New Roman;Times;serif" w:hAnsi="Times New Roman;Times;serif"/>
          <w:sz w:val="24"/>
        </w:rPr>
        <w:t xml:space="preserve">  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the federal or state securities laws), (iii) it has, independently and without reliance upon the Administrative Agent, any Arranger, any Syndication Agent, any documentation agent or any other Lender,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Upon a Lender’s written request, the Administrative Agent agrees to forward to such Lender, when complete, copies of any field audit, examination, or appraisal report prepared by or for the Administrative Agent with respect to the Borrower or any Material Subsidiary or the Collateral (herein, “Reports”).  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Borrower and the other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Material Subsidiaries and will rely significantly upon the books and records of the Borrower and the other Material Subsidiaries, as well as on representations of personnel of the Borrower and the other Material Subsidiaries, and that the Administrative Agent undertakes no obligation to update, correct or supplement the Reports; (d) it will keep all Reports confidential and strictly for its internal use, not share the Report with any other Person except as otherwise permitted pursuant to this Agreement; and (e) without limiting the generality of </w:t>
      </w:r>
      <w:bookmarkStart w:id="2566" w:name="_Toc33604089"/>
      <w:bookmarkStart w:id="2567" w:name="_DV_C556"/>
      <w:bookmarkEnd w:id="2566"/>
      <w:bookmarkEnd w:id="2567"/>
      <w:r>
        <w:rPr>
          <w:rFonts w:ascii="Times New Roman;Times;serif" w:hAnsi="Times New Roman;Times;serif"/>
          <w:sz w:val="24"/>
        </w:rPr>
        <w:t>any other indemnification provision contained in this Agreement,</w:t>
      </w:r>
      <w:bookmarkStart w:id="2568" w:name="_Toc33603732"/>
      <w:bookmarkStart w:id="2569" w:name="_DV_C557"/>
      <w:bookmarkEnd w:id="2568"/>
      <w:bookmarkEnd w:id="2569"/>
      <w:r>
        <w:rPr>
          <w:rFonts w:ascii="Times New Roman;Times;serif" w:hAnsi="Times New Roman;Times;serif"/>
          <w:sz w:val="24"/>
        </w:rPr>
        <w:t xml:space="preserve">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17.8</w:t>
      </w:r>
      <w:bookmarkStart w:id="2570" w:name="_Toc209549850"/>
      <w:bookmarkEnd w:id="2570"/>
      <w:r>
        <w:rPr>
          <w:rFonts w:ascii="Times New Roman;Times;serif" w:hAnsi="Times New Roman;Times;serif"/>
          <w:sz w:val="24"/>
        </w:rPr>
        <w:t>Reserved</w:t>
      </w:r>
      <w:r>
        <w:rPr>
          <w:rFonts w:ascii="Times New Roman;Times;serif" w:hAnsi="Times New Roman;Times;serif"/>
          <w:i/>
          <w:sz w:val="24"/>
        </w:rPr>
        <w:t>.</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17.9</w:t>
      </w:r>
      <w:bookmarkStart w:id="2571" w:name="_Toc209549851"/>
      <w:bookmarkEnd w:id="2571"/>
      <w:r>
        <w:rPr>
          <w:rFonts w:ascii="Times New Roman;Times;serif" w:hAnsi="Times New Roman;Times;serif"/>
          <w:sz w:val="24"/>
        </w:rPr>
        <w:t>Hedging Liability and Funds Transfer and Deposit Account Liability</w:t>
      </w:r>
      <w:r>
        <w:rPr>
          <w:rFonts w:ascii="Times New Roman;Times;serif" w:hAnsi="Times New Roman;Times;serif"/>
          <w:i/>
          <w:sz w:val="24"/>
        </w:rPr>
        <w:t>.</w:t>
      </w:r>
      <w:r>
        <w:rPr>
          <w:rFonts w:ascii="Times New Roman;Times;serif" w:hAnsi="Times New Roman;Times;serif"/>
          <w:sz w:val="24"/>
        </w:rPr>
        <w:t xml:space="preserve">  By virtue of a Lender’s execution of this Agreement or an assignment agreement pursuant to Section 12.10, as the case may be, any Affiliate of such Lender (including any Hedging Counterparty) with whom the Borrower or any other Material Subsidiary has entered into an agreement creating Hedging Liability or Funds Transfer and Deposit Account Liability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Guaranties as more fully set forth in Section 3.1.  In connection with any such distribution of payments and collections, or any request for the release of the Guaranties and the Administrative Agent’s Liens in connection with the termination of the Commitments, and the payment in full of the Obligations, the Administrative Agent shall be entitled to assume no amounts are due to any Lender or its Affiliate with respect to Hedging Liability or Funds Transfer and Deposit Account Liability unless such Lender has notified the Administrative Agent in writing of the amount of any such liability owed to it or its Affiliate prior to such distribution or payment or release of Guaranties and Liens.  Without limiting the generality of the foregoing, (i) each such Affiliate shall, for the avoidance of doubt, be deemed to have agreed to the provisions of Section 3.1(c) and (ii) no such Affiliate shall have any right to notice of any action or to consent to, direct or object to any action hereunder or under any other Loan Document or otherwise in respect of the Collateral (including the release or impairment of any Collateral).  Notwithstanding any other provision of this Section 11.9 to the contrary, the Administrative Agent shall not be required to verify the payment of, or that other satisfactory arrangements have been made with respect to Hedging Liability or Funds Transfer and Deposit Account Liability unless the Administrative Agent has received written notice of such Hedging Liability or Funds Transfer and Deposit Account Liability, together with such supporting documentation as the Administrative Agent may request, from the applicable Lender or Affiliate.  For the avoidance of doubt, all references in this Section 11.9 to any Lender or Affiliate of a Lender shall include or be deemed to include each Hedging Counterparty, even if such Hedging Counterparty or any Person affiliated with such Hedging Counterparty shall cease to be a Lender hereunder, such that any such Hedging Counterparty shall continue to be entitled to all of the rights and benefits otherwise afforded to such Hedging Counterparty hereunder (including without limitation the Guaranties provided under Section 13).</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17.10</w:t>
      </w:r>
      <w:bookmarkStart w:id="2572" w:name="_Toc209549852"/>
      <w:bookmarkEnd w:id="2572"/>
      <w:r>
        <w:rPr>
          <w:rFonts w:ascii="Times New Roman;Times;serif" w:hAnsi="Times New Roman;Times;serif"/>
          <w:sz w:val="24"/>
        </w:rPr>
        <w:t xml:space="preserve">Designation of Additional Agents.  The Administrative Agent shall have the continuing right, for purposes hereof, at any time and from time to time to designate, with the consent of the Borrower, which consent shall not be unreasonably withheld or delayed, one or more of the Lenders (and/or its or their Affiliates) as “syndication agents,” “documentation agents,” “book runners,” “lead arrangers,” “arrangers,” </w:t>
      </w:r>
      <w:bookmarkStart w:id="2573" w:name="_cp_change_491"/>
      <w:bookmarkEnd w:id="2573"/>
      <w:r>
        <w:rPr>
          <w:rFonts w:ascii="Times New Roman;Times;serif" w:hAnsi="Times New Roman;Times;serif"/>
          <w:color w:val="FF0000"/>
          <w:sz w:val="24"/>
        </w:rPr>
        <w:t xml:space="preserve">“sustainability structuring agents,” </w:t>
      </w:r>
      <w:r>
        <w:rPr>
          <w:rFonts w:ascii="Times New Roman;Times;serif" w:hAnsi="Times New Roman;Times;serif"/>
          <w:sz w:val="24"/>
        </w:rPr>
        <w:t>or other designations for purposes hereto, but such designation shall have no substantive effect, and such Lenders and their Affiliates shall have no additional powers, duties or responsibilities as a result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17.11</w:t>
      </w:r>
      <w:bookmarkStart w:id="2574" w:name="_Toc209549853"/>
      <w:bookmarkEnd w:id="2574"/>
      <w:r>
        <w:rPr>
          <w:rFonts w:ascii="Times New Roman;Times;serif" w:hAnsi="Times New Roman;Times;serif"/>
          <w:sz w:val="24"/>
        </w:rPr>
        <w:t>[Intentionally Omitted].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17.12</w:t>
      </w:r>
      <w:bookmarkStart w:id="2575" w:name="_Toc209549854"/>
      <w:bookmarkEnd w:id="2575"/>
      <w:r>
        <w:rPr>
          <w:rFonts w:ascii="Times New Roman;Times;serif" w:hAnsi="Times New Roman;Times;serif"/>
          <w:sz w:val="24"/>
        </w:rPr>
        <w:t>Authorization to Release Guaranties</w:t>
      </w:r>
      <w:r>
        <w:rPr>
          <w:rFonts w:ascii="Times New Roman;Times;serif" w:hAnsi="Times New Roman;Times;serif"/>
          <w:i/>
          <w:sz w:val="24"/>
        </w:rPr>
        <w:t>.</w:t>
      </w:r>
      <w:r>
        <w:rPr>
          <w:rFonts w:ascii="Times New Roman;Times;serif" w:hAnsi="Times New Roman;Times;serif"/>
          <w:sz w:val="24"/>
        </w:rPr>
        <w:t xml:space="preserve">  The Administrative Agent is hereby irrevocably authorized by each of the Lenders and their Affiliates to release any Material Subsidiary from its obligations as a Guarantor if such Person ceases to be a Material Subsidiary as a result of a transaction permitted under the Loan Documents.  Upon the Administrative Agent’s request, the Required Lenders will confirm in writing the Administrative Agent’s authority to release any Material Subsidiary from its obligations as a Guarantor under the Loan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17.13</w:t>
      </w:r>
      <w:bookmarkStart w:id="2576" w:name="_Toc209549855"/>
      <w:bookmarkEnd w:id="2576"/>
      <w:r>
        <w:rPr>
          <w:rFonts w:ascii="Times New Roman;Times;serif" w:hAnsi="Times New Roman;Times;serif"/>
          <w:sz w:val="24"/>
        </w:rPr>
        <w:t>Authorization of Administrative Agent to File Proofs of Claim. In case of the pendency of any proceeding under any Debtor Relief Law or any other judicial proceeding relative to the Borrower or any Guarantor,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bookmarkStart w:id="2577" w:name="_DV_M830"/>
      <w:bookmarkStart w:id="2578" w:name="_DV_M829"/>
      <w:bookmarkEnd w:id="2577"/>
      <w:bookmarkEnd w:id="2578"/>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(a)to file and prove a claim for the whole amount of the principal and interest owing and unpaid in respect of the Loans and all other Obligations that are owing and unpaid and to file such other documents as may be necessary or advisable in order to have the claims of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the Loan Documents including, but not limited to, Sections 1.2, 10.3, 1.11, and 12.15) allowed in such judicial proceeding; and</w:t>
      </w:r>
      <w:bookmarkStart w:id="2579" w:name="_DV_M831"/>
      <w:bookmarkEnd w:id="2579"/>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(b)to collect and receive any monies or other property payable or deliverable on any such claims and to distribute the same;</w:t>
      </w:r>
      <w:bookmarkStart w:id="2580" w:name="_DV_M832"/>
      <w:bookmarkEnd w:id="2580"/>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2.1 and 12.15.</w:t>
      </w:r>
      <w:bookmarkStart w:id="2581" w:name="_DV_M833"/>
      <w:bookmarkEnd w:id="2581"/>
      <w:r>
        <w:rPr>
          <w:rFonts w:ascii="Times New Roman;Times;serif" w:hAnsi="Times New Roman;Times;serif"/>
          <w:sz w:val="24"/>
        </w:rPr>
        <w:t xml:space="preserve">  Nothing contained herein shall be deemed to authorize the Administrative Agent to authorize or consent to or accept or adopt on behalf of any Lender any plan of reorganization, arrangement, adjustment or composition affecting the Obligations or the rights of any Lender or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to authorize the Administrative Agent to vote in respect of the claim of any Lender in any such proceeding.</w:t>
      </w:r>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18.</w:t>
      </w:r>
      <w:bookmarkStart w:id="2582" w:name="_Toc209549856"/>
      <w:bookmarkEnd w:id="2582"/>
      <w:r>
        <w:rPr>
          <w:rFonts w:ascii="Times New Roman;Times;serif" w:hAnsi="Times New Roman;Times;serif"/>
          <w:caps/>
          <w:sz w:val="24"/>
        </w:rPr>
        <w:t>Miscellaneous</w:t>
      </w:r>
      <w:r>
        <w:rPr>
          <w:rFonts w:ascii="Times New Roman Bold" w:hAnsi="Times New Roman Bold"/>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18.1</w:t>
      </w:r>
      <w:bookmarkStart w:id="2583" w:name="_Toc209549857"/>
      <w:bookmarkEnd w:id="2583"/>
      <w:r>
        <w:rPr>
          <w:rFonts w:ascii="Times New Roman;Times;serif" w:hAnsi="Times New Roman;Times;serif"/>
          <w:sz w:val="24"/>
        </w:rPr>
        <w:t xml:space="preserve">Withholding Taxes.  (a) </w:t>
      </w:r>
      <w:r>
        <w:rPr>
          <w:rFonts w:ascii="Times New Roman;Times;serif" w:hAnsi="Times New Roman;Times;serif"/>
          <w:i/>
          <w:sz w:val="24"/>
        </w:rPr>
        <w:t>Payments</w:t>
      </w:r>
      <w:r>
        <w:rPr>
          <w:rFonts w:ascii="Times New Roman;Times;serif" w:hAnsi="Times New Roman;Times;serif"/>
          <w:sz w:val="24"/>
        </w:rPr>
        <w:t xml:space="preserve"> </w:t>
      </w:r>
      <w:r>
        <w:rPr>
          <w:rFonts w:ascii="Times New Roman;Times;serif" w:hAnsi="Times New Roman;Times;serif"/>
          <w:i/>
          <w:sz w:val="24"/>
        </w:rPr>
        <w:t>Free</w:t>
      </w:r>
      <w:r>
        <w:rPr>
          <w:rFonts w:ascii="Times New Roman;Times;serif" w:hAnsi="Times New Roman;Times;serif"/>
          <w:sz w:val="24"/>
        </w:rPr>
        <w:t xml:space="preserve"> </w:t>
      </w:r>
      <w:r>
        <w:rPr>
          <w:rFonts w:ascii="Times New Roman;Times;serif" w:hAnsi="Times New Roman;Times;serif"/>
          <w:i/>
          <w:sz w:val="24"/>
        </w:rPr>
        <w:t>of</w:t>
      </w:r>
      <w:r>
        <w:rPr>
          <w:rFonts w:ascii="Times New Roman;Times;serif" w:hAnsi="Times New Roman;Times;serif"/>
          <w:sz w:val="24"/>
        </w:rPr>
        <w:t xml:space="preserve"> </w:t>
      </w:r>
      <w:r>
        <w:rPr>
          <w:rFonts w:ascii="Times New Roman;Times;serif" w:hAnsi="Times New Roman;Times;serif"/>
          <w:i/>
          <w:sz w:val="24"/>
        </w:rPr>
        <w:t>Withholding</w:t>
      </w:r>
      <w:r>
        <w:rPr>
          <w:rFonts w:ascii="Times New Roman;Times;serif" w:hAnsi="Times New Roman;Times;serif"/>
          <w:sz w:val="24"/>
        </w:rPr>
        <w:t>.  Except as otherwise required by law and subject to Section 12.1(b) hereof, each payment by the Borrower and the Guarantors under this Agreement or the other Loan Documents shall be made without withholding for or on account of any present or future Indemnified Taxes.  If any such withholding is so required, the Borrower or 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and the Administrative Agent free and clear of such taxes (including such taxes on such additional amount) is equal to the amount which that Lender or the Administrative Agent (as the case may be) would have received had such withholding not been made.  If the Administrative Agent or any Lender pays any amount in respect of any such taxes, penalties or interest, the Borrower or such Guarantor shall reimburse the Administrative Agent or such Lender for that payment on demand in the currency in which such payment was made.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(b)U.S. Withholding Tax Exemptions. Each Lender that is not a United States person (as such term is defined in Section 7701(a)(30) of the Code) shall submit to the Borrower and the Administrative Agent on or before the date the initial Borrowing is made hereunder or, if later, the date such financial institution becomes a Lender hereunder, two duly completed and signed copies of (i) either Form W-8 BEN-E (relating to such Lender and entitling it to a complete exemption from withholding under the Code on all amounts to be received by such Lender, including fees, pursuant to the Loan Documents and the Obligations) or Form W-8 ECI (relating to all amounts to be received by such Lender, including fees, pursuant to the Loan Documents and the Obligations) of the United States Internal Revenue Service or (ii) solely if such Lender is claiming exemption from United States withholding tax under Section 871(h) or 881(c) of the Code with respect to payments of “portfolio interest”, a Form W-8 BEN-E, or any successor form prescribed by the Internal Revenue Service, and a certificate representing that such Lender is not a bank for purposes of Section 881(c) of the Code, is not a ten (10)-percent shareholder (within the meaning of Section 871(h)(3)(B) of the Code) of the Borrower and is not a controlled foreign corporation related to the Borrower (within the meaning of Section 864(d)(4) of the Code). Thereafter and from time to time, each Lender shall submit to the Borrower and the Administrative Agent such additional duly completed and signed copies of one or the other of such Forms (or such successor forms as shall be adopted from time to time by the relevant United States taxing authorities) and such other certificates as may be (i) requested by the Borrower in a written notice, directly or through the Administrative Agent, to such Lender and (ii) required under then-current United States law or regulations to avoid or reduce United States withholding taxes on payments in respect of all amounts to be received by such Lender, including fees, pursuant to the Loan Documents or the Obligations. Upon the request of the Borrower or the Administrative Agent, each Lender that is a United States person (as such term is defined in Section 7701(a)(30) of the Code) shall submit to the Borrower and the Administrative Agent a certificate to the effect that it is such a United States person.</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(c)Inability of Lender to Submit Forms. If any Lender determines, as a result of any change in applicable law, regulation or treaty, or in any official application or interpretation thereof, that it is unable to submit to the Borrower or the Administrative Agent any form or certificate that such Lender is obligated to submit pursuant to subsection (b) of this Section 12.1 or that such Lender is required to withdraw or cancel any such form or certificate previously submitted or any such form or certificate otherwise becomes ineffective or inaccurate, such Lender shall promptly notify the Borrower and Administrative Agent of such fact and the Lender shall to that extent not be obligated to provide any such form or certificate and will be entitled to withdraw or cancel any affected form or certificate, as applicable.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(d)Compliance with FATCA.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(e)Indemnification by the Lenders. Each Lender shall severally indemnify the Administrative Agent, within ten (10) days after demand therefor, for (i) any Indemnified Taxes attributable to such Lender (but only to the extent that the Borrower or Guarantor has not already indemnified the Administrative Agent for such Indemnified Taxes and without limiting the obligation of the Borrower or any Guarantor to do so), (ii) any Taxes attributable to such Lender’s failure to comply with the provisions of Section 12.11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(f)Treatment of Certain Refunds. If any Lender determines, in its sole discretion exercised in good faith, that it has received a refund in respect of any taxes as to which indemnification or additional amounts have been paid to it by the Borrower or a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Guarantor pursuant to this Section 12.1, it shall pay to the indemnifying party an amount equal to such refund (but only to the extent of indemnity payments made under this Section with respect to the taxes giving rise to such refund), net of all out-of-pocket expenses of such Lender and without interest (other than any interest paid by the relevant Governmental Authority with respect to such refund); provided that the Borrower or such Guarantor, upon the request of such Lender, agrees to promptly repay the amount paid over with respect to such refund (plus any penalties, interest or other charges imposed by the relevant Governmental Authority) to such Lender in the event such Lender is required to repay such refund to the relevant Governmental Authority. Nothing herein contained shall interfere with the right of a Lender arrange its tax affairs in whatever manner it thinks fit nor oblige any Lender to claim any tax refund or to make available its tax returns or disclose any information relating to its tax affairs or any computations in respect thereof or any other confidential information or require any Lender to do anything that would prejudice its ability to benefit from any other refunds, credits, reliefs, remissions or repayments to which it may be entitled.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(g)Evidence of Payments. As soon as practicable after any payment of Taxes by the Borrower or a Guarantor to a Governmental Authority pursuant to this Section, the Borrower or such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18.2</w:t>
      </w:r>
      <w:bookmarkStart w:id="2584" w:name="_Toc209549858"/>
      <w:bookmarkEnd w:id="2584"/>
      <w:r>
        <w:rPr>
          <w:rFonts w:ascii="Times New Roman;Times;serif" w:hAnsi="Times New Roman;Times;serif"/>
          <w:sz w:val="24"/>
        </w:rPr>
        <w:t>No Waiver, Cumulative Remedies</w:t>
      </w:r>
      <w:r>
        <w:rPr>
          <w:rFonts w:ascii="Times New Roman;Times;serif" w:hAnsi="Times New Roman;Times;serif"/>
          <w:i/>
          <w:sz w:val="24"/>
        </w:rPr>
        <w:t>.</w:t>
      </w:r>
      <w:r>
        <w:rPr>
          <w:rFonts w:ascii="Times New Roman;Times;serif" w:hAnsi="Times New Roman;Times;serif"/>
          <w:sz w:val="24"/>
        </w:rPr>
        <w:t xml:space="preserve">  No delay or failure on the part of the Administrative Agent,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Lenders, and of the holder or holders of any of the Obligations are cumulative to, and not exclusive of, any rights or remedies which any of them would otherwise have.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18.3</w:t>
      </w:r>
      <w:bookmarkStart w:id="2585" w:name="_Toc209549859"/>
      <w:bookmarkEnd w:id="2585"/>
      <w:r>
        <w:rPr>
          <w:rFonts w:ascii="Times New Roman;Times;serif" w:hAnsi="Times New Roman;Times;serif"/>
          <w:sz w:val="24"/>
        </w:rPr>
        <w:t>Non-Business Days</w:t>
      </w:r>
      <w:r>
        <w:rPr>
          <w:rFonts w:ascii="Times New Roman;Times;serif" w:hAnsi="Times New Roman;Times;serif"/>
          <w:i/>
          <w:sz w:val="24"/>
        </w:rPr>
        <w:t>.</w:t>
      </w:r>
      <w:r>
        <w:rPr>
          <w:rFonts w:ascii="Times New Roman;Times;serif" w:hAnsi="Times New Roman;Times;serif"/>
          <w:sz w:val="24"/>
        </w:rPr>
        <w:t xml:space="preserve">  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18.4</w:t>
      </w:r>
      <w:bookmarkStart w:id="2586" w:name="_Toc209549860"/>
      <w:bookmarkEnd w:id="2586"/>
      <w:r>
        <w:rPr>
          <w:rFonts w:ascii="Times New Roman;Times;serif" w:hAnsi="Times New Roman;Times;serif"/>
          <w:sz w:val="24"/>
        </w:rPr>
        <w:t>Documentary Taxes</w:t>
      </w:r>
      <w:r>
        <w:rPr>
          <w:rFonts w:ascii="Times New Roman;Times;serif" w:hAnsi="Times New Roman;Times;serif"/>
          <w:i/>
          <w:sz w:val="24"/>
        </w:rPr>
        <w:t>.</w:t>
      </w:r>
      <w:r>
        <w:rPr>
          <w:rFonts w:ascii="Times New Roman;Times;serif" w:hAnsi="Times New Roman;Times;serif"/>
          <w:sz w:val="24"/>
        </w:rPr>
        <w:t xml:space="preserve">  The Borrower agrees to pay on demand any U.S. 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18.5</w:t>
      </w:r>
      <w:bookmarkStart w:id="2587" w:name="_Toc209549861"/>
      <w:bookmarkEnd w:id="2587"/>
      <w:r>
        <w:rPr>
          <w:rFonts w:ascii="Times New Roman;Times;serif" w:hAnsi="Times New Roman;Times;serif"/>
          <w:sz w:val="24"/>
        </w:rPr>
        <w:t>Survival of Representations</w:t>
      </w:r>
      <w:r>
        <w:rPr>
          <w:rFonts w:ascii="Times New Roman;Times;serif" w:hAnsi="Times New Roman;Times;serif"/>
          <w:i/>
          <w:sz w:val="24"/>
        </w:rPr>
        <w:t>.</w:t>
      </w:r>
      <w:r>
        <w:rPr>
          <w:rFonts w:ascii="Times New Roman;Times;serif" w:hAnsi="Times New Roman;Times;serif"/>
          <w:sz w:val="24"/>
        </w:rPr>
        <w:t xml:space="preserve">  All representations and warranties made herein or in any other Loan Document or in certificates given pursuant hereto or thereto shall survive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execution and delivery of this Agreement and the other Loan Documents, and shall continue in full force and effect with respect to the date as of which they were made as long as any credit is in use or available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18.6</w:t>
      </w:r>
      <w:bookmarkStart w:id="2588" w:name="_Toc209549862"/>
      <w:bookmarkEnd w:id="2588"/>
      <w:r>
        <w:rPr>
          <w:rFonts w:ascii="Times New Roman;Times;serif" w:hAnsi="Times New Roman;Times;serif"/>
          <w:sz w:val="24"/>
        </w:rPr>
        <w:t>Survival of Indemnities</w:t>
      </w:r>
      <w:r>
        <w:rPr>
          <w:rFonts w:ascii="Times New Roman;Times;serif" w:hAnsi="Times New Roman;Times;serif"/>
          <w:i/>
          <w:sz w:val="24"/>
        </w:rPr>
        <w:t>.</w:t>
      </w:r>
      <w:r>
        <w:rPr>
          <w:rFonts w:ascii="Times New Roman;Times;serif" w:hAnsi="Times New Roman;Times;serif"/>
          <w:sz w:val="24"/>
        </w:rPr>
        <w:t xml:space="preserve">  All indemnities and other provisions relative to reimbursement to the Lenders of amounts sufficient to protect the yield of the Lenders with respect to the Loans, including, but not limited to, Sections 1.11, 10.3, and 12.15 hereof, shall (subject to Section 10.3(c) hereof) survive the termination of this Agreement and the other Loan Documents and the payment of the Obligations.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18.7</w:t>
      </w:r>
      <w:bookmarkStart w:id="2589" w:name="_Toc209549863"/>
      <w:bookmarkEnd w:id="2589"/>
      <w:r>
        <w:rPr>
          <w:rFonts w:ascii="Times New Roman;Times;serif" w:hAnsi="Times New Roman;Times;serif"/>
          <w:sz w:val="24"/>
        </w:rPr>
        <w:t>Sharing of Set-Off</w:t>
      </w:r>
      <w:r>
        <w:rPr>
          <w:rFonts w:ascii="Times New Roman;Times;serif" w:hAnsi="Times New Roman;Times;serif"/>
          <w:i/>
          <w:sz w:val="24"/>
        </w:rPr>
        <w:t>.</w:t>
      </w:r>
      <w:r>
        <w:rPr>
          <w:rFonts w:ascii="Times New Roman;Times;serif" w:hAnsi="Times New Roman;Times;serif"/>
          <w:sz w:val="24"/>
        </w:rPr>
        <w:t xml:space="preserve">  Each Lender agrees with each other Lender a party hereto that if such Lender shall receive and retain any payment, whether by set-off or application of deposit balances or otherwise, on any of the Loans in excess of its ratable share of payments on all such Obligations then outstanding to the Lenders, then such Lender shall purchase for cash at face value, but without recourse, ratably from each of the other Lenders such amount of the Loans held by each such other Lenders (or interest therein) as shall be necessary to cause such Lender to share such excess payment ratably with all the other Lenders;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xml:space="preserve">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18.8</w:t>
      </w:r>
      <w:bookmarkStart w:id="2590" w:name="_Toc209549864"/>
      <w:bookmarkEnd w:id="2590"/>
      <w:r>
        <w:rPr>
          <w:rFonts w:ascii="Times New Roman;Times;serif" w:hAnsi="Times New Roman;Times;serif"/>
          <w:sz w:val="24"/>
        </w:rPr>
        <w:t>Notices</w:t>
      </w:r>
      <w:r>
        <w:rPr>
          <w:rFonts w:ascii="Times New Roman;Times;serif" w:hAnsi="Times New Roman;Times;serif"/>
          <w:i/>
          <w:sz w:val="24"/>
        </w:rPr>
        <w:t>.</w:t>
      </w:r>
      <w:r>
        <w:rPr>
          <w:rFonts w:ascii="Times New Roman;Times;serif" w:hAnsi="Times New Roman;Times;serif"/>
          <w:sz w:val="24"/>
        </w:rPr>
        <w:t xml:space="preserve">  Except as otherwise specified herein, all notices hereunder and 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the Administrative Agent shall be addressed to its respective address or telecopier number set forth below:</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317" w:type="dxa"/>
        <w:jc w:val="left"/>
        <w:tblInd w:w="0" w:type="dxa"/>
        <w:tblLayout w:type="fixed"/>
        <w:tblCellMar>
          <w:top w:w="0" w:type="dxa"/>
          <w:left w:w="0" w:type="dxa"/>
          <w:bottom w:w="0" w:type="dxa"/>
          <w:right w:w="0" w:type="dxa"/>
        </w:tblCellMar>
      </w:tblPr>
      <w:tblGrid>
        <w:gridCol w:w="3406"/>
        <w:gridCol w:w="5911"/>
      </w:tblGrid>
      <w:tr>
        <w:trPr/>
        <w:tc>
          <w:tcPr>
            <w:tcW w:w="3406"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to the Borrower:</w:t>
              <w:br/>
              <w:t>​</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CTO Realty Growth, Inc.</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369 N. New York Ave., Suite 201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Winter Park, Florida 32789</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Attention:</w:t>
            </w:r>
            <w:r>
              <w:rPr>
                <w:rFonts w:ascii="Times New Roman;Times;serif" w:hAnsi="Times New Roman;Times;serif"/>
                <w:sz w:val="24"/>
              </w:rPr>
              <w:t>Philip Mays</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407-904-3324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Email:</w:t>
            </w:r>
            <w:r>
              <w:rPr>
                <w:rFonts w:ascii="Times New Roman;Times;serif" w:hAnsi="Times New Roman;Times;serif"/>
                <w:sz w:val="24"/>
              </w:rPr>
              <w:t>pmays@ctoreit.com</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CTO Realty Growth, Inc.</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1140 Williamson Boulevard</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Suite 140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Daytona Beach, Florida 32114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Attention:</w:t>
            </w:r>
            <w:r>
              <w:rPr>
                <w:rFonts w:ascii="Times New Roman;Times;serif" w:hAnsi="Times New Roman;Times;serif"/>
                <w:sz w:val="24"/>
              </w:rPr>
              <w:t>Lisa M. Vorakoun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386-944-5641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Email:</w:t>
            </w:r>
            <w:r>
              <w:rPr>
                <w:rFonts w:ascii="Times New Roman;Times;serif" w:hAnsi="Times New Roman;Times;serif"/>
                <w:sz w:val="24"/>
              </w:rPr>
              <w:t>lvorakoun@ctoreit.com</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 copy to:</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Vinson &amp; Elkins LLP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845 Texas Ave., Suite 4700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Houston, TX 77002</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Attention:</w:t>
            </w:r>
            <w:r>
              <w:rPr>
                <w:rFonts w:ascii="Times New Roman;Times;serif" w:hAnsi="Times New Roman;Times;serif"/>
                <w:sz w:val="24"/>
              </w:rPr>
              <w:t>Noelle Alix</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713-758-1124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Email:</w:t>
            </w:r>
            <w:r>
              <w:rPr>
                <w:rFonts w:ascii="Times New Roman;Times;serif" w:hAnsi="Times New Roman;Times;serif"/>
                <w:sz w:val="24"/>
              </w:rPr>
              <w:t>nalix@velaw.com</w:t>
            </w:r>
          </w:p>
          <w:p>
            <w:pPr>
              <w:pStyle w:val="TableContents"/>
              <w:bidi w:val="0"/>
              <w:spacing w:before="0" w:after="0"/>
              <w:ind w:left="0" w:right="0" w:hanging="0"/>
              <w:jc w:val="left"/>
              <w:rPr/>
            </w:pPr>
            <w:r>
              <w:rPr/>
              <w:t>​</w:t>
            </w:r>
          </w:p>
        </w:tc>
        <w:tc>
          <w:tcPr>
            <w:tcW w:w="5911"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to the Administrative Agent: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KeyBank National Association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4910 Tiedeman Rd., 3rd Floor</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Mail Code OH-01-51-0311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Brooklyn, Ohio 44144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Attn: Real Estate Capital Servicing</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Reference: CTO Realty Growth, Inc. &amp; Loan No. 10257243</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And</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KeyBank National Association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1200 Abernathy Road NE, Suite 1550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Atlanta, GA 30328</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Tom Schmitt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770-510-2109</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tom_schmitt@keybank.com</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 a copy to:</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Riemer &amp; Braunstein 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100 Cambridge Street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Boston, MA 02114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Saúl De La Guardia</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sdelaguardia@riemerlaw.com</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Telephone: 617-880-3533</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Each such notice, request or other communication shall be effective (i) if given by telecopier, when such telecopy is delivered to the telecopier number specified in this Section 12.8 or in the relevant Administrative Questionnaire and a confirmation of such telecopy has been received by the sender, (ii) if given by mail, upon receipt or first refusal of delivery or (iii) if given by any other means, when delivered at the addresses specified in this Section 12.8 or in the relevant Administrative Questionnaire; provided that any notice given pursuant to Section 1 hereof shall be effective only upon receipt.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18.9</w:t>
      </w:r>
      <w:bookmarkStart w:id="2591" w:name="_Toc209549865"/>
      <w:bookmarkEnd w:id="2591"/>
      <w:r>
        <w:rPr>
          <w:rFonts w:ascii="Times New Roman;Times;serif" w:hAnsi="Times New Roman;Times;serif"/>
          <w:sz w:val="24"/>
        </w:rPr>
        <w:t xml:space="preserve">Counterparts.  This Agreement may be executed in any number of counterparts, and by the different parties hereto on separate counterpart signature pages, and all such counterparts taken together shall be deemed to constitute one and the same instrument.  The words “execution”, “executed”, “signed”, “signature” and words of similar import in or related to this Agreement and the other Loan Documents shall be deemed to include electronic signatures 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Commerce Act, the New York State Electronic Signatures and Records Act and any other similar applicable state laws based on the Uniform Electronic Transactions 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18.10</w:t>
      </w:r>
      <w:bookmarkStart w:id="2592" w:name="_Toc209549866"/>
      <w:bookmarkEnd w:id="2592"/>
      <w:r>
        <w:rPr>
          <w:rFonts w:ascii="Times New Roman;Times;serif" w:hAnsi="Times New Roman;Times;serif"/>
          <w:sz w:val="24"/>
        </w:rPr>
        <w:t>Successors and Assigns.  This Agreement shall be binding upon the Borrower, the Guarantors and their respective successors and permitted assigns, and shall inure to the benefit of the Administrative Agent and each of the Lenders, and the benefit of their respective successors and permitted assigns, including any subsequent holder of any of the Obligations.  The Borrower and the Guarantors may not assign any of its rights or obligations under any Loan Document without the written consent of all of the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18.11</w:t>
      </w:r>
      <w:bookmarkStart w:id="2593" w:name="_Toc209549867"/>
      <w:bookmarkEnd w:id="2593"/>
      <w:r>
        <w:rPr>
          <w:rFonts w:ascii="Times New Roman;Times;serif" w:hAnsi="Times New Roman;Times;serif"/>
          <w:sz w:val="24"/>
        </w:rPr>
        <w:t xml:space="preserve">Participants.  Each Lender shall have the right at its own cost to grant participations (to be evidenced by one or more agreements or certificates of participation) in the Loans made and/or Commitments held by such Lender at any time and from time to time to one or more other Persons; provided that no such participation shall relieve any Lender of any of its obligations under this Agreement, and, provided, further that no such participant shall have any rights under this Agreement except as provided in this Section 12.11, and the Administrative Agent and the Borrower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1.11 and Section 10.3 hereof.  The Borrower and each Guarantor authorizes each Lender to disclose to any participant or prospective participant under this Section 12.11 any financial or other information pertaining to each Guarantor, the Borrower or any Subsidiary; </w:t>
      </w:r>
      <w:r>
        <w:rPr>
          <w:rFonts w:ascii="Times New Roman;Times;serif" w:hAnsi="Times New Roman;Times;serif"/>
          <w:i/>
          <w:sz w:val="24"/>
        </w:rPr>
        <w:t>provided</w:t>
      </w:r>
      <w:r>
        <w:rPr>
          <w:rFonts w:ascii="Times New Roman;Times;serif" w:hAnsi="Times New Roman;Times;serif"/>
          <w:sz w:val="24"/>
        </w:rPr>
        <w:t xml:space="preserve"> that prior to any such disclosure any such participant or prospective participant shall agree in writing to be subject to the confidentiality provisions contained herein.  No participation may be granted or sold to the Borrower, any Guarantor, any Affiliate or Subsidiary of the Borrower or Guarantor, any Defaulting Lender or any natural person.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18.12</w:t>
      </w:r>
      <w:bookmarkStart w:id="2594" w:name="_Toc209549868"/>
      <w:bookmarkEnd w:id="2594"/>
      <w:r>
        <w:rPr>
          <w:rFonts w:ascii="Times New Roman;Times;serif" w:hAnsi="Times New Roman;Times;serif"/>
          <w:sz w:val="24"/>
        </w:rPr>
        <w:t>Assignments.  </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(a)Any Lender may at any time assign to one or more Eligible Assignees all or a portion of such Lender’s rights and obligations under this Agreement (including all or a portion of its Commitment and the Loans at the time owing to it); provided that any such assignment shall be subject to the following conditions:</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i/>
          <w:sz w:val="24"/>
        </w:rPr>
        <w:t>Minimum</w:t>
      </w:r>
      <w:r>
        <w:rPr>
          <w:rFonts w:ascii="Times New Roman;Times;serif" w:hAnsi="Times New Roman;Times;serif"/>
          <w:sz w:val="24"/>
        </w:rPr>
        <w:t xml:space="preserve"> </w:t>
      </w:r>
      <w:r>
        <w:rPr>
          <w:rFonts w:ascii="Times New Roman;Times;serif" w:hAnsi="Times New Roman;Times;serif"/>
          <w:i/>
          <w:sz w:val="24"/>
        </w:rPr>
        <w:t>Amounts</w:t>
      </w:r>
      <w:r>
        <w:rPr>
          <w:rFonts w:ascii="Times New Roman;Times;serif" w:hAnsi="Times New Roman;Times;serif"/>
          <w:sz w:val="24"/>
        </w:rPr>
        <w:t xml:space="preserve">. (A) In the case of an assignment of the entire remaining amount of the assigning Lender’s Commitment and the Loans at the time owing to it or in the case of an assignment to a Lender, an Affiliate of a Lender or an Approved Fund, no minimum amount need be assigned; and (B) in any case not described in subsection (a)(i)(A) of this Section 12.12, the aggregate amount of the Commitment or, if the Commitment is not then in effect, the principal outstanding balance of the Loans (determined as of the date the Assignment and Acceptance with respect to such assignment is delivered to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Administrative Agent or, if “Effective Date” is specified in the Assignment and Acceptance, as of the Effective Date specified in such Assignment and Acceptance) shall not be less than $5,000,000 unless each of the Administrative Agent and, so long as no Event of Default has occurred and is continuing, the Borrower otherwise consents (each such consent not to be unreasonably withheld or delayed);</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w:t>
      </w:r>
      <w:r>
        <w:rPr>
          <w:rFonts w:ascii="Times New Roman;Times;serif" w:hAnsi="Times New Roman;Times;serif"/>
          <w:i/>
          <w:sz w:val="24"/>
        </w:rPr>
        <w:t>Proportionate</w:t>
      </w:r>
      <w:r>
        <w:rPr>
          <w:rFonts w:ascii="Times New Roman;Times;serif" w:hAnsi="Times New Roman;Times;serif"/>
          <w:sz w:val="24"/>
        </w:rPr>
        <w:t xml:space="preserve"> </w:t>
      </w:r>
      <w:r>
        <w:rPr>
          <w:rFonts w:ascii="Times New Roman;Times;serif" w:hAnsi="Times New Roman;Times;serif"/>
          <w:i/>
          <w:sz w:val="24"/>
        </w:rPr>
        <w:t>Amounts</w:t>
      </w:r>
      <w:r>
        <w:rPr>
          <w:rFonts w:ascii="Times New Roman;Times;serif" w:hAnsi="Times New Roman;Times;serif"/>
          <w:sz w:val="24"/>
        </w:rPr>
        <w:t>. Each partial assignment shall be made as an assignment of a proportionate part of all the assigning Lender’s rights and obligations under this Agreement with respect to the applicable Facility; except that this clause (ii) shall not prohibit any Lender from assigning all or a portion of its rights and obligations among separate Facilities on a non-pro rata basis.</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(iii)</w:t>
      </w:r>
      <w:r>
        <w:rPr>
          <w:rFonts w:ascii="Times New Roman;Times;serif" w:hAnsi="Times New Roman;Times;serif"/>
          <w:i/>
          <w:sz w:val="24"/>
        </w:rPr>
        <w:t>Required</w:t>
      </w:r>
      <w:r>
        <w:rPr>
          <w:rFonts w:ascii="Times New Roman;Times;serif" w:hAnsi="Times New Roman;Times;serif"/>
          <w:sz w:val="24"/>
        </w:rPr>
        <w:t xml:space="preserve"> </w:t>
      </w:r>
      <w:r>
        <w:rPr>
          <w:rFonts w:ascii="Times New Roman;Times;serif" w:hAnsi="Times New Roman;Times;serif"/>
          <w:i/>
          <w:sz w:val="24"/>
        </w:rPr>
        <w:t>Consents</w:t>
      </w:r>
      <w:r>
        <w:rPr>
          <w:rFonts w:ascii="Times New Roman;Times;serif" w:hAnsi="Times New Roman;Times;serif"/>
          <w:sz w:val="24"/>
        </w:rPr>
        <w:t>. No consent shall be required for any assignment except to the extent required by Section 12.12(a)(i)(B) and, in addition:</w:t>
      </w:r>
    </w:p>
    <w:p>
      <w:pPr>
        <w:pStyle w:val="TextBody"/>
        <w:bidi w:val="0"/>
        <w:spacing w:before="0" w:after="240"/>
        <w:ind w:left="2160" w:right="0" w:hanging="0"/>
        <w:jc w:val="left"/>
        <w:rPr>
          <w:rFonts w:ascii="Times New Roman;Times;serif" w:hAnsi="Times New Roman;Times;serif"/>
          <w:sz w:val="24"/>
        </w:rPr>
      </w:pPr>
      <w:r>
        <w:rPr>
          <w:rFonts w:ascii="Times New Roman;Times;serif" w:hAnsi="Times New Roman;Times;serif"/>
          <w:sz w:val="24"/>
        </w:rPr>
        <w:t>(A)the consent of the Borrower (such consent not to be unreasonably withheld or delayed and to be given or denied within five (5) Business Days of written request therefor) shall be required unless (x) an Event of Default has occurred and is continuing at the time of such assignment or (y) such assignment is to a Lender, an Affiliate of a Lender or an Approved Fund; and</w:t>
      </w:r>
    </w:p>
    <w:p>
      <w:pPr>
        <w:pStyle w:val="TextBody"/>
        <w:bidi w:val="0"/>
        <w:spacing w:before="0" w:after="240"/>
        <w:ind w:left="2160" w:right="0" w:hanging="0"/>
        <w:jc w:val="left"/>
        <w:rPr>
          <w:rFonts w:ascii="Times New Roman;Times;serif" w:hAnsi="Times New Roman;Times;serif"/>
          <w:sz w:val="24"/>
        </w:rPr>
      </w:pPr>
      <w:r>
        <w:rPr>
          <w:rFonts w:ascii="Times New Roman;Times;serif" w:hAnsi="Times New Roman;Times;serif"/>
          <w:sz w:val="24"/>
        </w:rPr>
        <w:t>(B)the consent of the Administrative Agent (such consent not to be unreasonably withheld or delayed and to be given or denied within five (5) Business Days of written request therefor) shall be required if such assignment is to a Person that is not a Lender with 2029 Term Loans</w:t>
      </w:r>
      <w:bookmarkStart w:id="2595" w:name="_cp_change_492"/>
      <w:bookmarkEnd w:id="2595"/>
      <w:r>
        <w:rPr>
          <w:rFonts w:ascii="Times New Roman;Times;serif" w:hAnsi="Times New Roman;Times;serif"/>
          <w:color w:val="0000FF"/>
          <w:sz w:val="24"/>
          <w:u w:val="single"/>
        </w:rPr>
        <w:t xml:space="preserve">, </w:t>
      </w:r>
      <w:r>
        <w:rPr>
          <w:rFonts w:ascii="Times" w:hAnsi="Times"/>
          <w:color w:val="0000FF"/>
          <w:sz w:val="24"/>
          <w:u w:val="single"/>
        </w:rPr>
        <w:t>2030 Term Loans</w:t>
      </w:r>
      <w:r>
        <w:rPr>
          <w:rFonts w:ascii="Times" w:hAnsi="Times"/>
          <w:i/>
          <w:color w:val="0000FF"/>
          <w:sz w:val="24"/>
        </w:rPr>
        <w:t>,</w:t>
      </w:r>
      <w:r>
        <w:rPr>
          <w:rFonts w:ascii="Times New Roman;Times;serif" w:hAnsi="Times New Roman;Times;serif"/>
          <w:sz w:val="24"/>
        </w:rPr>
        <w:t xml:space="preserve"> or Incremental Loans (if any), an Affiliate of such Lender or an Approved Fund with respect to such Lender.</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(iv)</w:t>
      </w:r>
      <w:r>
        <w:rPr>
          <w:rFonts w:ascii="Times New Roman;Times;serif" w:hAnsi="Times New Roman;Times;serif"/>
          <w:i/>
          <w:sz w:val="24"/>
        </w:rPr>
        <w:t>Assignment</w:t>
      </w:r>
      <w:r>
        <w:rPr>
          <w:rFonts w:ascii="Times New Roman;Times;serif" w:hAnsi="Times New Roman;Times;serif"/>
          <w:sz w:val="24"/>
        </w:rPr>
        <w:t xml:space="preserve"> </w:t>
      </w:r>
      <w:r>
        <w:rPr>
          <w:rFonts w:ascii="Times New Roman;Times;serif" w:hAnsi="Times New Roman;Times;serif"/>
          <w:i/>
          <w:sz w:val="24"/>
        </w:rPr>
        <w:t>and</w:t>
      </w:r>
      <w:r>
        <w:rPr>
          <w:rFonts w:ascii="Times New Roman;Times;serif" w:hAnsi="Times New Roman;Times;serif"/>
          <w:sz w:val="24"/>
        </w:rPr>
        <w:t xml:space="preserve"> </w:t>
      </w:r>
      <w:r>
        <w:rPr>
          <w:rFonts w:ascii="Times New Roman;Times;serif" w:hAnsi="Times New Roman;Times;serif"/>
          <w:i/>
          <w:sz w:val="24"/>
        </w:rPr>
        <w:t>Acceptance</w:t>
      </w:r>
      <w:r>
        <w:rPr>
          <w:rFonts w:ascii="Times New Roman;Times;serif" w:hAnsi="Times New Roman;Times;serif"/>
          <w:sz w:val="24"/>
        </w:rPr>
        <w:t>. The parties to each assignment shall execute and deliver to the Administrative Agent an Assignment and Acceptance, together with a processing and recordation fee of $3,500, and the assignee, if it is not a Lender, shall deliver to the Administrative Agent an Administrative Questionnaire.</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(v)</w:t>
      </w:r>
      <w:r>
        <w:rPr>
          <w:rFonts w:ascii="Times New Roman;Times;serif" w:hAnsi="Times New Roman;Times;serif"/>
          <w:i/>
          <w:sz w:val="24"/>
        </w:rPr>
        <w:t>No</w:t>
      </w:r>
      <w:r>
        <w:rPr>
          <w:rFonts w:ascii="Times New Roman;Times;serif" w:hAnsi="Times New Roman;Times;serif"/>
          <w:sz w:val="24"/>
        </w:rPr>
        <w:t xml:space="preserve"> </w:t>
      </w:r>
      <w:r>
        <w:rPr>
          <w:rFonts w:ascii="Times New Roman;Times;serif" w:hAnsi="Times New Roman;Times;serif"/>
          <w:i/>
          <w:sz w:val="24"/>
        </w:rPr>
        <w:t>Assignment</w:t>
      </w:r>
      <w:r>
        <w:rPr>
          <w:rFonts w:ascii="Times New Roman;Times;serif" w:hAnsi="Times New Roman;Times;serif"/>
          <w:sz w:val="24"/>
        </w:rPr>
        <w:t xml:space="preserve"> </w:t>
      </w:r>
      <w:r>
        <w:rPr>
          <w:rFonts w:ascii="Times New Roman;Times;serif" w:hAnsi="Times New Roman;Times;serif"/>
          <w:i/>
          <w:sz w:val="24"/>
        </w:rPr>
        <w:t>to</w:t>
      </w:r>
      <w:r>
        <w:rPr>
          <w:rFonts w:ascii="Times New Roman;Times;serif" w:hAnsi="Times New Roman;Times;serif"/>
          <w:sz w:val="24"/>
        </w:rPr>
        <w:t xml:space="preserve"> </w:t>
      </w:r>
      <w:r>
        <w:rPr>
          <w:rFonts w:ascii="Times New Roman;Times;serif" w:hAnsi="Times New Roman;Times;serif"/>
          <w:i/>
          <w:sz w:val="24"/>
        </w:rPr>
        <w:t>the</w:t>
      </w:r>
      <w:r>
        <w:rPr>
          <w:rFonts w:ascii="Times New Roman;Times;serif" w:hAnsi="Times New Roman;Times;serif"/>
          <w:sz w:val="24"/>
        </w:rPr>
        <w:t xml:space="preserve"> </w:t>
      </w:r>
      <w:r>
        <w:rPr>
          <w:rFonts w:ascii="Times New Roman;Times;serif" w:hAnsi="Times New Roman;Times;serif"/>
          <w:i/>
          <w:sz w:val="24"/>
        </w:rPr>
        <w:t>Borrower,</w:t>
      </w:r>
      <w:r>
        <w:rPr>
          <w:rFonts w:ascii="Times New Roman;Times;serif" w:hAnsi="Times New Roman;Times;serif"/>
          <w:sz w:val="24"/>
        </w:rPr>
        <w:t xml:space="preserve"> </w:t>
      </w:r>
      <w:r>
        <w:rPr>
          <w:rFonts w:ascii="Times New Roman;Times;serif" w:hAnsi="Times New Roman;Times;serif"/>
          <w:i/>
          <w:sz w:val="24"/>
        </w:rPr>
        <w:t>Guarantors,</w:t>
      </w:r>
      <w:r>
        <w:rPr>
          <w:rFonts w:ascii="Times New Roman;Times;serif" w:hAnsi="Times New Roman;Times;serif"/>
          <w:sz w:val="24"/>
        </w:rPr>
        <w:t xml:space="preserve"> </w:t>
      </w:r>
      <w:r>
        <w:rPr>
          <w:rFonts w:ascii="Times New Roman;Times;serif" w:hAnsi="Times New Roman;Times;serif"/>
          <w:i/>
          <w:sz w:val="24"/>
        </w:rPr>
        <w:t>Affiliates</w:t>
      </w:r>
      <w:r>
        <w:rPr>
          <w:rFonts w:ascii="Times New Roman;Times;serif" w:hAnsi="Times New Roman;Times;serif"/>
          <w:sz w:val="24"/>
        </w:rPr>
        <w:t xml:space="preserve"> </w:t>
      </w:r>
      <w:r>
        <w:rPr>
          <w:rFonts w:ascii="Times New Roman;Times;serif" w:hAnsi="Times New Roman;Times;serif"/>
          <w:i/>
          <w:sz w:val="24"/>
        </w:rPr>
        <w:t>or</w:t>
      </w:r>
      <w:r>
        <w:rPr>
          <w:rFonts w:ascii="Times New Roman;Times;serif" w:hAnsi="Times New Roman;Times;serif"/>
          <w:sz w:val="24"/>
        </w:rPr>
        <w:t xml:space="preserve"> </w:t>
      </w:r>
      <w:r>
        <w:rPr>
          <w:rFonts w:ascii="Times New Roman;Times;serif" w:hAnsi="Times New Roman;Times;serif"/>
          <w:i/>
          <w:sz w:val="24"/>
        </w:rPr>
        <w:t>Subsidiaries</w:t>
      </w:r>
      <w:r>
        <w:rPr>
          <w:rFonts w:ascii="Times New Roman;Times;serif" w:hAnsi="Times New Roman;Times;serif"/>
          <w:sz w:val="24"/>
        </w:rPr>
        <w:t>. No such assignment shall be made to the Borrower, any Guarantor or any Affiliate or Subsidiary of the Borrower or any Guarantor.</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(vi)</w:t>
      </w:r>
      <w:r>
        <w:rPr>
          <w:rFonts w:ascii="Times New Roman;Times;serif" w:hAnsi="Times New Roman;Times;serif"/>
          <w:i/>
          <w:sz w:val="24"/>
        </w:rPr>
        <w:t>No</w:t>
      </w:r>
      <w:r>
        <w:rPr>
          <w:rFonts w:ascii="Times New Roman;Times;serif" w:hAnsi="Times New Roman;Times;serif"/>
          <w:sz w:val="24"/>
        </w:rPr>
        <w:t xml:space="preserve"> </w:t>
      </w:r>
      <w:r>
        <w:rPr>
          <w:rFonts w:ascii="Times New Roman;Times;serif" w:hAnsi="Times New Roman;Times;serif"/>
          <w:i/>
          <w:sz w:val="24"/>
        </w:rPr>
        <w:t>Assignment</w:t>
      </w:r>
      <w:r>
        <w:rPr>
          <w:rFonts w:ascii="Times New Roman;Times;serif" w:hAnsi="Times New Roman;Times;serif"/>
          <w:sz w:val="24"/>
        </w:rPr>
        <w:t xml:space="preserve"> </w:t>
      </w:r>
      <w:r>
        <w:rPr>
          <w:rFonts w:ascii="Times New Roman;Times;serif" w:hAnsi="Times New Roman;Times;serif"/>
          <w:i/>
          <w:sz w:val="24"/>
        </w:rPr>
        <w:t>to</w:t>
      </w:r>
      <w:r>
        <w:rPr>
          <w:rFonts w:ascii="Times New Roman;Times;serif" w:hAnsi="Times New Roman;Times;serif"/>
          <w:sz w:val="24"/>
        </w:rPr>
        <w:t xml:space="preserve"> </w:t>
      </w:r>
      <w:r>
        <w:rPr>
          <w:rFonts w:ascii="Times New Roman;Times;serif" w:hAnsi="Times New Roman;Times;serif"/>
          <w:i/>
          <w:sz w:val="24"/>
        </w:rPr>
        <w:t>Natural</w:t>
      </w:r>
      <w:r>
        <w:rPr>
          <w:rFonts w:ascii="Times New Roman;Times;serif" w:hAnsi="Times New Roman;Times;serif"/>
          <w:sz w:val="24"/>
        </w:rPr>
        <w:t xml:space="preserve"> </w:t>
      </w:r>
      <w:r>
        <w:rPr>
          <w:rFonts w:ascii="Times New Roman;Times;serif" w:hAnsi="Times New Roman;Times;serif"/>
          <w:i/>
          <w:sz w:val="24"/>
        </w:rPr>
        <w:t>Persons</w:t>
      </w:r>
      <w:r>
        <w:rPr>
          <w:rFonts w:ascii="Times New Roman;Times;serif" w:hAnsi="Times New Roman;Times;serif"/>
          <w:sz w:val="24"/>
        </w:rPr>
        <w:t>. No such assignment shall be made to a natural person (or holding company, investment vehicle or trust for, or owned and operated for the primary benefit of a natural person).</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(vii)</w:t>
      </w:r>
      <w:r>
        <w:rPr>
          <w:rFonts w:ascii="Times New Roman;Times;serif" w:hAnsi="Times New Roman;Times;serif"/>
          <w:i/>
          <w:sz w:val="24"/>
        </w:rPr>
        <w:t>No</w:t>
      </w:r>
      <w:r>
        <w:rPr>
          <w:rFonts w:ascii="Times New Roman;Times;serif" w:hAnsi="Times New Roman;Times;serif"/>
          <w:sz w:val="24"/>
        </w:rPr>
        <w:t xml:space="preserve"> </w:t>
      </w:r>
      <w:r>
        <w:rPr>
          <w:rFonts w:ascii="Times New Roman;Times;serif" w:hAnsi="Times New Roman;Times;serif"/>
          <w:i/>
          <w:sz w:val="24"/>
        </w:rPr>
        <w:t>Assignment</w:t>
      </w:r>
      <w:r>
        <w:rPr>
          <w:rFonts w:ascii="Times New Roman;Times;serif" w:hAnsi="Times New Roman;Times;serif"/>
          <w:sz w:val="24"/>
        </w:rPr>
        <w:t xml:space="preserve"> </w:t>
      </w:r>
      <w:r>
        <w:rPr>
          <w:rFonts w:ascii="Times New Roman;Times;serif" w:hAnsi="Times New Roman;Times;serif"/>
          <w:i/>
          <w:sz w:val="24"/>
        </w:rPr>
        <w:t>to</w:t>
      </w:r>
      <w:r>
        <w:rPr>
          <w:rFonts w:ascii="Times New Roman;Times;serif" w:hAnsi="Times New Roman;Times;serif"/>
          <w:sz w:val="24"/>
        </w:rPr>
        <w:t xml:space="preserve"> </w:t>
      </w:r>
      <w:r>
        <w:rPr>
          <w:rFonts w:ascii="Times New Roman;Times;serif" w:hAnsi="Times New Roman;Times;serif"/>
          <w:i/>
          <w:sz w:val="24"/>
        </w:rPr>
        <w:t>Defaulting</w:t>
      </w:r>
      <w:r>
        <w:rPr>
          <w:rFonts w:ascii="Times New Roman;Times;serif" w:hAnsi="Times New Roman;Times;serif"/>
          <w:sz w:val="24"/>
        </w:rPr>
        <w:t xml:space="preserve"> </w:t>
      </w:r>
      <w:r>
        <w:rPr>
          <w:rFonts w:ascii="Times New Roman;Times;serif" w:hAnsi="Times New Roman;Times;serif"/>
          <w:i/>
          <w:sz w:val="24"/>
        </w:rPr>
        <w:t>Lender.</w:t>
      </w:r>
      <w:r>
        <w:rPr>
          <w:rFonts w:ascii="Times New Roman;Times;serif" w:hAnsi="Times New Roman;Times;serif"/>
          <w:sz w:val="24"/>
        </w:rPr>
        <w:t xml:space="preserve"> No such assignment shall be made to a Defaulting Lender.</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Subject to acceptance and recording thereof by the Administrative Agent pursuant to Section 12.12(b) hereof,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12.6 and 12.15 with respect to facts and circumstances occurring prior to the effective date of such assignment.  Any assignment or transfer by a Lender of rights or obligations under this Agreement that does not comply with this Section shall be treated for purposes of this Agreement as a sale by such Lender of a participation in such rights and obligations in accordance with Section 12.11 hereof.</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(b)Register. The Administrative Agent, acting solely for this purpose as an agent of the Borrower, shall maintain at one of its offices in New York, New York, a copy of each Assignment and Acceptance delivered to it and a register for the recordation of the names and addresses of the Lenders, and the Commitments of, and principal amounts of the Loans owing to, each Lender pursuant to the terms hereof from time to time (the “Register”).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shall, acting solely for this purpose as an agent of the Borrower, maintain a register on which it enters the name and address of each participant and the principal amounts (and stated interest) of each participant's interest in the Loans and/or commitments or other obligations under this Agreement (the “Participant Register”); provided that no Lender shall have any obligation to disclose all or any portion of the Participant Register to any Person (including the identity of any participant or any information relating to a participant's interest in any Loans and/or Commitments or other obligations under this Agreement) except to the extent that such disclosure is necessary to establish that such Obligation or Commitment is in registered form under Section 5f.103-1(c) of the Treasury Regulations or is otherwise required by this Agreement.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(c)Any Lender may at any time pledge or grant a security interest in all or any portion of its rights under this Agreement to secure obligations of such Lender, including any such pledge or grant to a Federal Reserve Bank, and this Section 12.12 shall not apply to any such pledge or grant of a security interest; provided that no such pledge or grant of a security interest shall release a Lender from any of its obligations hereunder or substitute any such pledgee or secured party for such Lender as a party hereto; provided further, however, the right of any such pledgee or grantee (other than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any Federal Reserve Bank) to further transfer all or any portion of the rights pledged or granted to it, whether by means of foreclosure or otherwise, shall be at all times subject to the terms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18.13</w:t>
      </w:r>
      <w:bookmarkStart w:id="2596" w:name="_Toc209549869"/>
      <w:bookmarkEnd w:id="2596"/>
      <w:r>
        <w:rPr>
          <w:rFonts w:ascii="Times New Roman;Times;serif" w:hAnsi="Times New Roman;Times;serif"/>
          <w:sz w:val="24"/>
        </w:rPr>
        <w:t>Amendments</w:t>
      </w:r>
      <w:r>
        <w:rPr>
          <w:rFonts w:ascii="Times New Roman;Times;serif" w:hAnsi="Times New Roman;Times;serif"/>
          <w:i/>
          <w:sz w:val="24"/>
        </w:rPr>
        <w:t>.</w:t>
      </w:r>
      <w:r>
        <w:rPr>
          <w:rFonts w:ascii="Times New Roman;Times;serif" w:hAnsi="Times New Roman;Times;serif"/>
          <w:sz w:val="24"/>
        </w:rPr>
        <w:t xml:space="preserve">  Any provision of this Agreement or the other Loan Documents may be amended or waived if, but only if, such amendment or waiver is in writing and is signed by (a) the Borrower, (b) the Required Lenders (or Administrative Agent acting at the direction of the Required Lenders) and (c) if the rights or duties of the Administrative Agent </w:t>
      </w:r>
      <w:bookmarkStart w:id="2597" w:name="_cp_change_493"/>
      <w:bookmarkEnd w:id="2597"/>
      <w:r>
        <w:rPr>
          <w:rFonts w:ascii="Times New Roman;Times;serif" w:hAnsi="Times New Roman;Times;serif"/>
          <w:color w:val="FF0000"/>
          <w:sz w:val="24"/>
        </w:rPr>
        <w:t xml:space="preserve">or Sustainability Structuring Agent </w:t>
      </w:r>
      <w:r>
        <w:rPr>
          <w:rFonts w:ascii="Times New Roman;Times;serif" w:hAnsi="Times New Roman;Times;serif"/>
          <w:sz w:val="24"/>
        </w:rPr>
        <w:t>are affected thereby, the Administrative Agent</w:t>
      </w:r>
      <w:bookmarkStart w:id="2598" w:name="_cp_change_494"/>
      <w:bookmarkEnd w:id="2598"/>
      <w:r>
        <w:rPr>
          <w:rFonts w:ascii="Times New Roman;Times;serif" w:hAnsi="Times New Roman;Times;serif"/>
          <w:color w:val="FF0000"/>
          <w:sz w:val="24"/>
        </w:rPr>
        <w:t xml:space="preserve"> or Sustainability Structuring Agent, as applicable</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that: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 xml:space="preserve">(i)no amendment or waiver pursuant to this Section 12.13 shall (A) increase any Commitment of any Lender without the consent of such Lender, (B) reduce the amount of or postpone the date for any scheduled payment of any principal of or interest on any Loan or of any fee payable hereunder (including by way of a waiver of a Default or Event of Default under Section 9.1(a)) without the consent of the Lender to which such payment is owing or which has committed to make such Loan hereunder </w:t>
      </w:r>
      <w:r>
        <w:rPr>
          <w:rFonts w:ascii="Times New Roman;Times;serif" w:hAnsi="Times New Roman;Times;serif"/>
          <w:i/>
          <w:sz w:val="24"/>
        </w:rPr>
        <w:t>provided</w:t>
      </w:r>
      <w:r>
        <w:rPr>
          <w:rFonts w:ascii="Times New Roman;Times;serif" w:hAnsi="Times New Roman;Times;serif"/>
          <w:sz w:val="24"/>
        </w:rPr>
        <w:t xml:space="preserve"> that only the written consent of the Required Lenders shall be required for (x) the waiver or retraction of an imposition of interest payable under Section 1.9, or (y) any modification or waiver of the covenants set forth in Section 8.20, or (C) extend the Maturity Date for the 2029 Term Loans</w:t>
      </w:r>
      <w:bookmarkStart w:id="2599" w:name="_cp_change_495"/>
      <w:bookmarkEnd w:id="2599"/>
      <w:r>
        <w:rPr>
          <w:rFonts w:ascii="Times New Roman;Times;serif" w:hAnsi="Times New Roman;Times;serif"/>
          <w:color w:val="0000FF"/>
          <w:sz w:val="24"/>
          <w:u w:val="single"/>
        </w:rPr>
        <w:t>, 2030 Term Loans,</w:t>
      </w:r>
      <w:r>
        <w:rPr>
          <w:rFonts w:ascii="Times New Roman;Times;serif" w:hAnsi="Times New Roman;Times;serif"/>
          <w:sz w:val="24"/>
        </w:rPr>
        <w:t xml:space="preserve"> or any Incremental Loan without the consent of each affected 2029 Term Loan Lender</w:t>
      </w:r>
      <w:bookmarkStart w:id="2600" w:name="_cp_change_496"/>
      <w:bookmarkEnd w:id="2600"/>
      <w:r>
        <w:rPr>
          <w:rFonts w:ascii="Times New Roman;Times;serif" w:hAnsi="Times New Roman;Times;serif"/>
          <w:color w:val="0000FF"/>
          <w:sz w:val="24"/>
          <w:u w:val="single"/>
        </w:rPr>
        <w:t>, 2030 Term Loan Lender,</w:t>
      </w:r>
      <w:r>
        <w:rPr>
          <w:rFonts w:ascii="Times New Roman;Times;serif" w:hAnsi="Times New Roman;Times;serif"/>
          <w:sz w:val="24"/>
        </w:rPr>
        <w:t xml:space="preserve"> or Incremental Lender, as applicable;</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 xml:space="preserve">(ii)no amendment or waiver pursuant to this Section 12.13 shall, unless signed by each Lender, change the definitions of Required Lenders, Borrowing Base, Borrowing Base NOI, Borrowing Base Requirements, Borrowing Base Value, change the provisions of Section 8.21, change the provisions of this Section 12.13, affect the number of Lenders required to take any action hereunder or under any other Loan Document, change the pro rata application of payments or order of application of payments and collections set forth in Section 3.1 or Section 12.7 or change any other provision of this Agreement or add any provision to this Agreement, in each case, in a manner that would alter, or would have the effect of altering the pro rata sharing of payments required thereby, or release any Guarantor </w:t>
      </w:r>
      <w:r>
        <w:rPr>
          <w:rFonts w:ascii="Times New Roman;Times;serif" w:hAnsi="Times New Roman;Times;serif"/>
          <w:sz w:val="22"/>
          <w:shd w:fill="FFFFFF" w:val="clear"/>
        </w:rPr>
        <w:t xml:space="preserve">or in the event that a Collateral Trigger Event has occurred, a release or subordination of all or substantially all of the Collateral </w:t>
      </w:r>
      <w:r>
        <w:rPr>
          <w:rFonts w:ascii="Times New Roman;Times;serif" w:hAnsi="Times New Roman;Times;serif"/>
          <w:sz w:val="24"/>
        </w:rPr>
        <w:t>(except as expressly contemplated in this Agreement); and</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(iii)no amendment to Section 13 hereof shall be made without the consent of the Guarantors affected thereby.</w:t>
      </w:r>
    </w:p>
    <w:p>
      <w:pPr>
        <w:pStyle w:val="TextBody"/>
        <w:bidi w:val="0"/>
        <w:spacing w:before="0" w:after="0"/>
        <w:ind w:left="0" w:right="0" w:hanging="0"/>
        <w:jc w:val="both"/>
        <w:rPr>
          <w:rFonts w:ascii="Times New Roman;Times;serif" w:hAnsi="Times New Roman;Times;serif"/>
          <w:color w:val="0000FF"/>
          <w:sz w:val="24"/>
          <w:u w:val="single"/>
        </w:rPr>
      </w:pPr>
      <w:bookmarkStart w:id="2601" w:name="_cp_change_498"/>
      <w:bookmarkEnd w:id="2601"/>
      <w:r>
        <w:rPr>
          <w:rFonts w:ascii="Times New Roman;Times;serif" w:hAnsi="Times New Roman;Times;serif"/>
          <w:color w:val="0000FF"/>
          <w:sz w:val="24"/>
          <w:u w:val="single"/>
        </w:rPr>
        <w:t xml:space="preserve">Notwithstanding anything to the contrary in this Section 12.13,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color w:val="0000FF"/>
          <w:sz w:val="24"/>
          <w:u w:val="single"/>
        </w:rPr>
      </w:pPr>
      <w:r>
        <w:rPr>
          <w:rFonts w:ascii="Times New Roman;Times;serif" w:hAnsi="Times New Roman;Times;serif"/>
          <w:color w:val="0000FF"/>
          <w:sz w:val="24"/>
          <w:u w:val="single"/>
        </w:rPr>
        <w:t>obligation hereunder and shall have been paid in full all principal, interest and other amounts owing to it or accrued for its account under this Agreement.  </w:t>
      </w:r>
      <w:bookmarkStart w:id="2602" w:name="_cp_change_497"/>
      <w:bookmarkEnd w:id="2602"/>
    </w:p>
    <w:p>
      <w:pPr>
        <w:pStyle w:val="TextBody"/>
        <w:bidi w:val="0"/>
        <w:spacing w:before="0" w:after="240"/>
        <w:ind w:left="0" w:right="0" w:hanging="0"/>
        <w:jc w:val="both"/>
        <w:rPr>
          <w:rFonts w:ascii="Times New Roman;Times;serif" w:hAnsi="Times New Roman;Times;serif"/>
          <w:color w:val="0000FF"/>
          <w:sz w:val="24"/>
          <w:u w:val="single"/>
        </w:rPr>
      </w:pPr>
      <w:bookmarkStart w:id="2603" w:name="_cp_change_500"/>
      <w:bookmarkEnd w:id="2603"/>
      <w:r>
        <w:rPr>
          <w:rFonts w:ascii="Times New Roman;Times;serif" w:hAnsi="Times New Roman;Times;serif"/>
          <w:color w:val="0000FF"/>
          <w:sz w:val="24"/>
          <w:u w:val="single"/>
        </w:rPr>
        <w:t>Further notwithstanding anything to the contrary in this Section 12.13, if the Administrative Agent and the Borrower have jointly identified an ambiguity, omission, mistake or defect in any provision of this Agreement or the other Loan Documents or an inconsistency between provision of this Agreement and/or the other Loan Documents, the Administrative Agent and the Borrower shall be permitted to amend such provision or provisions to cure such ambiguity, omission, mistake, defect or inconsistency so long as to do so would not adversely affect the interest of any Lender.  Any such amendment shall become effective without any further or consent of any of other party to this Agreement; provided that the Administrative Agent shall post any such amendment implementing such changes to the Lenders reasonably promptly after such amendment becomes effective.</w:t>
      </w:r>
      <w:bookmarkStart w:id="2604" w:name="_cp_change_499"/>
      <w:bookmarkEnd w:id="2604"/>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18.14</w:t>
      </w:r>
      <w:bookmarkStart w:id="2605" w:name="_Toc209549870"/>
      <w:bookmarkEnd w:id="2605"/>
      <w:r>
        <w:rPr>
          <w:rFonts w:ascii="Times New Roman;Times;serif" w:hAnsi="Times New Roman;Times;serif"/>
          <w:sz w:val="24"/>
        </w:rPr>
        <w:t>Headings</w:t>
      </w:r>
      <w:r>
        <w:rPr>
          <w:rFonts w:ascii="Times New Roman;Times;serif" w:hAnsi="Times New Roman;Times;serif"/>
          <w:i/>
          <w:sz w:val="24"/>
        </w:rPr>
        <w:t>.</w:t>
      </w:r>
      <w:r>
        <w:rPr>
          <w:rFonts w:ascii="Times New Roman;Times;serif" w:hAnsi="Times New Roman;Times;serif"/>
          <w:sz w:val="24"/>
        </w:rPr>
        <w:t xml:space="preserve">  Section headings used in this Agreement are for reference only and shall not affect the construction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18.15</w:t>
      </w:r>
      <w:bookmarkStart w:id="2606" w:name="_Toc209549871"/>
      <w:bookmarkEnd w:id="2606"/>
      <w:r>
        <w:rPr>
          <w:rFonts w:ascii="Times New Roman;Times;serif" w:hAnsi="Times New Roman;Times;serif"/>
          <w:sz w:val="24"/>
        </w:rPr>
        <w:t xml:space="preserve">Costs and Expenses; Indemnification.  (a) The Borrower agrees to pay all reasonable costs and expenses of the Administrative Agent </w:t>
      </w:r>
      <w:bookmarkStart w:id="2607" w:name="_cp_change_501"/>
      <w:bookmarkEnd w:id="2607"/>
      <w:r>
        <w:rPr>
          <w:rFonts w:ascii="Times New Roman;Times;serif" w:hAnsi="Times New Roman;Times;serif"/>
          <w:color w:val="FF0000"/>
          <w:sz w:val="24"/>
        </w:rPr>
        <w:t xml:space="preserve">and the Sustainability Structuring Agent </w:t>
      </w:r>
      <w:r>
        <w:rPr>
          <w:rFonts w:ascii="Times New Roman;Times;serif" w:hAnsi="Times New Roman;Times;serif"/>
          <w:sz w:val="24"/>
        </w:rPr>
        <w:t>in connection with the preparation, negotiation, syndication, and administration of the Loan Documents, including, without limitation, the reasonable fees and disbursements of counsel to the Administrative Agent</w:t>
      </w:r>
      <w:bookmarkStart w:id="2608" w:name="_cp_change_502"/>
      <w:bookmarkEnd w:id="2608"/>
      <w:r>
        <w:rPr>
          <w:rFonts w:ascii="Times New Roman;Times;serif" w:hAnsi="Times New Roman;Times;serif"/>
          <w:color w:val="FF0000"/>
          <w:sz w:val="24"/>
        </w:rPr>
        <w:t xml:space="preserve"> and the Sustainability Structuring Agent</w:t>
      </w:r>
      <w:r>
        <w:rPr>
          <w:rFonts w:ascii="Times New Roman;Times;serif" w:hAnsi="Times New Roman;Times;serif"/>
          <w:sz w:val="24"/>
        </w:rPr>
        <w:t>, in connection with the preparation and execution of the Loan Documents, and any amendment, waiver or consent related thereto, whether or not the transactions contemplated herein are consummated.  The Borrower agrees to pay to the Administrative Agent</w:t>
      </w:r>
      <w:bookmarkStart w:id="2609" w:name="_cp_change_503"/>
      <w:bookmarkEnd w:id="2609"/>
      <w:r>
        <w:rPr>
          <w:rFonts w:ascii="Times New Roman;Times;serif" w:hAnsi="Times New Roman;Times;serif"/>
          <w:color w:val="FF0000"/>
          <w:sz w:val="24"/>
        </w:rPr>
        <w:t xml:space="preserve">, the Sustainability Structuring Agent </w:t>
      </w:r>
      <w:r>
        <w:rPr>
          <w:rFonts w:ascii="Times New Roman;Times;serif" w:hAnsi="Times New Roman;Times;serif"/>
          <w:sz w:val="24"/>
        </w:rPr>
        <w:t>and each Lender all costs and expenses reasonably incurred or paid by the Administrative Agent,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Guarantor as a debtor thereunder).  The Borrower further agrees to indemnify the Administrative Agent, each Lender, and any security trustee therefor, and their respective directors, officers, employees, agents, financial advisors, and consultants (each such Person being called an “</w:t>
      </w:r>
      <w:r>
        <w:rPr>
          <w:rFonts w:ascii="Times New Roman;Times;serif" w:hAnsi="Times New Roman;Times;serif"/>
          <w:i/>
          <w:sz w:val="24"/>
        </w:rPr>
        <w:t>Indemnitee”</w:t>
      </w:r>
      <w:r>
        <w:rPr>
          <w:rFonts w:ascii="Times New Roman;Times;serif" w:hAnsi="Times New Roman;Times;serif"/>
          <w:sz w:val="24"/>
        </w:rPr>
        <w:t xml:space="preserve">) against all losses, claims, damages, penalties, judgments, liabilities and expenses (including,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Loan, other than those which arise from the gross negligence or willful misconduct of the party claiming indemnification.  The Borrower, upon demand by the Administrative Agent, or a Lender at any time, shall reimburse the Administrative Agent such Lender for any reasonable legal or other expenses (including, without limitation, all reasonable fees and disbursements of counsel for any such Indemnitee) incurred in connection with investigating or defending against any of the foregoing (including any settlement costs relating to the foregoing) except to the extent the same is due to the gross negligence or willful misconduct of the party to be indemnified.  To the extent permitted by applicable law, the parties hereto shall not assert, and each hereby waives, any claim against any Indemnitee, on any theory of liability,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Loan or the use of the proceeds thereof.  The obligations of the parties under this Section 12.15 shall survive the termination of this Agreement.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for any such Indemnitee, arising out of any of the following: (i) any presence, release, threatened release or disposal of any hazardous or toxic substance or petroleum by the Borrower or any Subsidiary or otherwise occurring on or with respect to its Properties (whether owned or leased), (ii) the operation or violation of any environmental law, whether federal, state, or local, and any regulations promulgated thereunder, by the Borrower or any Subsidiary or otherwise occurring on or with respect to its Properties (whether owned or leased), (iii) any claim for personal injury or property damage in connection with the Borrower or any Subsidiary or otherwise occurring on or with respect to its Properties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arising from the willful misconduct or gross negligence of the relevant Indemnitee. This indemnification shall survive the payment and satisfaction of all Obligations and the termination of this Agreement for a period of five (5) years,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18.16</w:t>
      </w:r>
      <w:bookmarkStart w:id="2610" w:name="_Toc209549872"/>
      <w:bookmarkEnd w:id="2610"/>
      <w:r>
        <w:rPr>
          <w:rFonts w:ascii="Times New Roman;Times;serif" w:hAnsi="Times New Roman;Times;serif"/>
          <w:sz w:val="24"/>
        </w:rPr>
        <w:t>Set-off.  In addition to any rights now or hereafter granted under the Loan Documents or applicable law and not by way of limitation of any such rights, during the continuance of any Event of Default, with the prior written consent of the Administrative Agent, each Lender, each subsequent holder of any Obligation, and each of their respective affiliates, is hereby authorized by the Borrower and each Guarantor at any time or from time to time, without notice to the Borrower or such Guarantor or to any other Person, any such notice being hereby expressly waived, to set-off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held or owing by that Lender, subsequent holder, or affiliate, to or for the credit or the account of the Borrower or such Guarantor, whether or not matured, against and on account of the Obligations then due of the Borrower or such Guarantor to that Lender, or subsequent holder under the Loan Documents, including, but not limited to, all claims of any nature or description arising out of or connected with the Loan Documents, irrespective of whether or not that Lender, or subsequent holder shall have made any demand hereunder.</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18.17</w:t>
      </w:r>
      <w:bookmarkStart w:id="2611" w:name="_Toc209549873"/>
      <w:bookmarkEnd w:id="2611"/>
      <w:r>
        <w:rPr>
          <w:rFonts w:ascii="Times New Roman;Times;serif" w:hAnsi="Times New Roman;Times;serif"/>
          <w:sz w:val="24"/>
        </w:rPr>
        <w:t>Entire Agreement.  The Loan Documents constitute the entire understanding of the parties thereto with respect to the subject matter thereof and any prior agreements, whether written or oral, with respect thereto are superseded hereby.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18.18</w:t>
      </w:r>
      <w:bookmarkStart w:id="2612" w:name="_Toc209549874"/>
      <w:bookmarkEnd w:id="2612"/>
      <w:r>
        <w:rPr>
          <w:rFonts w:ascii="Times New Roman;Times;serif" w:hAnsi="Times New Roman;Times;serif"/>
          <w:sz w:val="24"/>
        </w:rPr>
        <w:t>Governing Law.  This Agreement and the other Loan Documents (except as otherwise specified therein), and the rights and duties of the parties hereto, shall be construed and determined in accordance with the internal laws of the State of New York.</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18.19</w:t>
      </w:r>
      <w:bookmarkStart w:id="2613" w:name="_Toc209549875"/>
      <w:bookmarkEnd w:id="2613"/>
      <w:r>
        <w:rPr>
          <w:rFonts w:ascii="Times New Roman;Times;serif" w:hAnsi="Times New Roman;Times;serif"/>
          <w:sz w:val="24"/>
        </w:rPr>
        <w:t>Severability of Provisions</w:t>
      </w:r>
      <w:r>
        <w:rPr>
          <w:rFonts w:ascii="Times New Roman;Times;serif" w:hAnsi="Times New Roman;Times;serif"/>
          <w:i/>
          <w:sz w:val="24"/>
        </w:rPr>
        <w:t>.</w:t>
      </w:r>
      <w:r>
        <w:rPr>
          <w:rFonts w:ascii="Times New Roman;Times;serif" w:hAnsi="Times New Roman;Times;serif"/>
          <w:sz w:val="24"/>
        </w:rPr>
        <w:t xml:space="preserve">  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18.20</w:t>
      </w:r>
      <w:bookmarkStart w:id="2614" w:name="_Toc209549876"/>
      <w:bookmarkEnd w:id="2614"/>
      <w:r>
        <w:rPr>
          <w:rFonts w:ascii="Times New Roman;Times;serif" w:hAnsi="Times New Roman;Times;serif"/>
          <w:sz w:val="24"/>
        </w:rPr>
        <w:t>Excess Interest.  Notwithstanding any provision to the contrary contained 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Times New Roman;Times;serif" w:hAnsi="Times New Roman;Times;serif"/>
          <w:i/>
          <w:sz w:val="24"/>
        </w:rPr>
        <w:t>Excess</w:t>
      </w:r>
      <w:r>
        <w:rPr>
          <w:rFonts w:ascii="Times New Roman;Times;serif" w:hAnsi="Times New Roman;Times;serif"/>
          <w:sz w:val="24"/>
        </w:rPr>
        <w:t xml:space="preserve"> </w:t>
      </w:r>
      <w:r>
        <w:rPr>
          <w:rFonts w:ascii="Times New Roman;Times;serif" w:hAnsi="Times New Roman;Times;serif"/>
          <w:i/>
          <w:sz w:val="24"/>
        </w:rPr>
        <w:t>Interest”</w:t>
      </w:r>
      <w:r>
        <w:rPr>
          <w:rFonts w:ascii="Times New Roman;Times;serif" w:hAnsi="Times New Roman;Times;serif"/>
          <w:sz w:val="24"/>
        </w:rPr>
        <w:t>).  If any Excess Interest is provided for, or is adjudicated to be provided for, herein or in any other Loan Document, then in such event (a) the provisions of this Section 12.20 shall govern and control, (b) neither the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Times New Roman;Times;serif" w:hAnsi="Times New Roman;Times;serif"/>
          <w:i/>
          <w:sz w:val="24"/>
        </w:rPr>
        <w:t>Maximum</w:t>
      </w:r>
      <w:r>
        <w:rPr>
          <w:rFonts w:ascii="Times New Roman;Times;serif" w:hAnsi="Times New Roman;Times;serif"/>
          <w:sz w:val="24"/>
        </w:rPr>
        <w:t xml:space="preserve"> </w:t>
      </w:r>
      <w:r>
        <w:rPr>
          <w:rFonts w:ascii="Times New Roman;Times;serif" w:hAnsi="Times New Roman;Times;serif"/>
          <w:i/>
          <w:sz w:val="24"/>
        </w:rPr>
        <w:t>Rate”</w:t>
      </w:r>
      <w:r>
        <w:rPr>
          <w:rFonts w:ascii="Times New Roman;Times;serif" w:hAnsi="Times New Roman;Times;serif"/>
          <w:sz w:val="24"/>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the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18.21</w:t>
      </w:r>
      <w:bookmarkStart w:id="2615" w:name="_Toc209549877"/>
      <w:bookmarkEnd w:id="2615"/>
      <w:r>
        <w:rPr>
          <w:rFonts w:ascii="Times New Roman;Times;serif" w:hAnsi="Times New Roman;Times;serif"/>
          <w:sz w:val="24"/>
        </w:rPr>
        <w:t xml:space="preserve">Construction.  The parties acknowledge and agree that the Loan Documents shall not be construed more favorably in favor of any party hereto based upon which party drafted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same, it being acknowledged that all parties hereto contributed substantially to the negotiation of the Loan Documents.  The provisions of this Agreement relating to Subsidiaries shall only apply during such times as the Borrower has one or more Subsidiaries</w:t>
      </w:r>
      <w:r>
        <w:rPr>
          <w:rFonts w:ascii="Times New Roman;Times;serif" w:hAnsi="Times New Roman;Times;serif"/>
          <w:b w:val="false"/>
          <w:i w:val="false"/>
          <w:small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18.22</w:t>
      </w:r>
      <w:bookmarkStart w:id="2616" w:name="_Toc209549878"/>
      <w:bookmarkEnd w:id="2616"/>
      <w:r>
        <w:rPr>
          <w:rFonts w:ascii="Times New Roman;Times;serif" w:hAnsi="Times New Roman;Times;serif"/>
          <w:sz w:val="24"/>
        </w:rPr>
        <w:t>Lender’s Obligations Several.  The obligations of the Lenders hereunder are several and not joint.  Nothing contained in this Agreement and no action taken by the Lenders pursuant hereto shall be deemed to constitute the Lenders a partnership, association, joint venture or other entity.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18.23</w:t>
      </w:r>
      <w:bookmarkStart w:id="2617" w:name="_Toc209549879"/>
      <w:bookmarkEnd w:id="2617"/>
      <w:r>
        <w:rPr>
          <w:rFonts w:ascii="Times New Roman;Times;serif" w:hAnsi="Times New Roman;Times;serif"/>
          <w:sz w:val="24"/>
        </w:rPr>
        <w:t>Submission to Jurisdiction; Waiver of Jury Trial.  The Borrower and each Guarantor hereby submits to the nonexclusive jurisdiction of the United States District Court for the Southern District of New York and of any New York State court sitting in the City of New York for purposes of all legal proceedings arising out of or relating to this Agreement, the other Loan Documents or the transactions contemplated hereby or thereby.  The Borrower and each Guarantor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w:t>
      </w:r>
      <w:r>
        <w:rPr>
          <w:rFonts w:ascii="Times New Roman;Times;serif" w:hAnsi="Times New Roman;Times;serif"/>
          <w:smallCaps/>
          <w:sz w:val="24"/>
        </w:rPr>
        <w:t>The Borrower, each Guarantor, the Administrative Agent and the Lenders hereby irrevocably waive any and all right to trial by jury in any legal proceeding arising out of or relating to any Loan Document or the transactions contemplated thereby.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18.24</w:t>
      </w:r>
      <w:bookmarkStart w:id="2618" w:name="_Toc209549880"/>
      <w:bookmarkEnd w:id="2618"/>
      <w:r>
        <w:rPr>
          <w:rFonts w:ascii="Times New Roman;Times;serif" w:hAnsi="Times New Roman;Times;serif"/>
          <w:sz w:val="24"/>
        </w:rPr>
        <w:t>USA Patriot Act.  Each Lender that is subject to the requirements of the Patriot Act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to identify the Borrower in accordance with the Patriot 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18.25</w:t>
      </w:r>
      <w:bookmarkStart w:id="2619" w:name="_Toc209549881"/>
      <w:bookmarkEnd w:id="2619"/>
      <w:r>
        <w:rPr>
          <w:rFonts w:ascii="Times New Roman;Times;serif" w:hAnsi="Times New Roman;Times;serif"/>
          <w:sz w:val="24"/>
        </w:rPr>
        <w:t xml:space="preserve">Confidentiality.  Each of the Administrative Agent and the Lenders, severally agrees to maintain the confidentiality of the Information (as defined below), except that Information may be disclosed in compliance with applicable law (a) to its and its Affiliates’ 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w:t>
      </w:r>
      <w:r>
        <w:rPr>
          <w:rFonts w:ascii="Times New Roman;Times;serif" w:hAnsi="Times New Roman;Times;serif"/>
          <w:i/>
          <w:sz w:val="24"/>
        </w:rPr>
        <w:t>provided</w:t>
      </w:r>
      <w:r>
        <w:rPr>
          <w:rFonts w:ascii="Times New Roman;Times;serif" w:hAnsi="Times New Roman;Times;serif"/>
          <w:sz w:val="24"/>
        </w:rPr>
        <w:t xml:space="preserve"> that to the extent practicable and permitted by applicable law, the party requested to disclose any information will provide prompt written notice of such request to the Borrower, will allow the Borrower a reasonable opportunity to seek appropriate protective measures prior to disclosure and will disclose the minimum amount of information required to comply with such applicable law, regulation, subpoena or legal process, (d) to any other party hereto, (e) to the extent reasonably necessary after consultation with counsel, in connection with the exercise of any remedies hereunder or under any other Loan Document or any suit, action or proceeding relating to this Agreement or any other Loan Document or the enforcement of rights hereunder or thereunder, </w:t>
      </w:r>
      <w:r>
        <w:rPr>
          <w:rFonts w:ascii="Times New Roman;Times;serif" w:hAnsi="Times New Roman;Times;serif"/>
          <w:i/>
          <w:sz w:val="24"/>
        </w:rPr>
        <w:t>provided</w:t>
      </w:r>
      <w:r>
        <w:rPr>
          <w:rFonts w:ascii="Times New Roman;Times;serif" w:hAnsi="Times New Roman;Times;serif"/>
          <w:sz w:val="24"/>
        </w:rPr>
        <w:t xml:space="preserve"> that, to the extent reasonably practicable, the party requested to disclose any such information will provide prompt written notice of such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request to the Borrower and will allow the Borrower a reasonable opportunity to seek appropriate protective measures prior to such disclosure, (f) subject to an agreement containing provisions substantially the same as those of this Section 12.25, to (A) any assignee of or participant in, or any prospective assignee of or participant in, any of its rights or obligations under this Agreement or (B) 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12.25 or (B) becomes available to the Administrative Agent, any Lender on a non-confidential basis from a source other than the Borrower or any Subsidiary or any of their directors, officers, employees or agents, including accountants, legal counsel and other advisors; </w:t>
      </w:r>
      <w:r>
        <w:rPr>
          <w:rFonts w:ascii="Times New Roman;Times;serif" w:hAnsi="Times New Roman;Times;serif"/>
          <w:b w:val="false"/>
          <w:i/>
          <w:sz w:val="24"/>
        </w:rPr>
        <w:t>provided</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 xml:space="preserve">that the Administrative Agent, any Lender may use such Information as permitted by clause (a) above, but the Administrative Agent, any Lender shall not otherwise disclose such Information except as permitted by clauses (b) - (g), (i), (j) or (k) of this Section 12.25, (i) to rating agencies if requested or required by such agencies in connection with a rating relating to the Loans or the Commitments hereunder, (j) to Gold Sheets and other similar bank trade publications (such information to consist of deal terms and other information regarding the credit facilities evidenced by this Agreement customarily found in such publications), or (k) to entities which compile and publish information about the syndicated loan market, </w:t>
      </w:r>
      <w:r>
        <w:rPr>
          <w:rFonts w:ascii="Times New Roman;Times;serif" w:hAnsi="Times New Roman;Times;serif"/>
          <w:b w:val="false"/>
          <w:i/>
          <w:sz w:val="24"/>
        </w:rPr>
        <w:t>provided</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that only basic information about the pricing and structure of the transaction evidenced hereby may be disclosed pursuant to this subsection (j).</w:t>
      </w:r>
      <w:r>
        <w:rPr>
          <w:rFonts w:ascii="Times New Roman;Times;serif" w:hAnsi="Times New Roman;Times;serif"/>
          <w:smallCaps/>
          <w:sz w:val="24"/>
        </w:rPr>
        <w:t xml:space="preserve">  </w:t>
      </w:r>
      <w:r>
        <w:rPr>
          <w:rFonts w:ascii="Times New Roman;Times;serif" w:hAnsi="Times New Roman;Times;serif"/>
          <w:b w:val="false"/>
          <w:i w:val="false"/>
          <w:caps w:val="false"/>
          <w:smallCaps w:val="false"/>
          <w:sz w:val="24"/>
        </w:rPr>
        <w:t xml:space="preserve">For purposes of this Section 12.25, </w:t>
      </w:r>
      <w:r>
        <w:rPr>
          <w:rFonts w:ascii="Times New Roman;Times;serif" w:hAnsi="Times New Roman;Times;serif"/>
          <w:sz w:val="24"/>
        </w:rPr>
        <w:t>“</w:t>
      </w:r>
      <w:r>
        <w:rPr>
          <w:rFonts w:ascii="Times New Roman;Times;serif" w:hAnsi="Times New Roman;Times;serif"/>
          <w:b w:val="false"/>
          <w:i/>
          <w:sz w:val="24"/>
        </w:rPr>
        <w:t>Information”</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on a non-confidential basis prior to disclosure by the Borrower or any of its Subsidiaries or from any other Person on behalf of the Borrower or any of the Subsidiaries.  Each of the Administrative Agent, the Lenders specifically acknowledges that the common stock of the Borrower is traded on the NYSE American Exchange under the trading symbol “CTO.”  Each of the Administrative Agent, the Lenders further expressly acknowledges that it is aware that the securities laws of the United States prohibit any person who has received from an issuer material, non-public information, including information concerning the matters that are the subject of this Agreement, from purchasing or selling securities of such issuer on the basis of material, non-public information concerning the issuer of such securities or, subject to certain limited exceptions, from communicating such information to any other Person.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18.26</w:t>
      </w:r>
      <w:bookmarkStart w:id="2620" w:name="_Toc209549882"/>
      <w:bookmarkEnd w:id="2620"/>
      <w:r>
        <w:rPr>
          <w:rFonts w:ascii="Times New Roman;Times;serif" w:hAnsi="Times New Roman;Times;serif"/>
          <w:sz w:val="24"/>
        </w:rPr>
        <w:t>Limitation of Recourse</w:t>
      </w:r>
      <w:r>
        <w:rPr>
          <w:rFonts w:ascii="Times New Roman;Times;serif" w:hAnsi="Times New Roman;Times;serif"/>
          <w:i/>
          <w:sz w:val="24"/>
        </w:rPr>
        <w:t>.</w:t>
      </w:r>
      <w:r>
        <w:rPr>
          <w:rFonts w:ascii="Times New Roman;Times;serif" w:hAnsi="Times New Roman;Times;serif"/>
          <w:sz w:val="24"/>
        </w:rPr>
        <w:t xml:space="preserve">  There shall be full recourse to the Borrower and the Guarantors and all of their assets and properties for the Obligations and any other liability under the Loan Documents. Subject to clauses (i) and (ii) of the following sentence, in no event shall any officer or director of the Borrower or any of its Subsidiaries be personally liable or obligated for the Obligations or any other liability under the Loan Documents.  Nothing herein contained shall limit or be construed to (i) release any such officer or director from liability for his or her fraudulent actions, misappropriation of funds or willful misconduct or (ii) limit or impair the exercise of remedies with respect to the Borrower and the Guarantors under the Loan Documents.  The provisions of this Section 12.26 shall survive the termination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18.27</w:t>
      </w:r>
      <w:bookmarkStart w:id="2621" w:name="_Toc209549883"/>
      <w:bookmarkEnd w:id="2621"/>
      <w:r>
        <w:rPr>
          <w:rFonts w:ascii="Times New Roman;Times;serif" w:hAnsi="Times New Roman;Times;serif"/>
          <w:sz w:val="24"/>
        </w:rPr>
        <w:t>Other Taxes</w:t>
      </w:r>
      <w:r>
        <w:rPr>
          <w:rFonts w:ascii="Times New Roman;Times;serif" w:hAnsi="Times New Roman;Times;serif"/>
          <w:i/>
          <w:sz w:val="24"/>
        </w:rPr>
        <w:t>.</w:t>
      </w:r>
      <w:r>
        <w:rPr>
          <w:rFonts w:ascii="Times New Roman;Times;serif" w:hAnsi="Times New Roman;Times;serif"/>
          <w:sz w:val="24"/>
        </w:rPr>
        <w:t xml:space="preserve">  The Borrower agrees to pay on demand, and indemnify and hold the Administrative Agent and the Lenders harmless from, any Other Taxes payable in respect of this Agreement or any other Loan Document, including interest and penalties, in the event any such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taxes are assessed, irrespective of when such assessment is made and whether or not any credit is then in use or available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18.28</w:t>
      </w:r>
      <w:bookmarkStart w:id="2622" w:name="_Toc209549884"/>
      <w:bookmarkEnd w:id="2622"/>
      <w:r>
        <w:rPr>
          <w:rFonts w:ascii="Times New Roman;Times;serif" w:hAnsi="Times New Roman;Times;serif"/>
          <w:sz w:val="24"/>
        </w:rPr>
        <w:t>Acknowledgement and Consent to Bail-In of Affected Financial Institutions</w:t>
      </w:r>
      <w:r>
        <w:rPr>
          <w:rFonts w:ascii="Times New Roman;Times;serif" w:hAnsi="Times New Roman;Times;serif"/>
          <w:i/>
          <w:sz w:val="24"/>
        </w:rPr>
        <w:t>.</w:t>
      </w:r>
      <w:r>
        <w:rPr>
          <w:rFonts w:ascii="Times New Roman;Times;serif" w:hAnsi="Times New Roman;Times;serif"/>
          <w:sz w:val="24"/>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(b)the effects of any Bail-In Action on any such liability, including, if applicable:</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(i)a reduction in full or in part or cancellation of any such liability;</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(iii)the variation of the terms of such liability in connection with the exercise of the write-down and conversion powers of any EEA Resolution Authority.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18.29</w:t>
      </w:r>
      <w:bookmarkStart w:id="2623" w:name="_Toc209549885"/>
      <w:bookmarkEnd w:id="2623"/>
      <w:r>
        <w:rPr>
          <w:rFonts w:ascii="Times New Roman;Times;serif" w:hAnsi="Times New Roman;Times;serif"/>
          <w:sz w:val="24"/>
        </w:rPr>
        <w:t>Acknowledgement Regarding Any Supported QFCs</w:t>
      </w:r>
      <w:r>
        <w:rPr>
          <w:rFonts w:ascii="Times New Roman;Times;serif" w:hAnsi="Times New Roman;Times;serif"/>
          <w:i/>
          <w:sz w:val="24"/>
        </w:rPr>
        <w:t>.</w:t>
      </w:r>
      <w:r>
        <w:rPr>
          <w:rFonts w:ascii="Times New Roman;Times;serif" w:hAnsi="Times New Roman;Times;serif"/>
          <w:sz w:val="24"/>
        </w:rPr>
        <w:t xml:space="preserve">  To the extent that the Loan Documents provide support, through a guarantee or otherwise, for Hedging Agreements or any other agreement or instrument that is a QFC (such support, “</w:t>
      </w:r>
      <w:r>
        <w:rPr>
          <w:rFonts w:ascii="Times New Roman;Times;serif" w:hAnsi="Times New Roman;Times;serif"/>
          <w:i/>
          <w:sz w:val="24"/>
        </w:rPr>
        <w:t>QFC</w:t>
      </w:r>
      <w:r>
        <w:rPr>
          <w:rFonts w:ascii="Times New Roman;Times;serif" w:hAnsi="Times New Roman;Times;serif"/>
          <w:sz w:val="24"/>
        </w:rPr>
        <w:t xml:space="preserve"> </w:t>
      </w:r>
      <w:r>
        <w:rPr>
          <w:rFonts w:ascii="Times New Roman;Times;serif" w:hAnsi="Times New Roman;Times;serif"/>
          <w:i/>
          <w:sz w:val="24"/>
        </w:rPr>
        <w:t>Credit</w:t>
      </w:r>
      <w:r>
        <w:rPr>
          <w:rFonts w:ascii="Times New Roman;Times;serif" w:hAnsi="Times New Roman;Times;serif"/>
          <w:sz w:val="24"/>
        </w:rPr>
        <w:t xml:space="preserve"> </w:t>
      </w:r>
      <w:r>
        <w:rPr>
          <w:rFonts w:ascii="Times New Roman;Times;serif" w:hAnsi="Times New Roman;Times;serif"/>
          <w:i/>
          <w:sz w:val="24"/>
        </w:rPr>
        <w:t>Support</w:t>
      </w:r>
      <w:r>
        <w:rPr>
          <w:rFonts w:ascii="Times New Roman;Times;serif" w:hAnsi="Times New Roman;Times;serif"/>
          <w:sz w:val="24"/>
        </w:rPr>
        <w:t>” and each such QFC a “</w:t>
      </w:r>
      <w:r>
        <w:rPr>
          <w:rFonts w:ascii="Times New Roman;Times;serif" w:hAnsi="Times New Roman;Times;serif"/>
          <w:i/>
          <w:sz w:val="24"/>
        </w:rPr>
        <w:t>Supported</w:t>
      </w:r>
      <w:r>
        <w:rPr>
          <w:rFonts w:ascii="Times New Roman;Times;serif" w:hAnsi="Times New Roman;Times;serif"/>
          <w:sz w:val="24"/>
        </w:rPr>
        <w:t xml:space="preserve"> </w:t>
      </w:r>
      <w:r>
        <w:rPr>
          <w:rFonts w:ascii="Times New Roman;Times;serif" w:hAnsi="Times New Roman;Times;serif"/>
          <w:i/>
          <w:sz w:val="24"/>
        </w:rPr>
        <w:t>QFC</w:t>
      </w:r>
      <w:r>
        <w:rPr>
          <w:rFonts w:ascii="Times New Roman;Times;serif" w:hAnsi="Times New Roman;Times;serif"/>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i/>
          <w:sz w:val="24"/>
        </w:rPr>
        <w:t>U.S.</w:t>
      </w:r>
      <w:r>
        <w:rPr>
          <w:rFonts w:ascii="Times New Roman;Times;serif" w:hAnsi="Times New Roman;Times;serif"/>
          <w:sz w:val="24"/>
        </w:rPr>
        <w:t xml:space="preserve"> </w:t>
      </w:r>
      <w:r>
        <w:rPr>
          <w:rFonts w:ascii="Times New Roman;Times;serif" w:hAnsi="Times New Roman;Times;serif"/>
          <w:i/>
          <w:sz w:val="24"/>
        </w:rPr>
        <w:t>Special</w:t>
      </w:r>
      <w:r>
        <w:rPr>
          <w:rFonts w:ascii="Times New Roman;Times;serif" w:hAnsi="Times New Roman;Times;serif"/>
          <w:sz w:val="24"/>
        </w:rPr>
        <w:t xml:space="preserve"> </w:t>
      </w:r>
      <w:r>
        <w:rPr>
          <w:rFonts w:ascii="Times New Roman;Times;serif" w:hAnsi="Times New Roman;Times;serif"/>
          <w:i/>
          <w:sz w:val="24"/>
        </w:rPr>
        <w:t>Resolution</w:t>
      </w:r>
      <w:r>
        <w:rPr>
          <w:rFonts w:ascii="Times New Roman;Times;serif" w:hAnsi="Times New Roman;Times;serif"/>
          <w:sz w:val="24"/>
        </w:rPr>
        <w:t xml:space="preserve"> </w:t>
      </w:r>
      <w:r>
        <w:rPr>
          <w:rFonts w:ascii="Times New Roman;Times;serif" w:hAnsi="Times New Roman;Times;serif"/>
          <w:i/>
          <w:sz w:val="24"/>
        </w:rPr>
        <w:t>Regimes</w:t>
      </w:r>
      <w:r>
        <w:rPr>
          <w:rFonts w:ascii="Times New Roman;Times;serif" w:hAnsi="Times New Roman;Times;serif"/>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(a)In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(b)As used in this Section, the following terms have the following meanings:</w:t>
      </w:r>
    </w:p>
    <w:p>
      <w:pPr>
        <w:pStyle w:val="TextBody"/>
        <w:bidi w:val="0"/>
        <w:spacing w:before="280" w:after="0"/>
        <w:ind w:left="720" w:right="0" w:hanging="0"/>
        <w:jc w:val="both"/>
        <w:rPr/>
      </w:pPr>
      <w:r>
        <w:rPr/>
        <w:t>“</w:t>
      </w:r>
      <w:r>
        <w:rPr>
          <w:rFonts w:ascii="Times New Roman;Times;serif" w:hAnsi="Times New Roman;Times;serif"/>
          <w:sz w:val="24"/>
        </w:rPr>
        <w:t>BHC Act Affiliate” of a party means an “affiliate” (as such term is defined under, and interpreted in accordance with, 12 U.S.C. 1841(k)) of such party.</w:t>
      </w:r>
    </w:p>
    <w:p>
      <w:pPr>
        <w:pStyle w:val="TextBody"/>
        <w:bidi w:val="0"/>
        <w:spacing w:before="280" w:after="240"/>
        <w:ind w:left="720" w:right="0" w:hanging="0"/>
        <w:jc w:val="both"/>
        <w:rPr/>
      </w:pPr>
      <w:r>
        <w:rPr/>
        <w:t>“</w:t>
      </w:r>
      <w:r>
        <w:rPr>
          <w:rFonts w:ascii="Times New Roman;Times;serif" w:hAnsi="Times New Roman;Times;serif"/>
          <w:sz w:val="24"/>
        </w:rPr>
        <w:t>Covered Entity” means any of the following:</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(i)a “covered entity” as that term is defined in, and interpreted in accordance with, 12 C.F.R. §252.82(b);</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(ii)a “covered bank” as that term is defined in, and interpreted in accordance with, 12 C.F.R. §47.3(b); or</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(iii)a “covered FSI” as that term is defined in, and interpreted in accordance with, 12 C.F.R. §382.2(b).</w:t>
      </w:r>
    </w:p>
    <w:p>
      <w:pPr>
        <w:pStyle w:val="TextBody"/>
        <w:bidi w:val="0"/>
        <w:spacing w:before="0" w:after="0"/>
        <w:ind w:left="720" w:right="0" w:hanging="0"/>
        <w:jc w:val="both"/>
        <w:rPr/>
      </w:pPr>
      <w:r>
        <w:rPr/>
        <w:t>“</w:t>
      </w:r>
      <w:r>
        <w:rPr>
          <w:rFonts w:ascii="Times New Roman;Times;serif" w:hAnsi="Times New Roman;Times;serif"/>
          <w:sz w:val="24"/>
        </w:rPr>
        <w:t>Default Rights” has the meaning assigned to that term in, and shall be interpreted in accordance with, 12 C.F.R. §§252.81, 47.2 or 382.1, as applicable.</w:t>
      </w:r>
    </w:p>
    <w:p>
      <w:pPr>
        <w:pStyle w:val="TextBody"/>
        <w:bidi w:val="0"/>
        <w:spacing w:before="240" w:after="240"/>
        <w:ind w:left="720" w:right="0" w:hanging="0"/>
        <w:jc w:val="both"/>
        <w:rPr/>
      </w:pPr>
      <w:r>
        <w:rPr/>
        <w:t>“</w:t>
      </w:r>
      <w:r>
        <w:rPr>
          <w:rFonts w:ascii="Times New Roman;Times;serif" w:hAnsi="Times New Roman;Times;serif"/>
          <w:sz w:val="24"/>
        </w:rPr>
        <w:t>QFC” has the meaning assigned to the term “qualified financial contract” in, and shall be interpreted in accordance with, 12 U.S.C. 5390(c)(8)(D).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18.30</w:t>
      </w:r>
      <w:bookmarkStart w:id="2624" w:name="_Toc209549886"/>
      <w:bookmarkEnd w:id="2624"/>
      <w:r>
        <w:rPr>
          <w:rFonts w:ascii="Times New Roman;Times;serif" w:hAnsi="Times New Roman;Times;serif"/>
          <w:sz w:val="24"/>
        </w:rPr>
        <w:t>Erroneous Payment.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(a)If Administrative Agent notifies a Lender, or any Person who has received funds on behalf of a Lender or Secured Party (any such Lender or other recipient, a “Payment Recipient”) that Administrative Agent has determined in its sole discretion (whether or not after receipt of any notice under Section 12.30(b)) that any funds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individually and collectively, an “Erroneous Payment”) and demands the return of such Erroneous Payment (or a portion thereof), such Erroneous Payment shall at all times remain the property of Administrative Agent and shall be segregated by the Payment Recipient and held in trust for the benefit of Administrative Agent, and such Lender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Administrative Agent in same day funds at the greater of the Federal Funds Effective Rate and a rate determined by Administrative Agent in accordance with banking industry rules on interbank compensation from time to time in effect. A notice of Administrative Agent to any Payment Recipient under this Section 12.30(a) shall be conclusive, absent manifest error.</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(b)Without limiting the provisions of Section 12.30(a), each Payment Recipient 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(i)it acknowledges and agrees that (A) in the case of immediately preceding clauses (x) or (y), an error and mistake shall be presumed to have been made (absent written confirmation from Administrative Agent to the contrary) or (B) an error and mistake has been made in the case of immediately preceding clause (z)), in each case, with respect to such payment, prepayment or repayment; and</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(ii)such Lender shall (and shall cause any other recipient that receives funds on its respective behalf to) promptly (and, in all events, within one Business Day of its knowledge of such error) notify Administrative Agent of its receipt of such payment, prepayment or repayment, the details thereof (in reasonable detail) and that it is so notifying Administrative Agent pursuant to this Section 12.30(b).</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For the avoidance of doubt, the failure to deliver a notice to the Administrative Agent pursuant to this Section 12.30(b) shall not have any effect on a Payment Recipient’s obligations pursuant to Section 12.30(b) or on whether or not an Erroneous Payment has been made.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(c)Each Lender hereby authorizes Administrative Agent to set off, net and apply any and all amounts at any time owing to such Lender under any Loan Document, or otherwise payable or distributable by Administrative Agent to such Lender from any source, against any amount due to Administrative Agent under Section 12.30(a) or under the indemnification provisions of this Agreement.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(d)(i) Notwithstanding anything contained in Section 12.30, in the event that an Erroneous Payment (or portion thereof) is not recovered by Administrative Agent for any reason, after demand therefor by Administrative Agent in accordance with Section 12.30(a), from any Lender that has received such Erroneous Payment (or portion thereof) (and/or from any Payment Recipient who received such Erroneous Payment (or portion thereof) on its respective behalf) (such unrecovered amount, an “Erroneous Payment Return Deficiency”), upon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“Erroneous Payment Impacted Class”) in an amount equal to the Erroneous Payment Return Deficiency (or such lesser amount as Administrative Agent may specify) (such assignment of the Loans (but not Commitments) of the Erroneous Payment Impacted Class, the “Erroneous Payment Deficiency Assignment”) (on a cashless basis and such amount calculated at par plus any accrued and unpaid interest (with the assignment fee to be waived by Administrative Agent in such instance)), and is hereby (together with the Borrower) deemed to execute and deliver an Assignment and Acceptance with respect to such Erroneous Payment Deficiency Assignment, and such Lender shall deliver any Notes evidencing such Loans to Borrower or Administrative Agent (but the failure of such Person to deliver any such Notes shall not affect the effectiveness of the foregoing assignment), (B) Administrative Agent as the assignee Lender shall be deemed to acquire the Erroneous Payment Deficiency Assignment, (C)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 xml:space="preserve">(ii)Subject to this Section 12.30,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Administrative Agent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“Erroneous Payment Subrogation Rights”) (provided that the Borrower’s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provided that this Section 12.30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(f)To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waiver of any defense based on “discharge for value” or any similar doctrine.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(g)Each party’s obligations, agreements and waivers under this Section 12.30 shall survive the resignation or replacement of Administrative Agent, any transfer of rights or obligations by, or the replacement of, a Lender, the termination of the Commitments and/or the repayment, satisfaction or discharge of all Obligations (or any portion thereof).</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caps/>
          <w:sz w:val="24"/>
        </w:rPr>
      </w:pPr>
      <w:r>
        <w:rPr>
          <w:rFonts w:ascii="Times New Roman;Times;serif" w:hAnsi="Times New Roman;Times;serif"/>
          <w:caps/>
          <w:sz w:val="24"/>
        </w:rPr>
        <w:t>SECTION 19.</w:t>
      </w:r>
      <w:bookmarkStart w:id="2625" w:name="_Toc209549887"/>
      <w:bookmarkEnd w:id="2625"/>
      <w:r>
        <w:rPr>
          <w:rFonts w:ascii="Times New Roman;Times;serif" w:hAnsi="Times New Roman;Times;serif"/>
          <w:caps/>
          <w:sz w:val="24"/>
        </w:rPr>
        <w:t>The Guarantees</w:t>
      </w:r>
      <w:r>
        <w:rPr>
          <w:rFonts w:ascii="Times New Roman Bold" w:hAnsi="Times New Roman Bold"/>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19.1</w:t>
      </w:r>
      <w:bookmarkStart w:id="2626" w:name="_Toc209549888"/>
      <w:bookmarkEnd w:id="2626"/>
      <w:r>
        <w:rPr>
          <w:rFonts w:ascii="Times New Roman;Times;serif" w:hAnsi="Times New Roman;Times;serif"/>
          <w:sz w:val="24"/>
        </w:rPr>
        <w:t>The Guarantees.  To induce the Lenders to provide the credits described herein and in consideration of benefits expected to accrue to the Borrower by reason of the Loans and Commitments and for other good and valuable consideration, receipt of which is hereby acknowledged, each Material Subsidiary party hereto (including any Material Subsidiary formed or acquired after the Closing Date executing an Additional Guarantor Supplement in the form attached hereto as Exhibit G or such other form acceptable to the Administrative Agent) hereby unconditionally and irrevocably guarantees jointly and severally to the Administrative Agent, the Lenders and each Hedging Counterparty (even if such Hedging Counterparty or any Person affiliated with such Hedging Counterparty shall cease to be a Lender hereunder), the due and punctual payment of all present and future Obligations, including, but not limited to, the due and punctual payment of principal of and interest on the Loans, Hedging Liability, Funds Transfer and Deposit Account Liability,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19.2</w:t>
      </w:r>
      <w:bookmarkStart w:id="2627" w:name="_Toc209549889"/>
      <w:bookmarkEnd w:id="2627"/>
      <w:r>
        <w:rPr>
          <w:rFonts w:ascii="Times New Roman;Times;serif" w:hAnsi="Times New Roman;Times;serif"/>
          <w:sz w:val="24"/>
        </w:rPr>
        <w:t>Guarantee Unconditional.  The obligations of each Guarantor under this Section 13 shall be unconditional and absolute and, without limiting the generality of the foregoing, shall not be released, discharged, or otherwise affected by:</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(a)any extension, renewal, settlement, compromise, waiver, or release in respect of any obligation of the Borrower or other obligor or of any other guarantor under this Agreement or any other Loan Document or by operation of law or otherwise;</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(b)any modification or amendment of or supplement to this Agreement or any other Loan Document;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(c)any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(d)the existence of any claim, set-off, or other rights which the Borrower or other obligor or any other guarantor may have at any time against the Administrative Agent, any Lender, or any other Person, whether or not arising in connection herewith;</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(e)any failure to assert, or any assertion of, any claim or demand or any exercise of, or failure to exercise, any rights or remedies against the Borrower or other obligor, any other guarantor, or any other Person or Property or other assets;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(f)any application of any sums by whomsoever paid or howsoever realized to any obligation of the Borrower or other obligor, regardless of what obligations of the Borrower or other obligor remain unpaid;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(g)any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Loan or any other amount payable under the Loan Documents; or</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(h)any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Section 13.</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19.3</w:t>
      </w:r>
      <w:bookmarkStart w:id="2628" w:name="_Toc209549890"/>
      <w:bookmarkEnd w:id="2628"/>
      <w:r>
        <w:rPr>
          <w:rFonts w:ascii="Times New Roman;Times;serif" w:hAnsi="Times New Roman;Times;serif"/>
          <w:sz w:val="24"/>
        </w:rPr>
        <w:t>Discharge Only upon Payment in Full; Reinstatement in Certain Circumstances.  Each Guarantor’s obligations under this Section 13 shall remain in full force and effect until the Commitments are terminated, and the principal of and interest on the Loans and all other amounts payable by the Borrower and the Guarantors under this Agreement and all other Loan Documents have been paid in full.  If at any time any payment of the principal of or interest on any Loan or any other amount payable by the Borrower or other obligor or any Guarantor under the Loan Documents is rescinded or must be otherwise restored or returned upon the insolvency, bankruptcy, or reorganization of the Borrower or other obligor or of any guarantor, or otherwise, each Guarantor’s obligations under this Section 13 with respect to such payment shall be reinstated at such time as though such payment had become due but had not been made at such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19.4</w:t>
      </w:r>
      <w:bookmarkStart w:id="2629" w:name="_Toc209549891"/>
      <w:bookmarkEnd w:id="2629"/>
      <w:r>
        <w:rPr>
          <w:rFonts w:ascii="Times New Roman;Times;serif" w:hAnsi="Times New Roman;Times;serif"/>
          <w:sz w:val="24"/>
        </w:rPr>
        <w:t>Subrogation.  Each Guarantor agrees it will not exercise any rights which it may acquire by way of subrogation by any payment made hereunder, or otherwise, until all the obligations guaranteed hereby shall have been paid in full subsequent to the termination of all the Commitments.  If any amount shall be paid to a Guarantor on account of such subrogation rights at any time prior to the later of (x) the payment in full of the Obligations, Funds Transfer and Deposit Account Liability and Hedging Liability and all other amounts payable by the Borrower hereunder and the other Loan Documents and (y) the termination of the Commitments, such amount shall be held in trust for the benefit of the Administrative Agent and the Lenders (and their Affiliates) and shall forthwith be paid to the Administrative Agent for the benefit of the Lenders (and their Affiliates) or be credited and applied upon the Obligations, Funds Transfer and Deposit Account Liability and Hedging Liability, whether matured or unmatured, in accordance with the terms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19.5</w:t>
      </w:r>
      <w:bookmarkStart w:id="2630" w:name="_Toc209549892"/>
      <w:bookmarkEnd w:id="2630"/>
      <w:r>
        <w:rPr>
          <w:rFonts w:ascii="Times New Roman;Times;serif" w:hAnsi="Times New Roman;Times;serif"/>
          <w:sz w:val="24"/>
        </w:rPr>
        <w:t>Waivers.  Each Guarantor irrevocably waives acceptance hereof, presentment, demand, protest, and any notice except as specifically provided for herein, as well as any requirement that at any time any action be taken by the Administrative Agent, any Lender, or any other Person against the Borrower or other obligor, another guarantor, or any other Person.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19.6</w:t>
      </w:r>
      <w:bookmarkStart w:id="2631" w:name="_Toc209549893"/>
      <w:bookmarkEnd w:id="2631"/>
      <w:r>
        <w:rPr>
          <w:rFonts w:ascii="Times New Roman;Times;serif" w:hAnsi="Times New Roman;Times;serif"/>
          <w:sz w:val="24"/>
        </w:rPr>
        <w:t xml:space="preserve">Limit on Recovery.  Notwithstanding any other provision hereof, the right of recovery against each Guarantor under this Section 13 shall not exceed $1.00 less than the lowest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amount which would render such Guarantor’s obligations under this Section 13 void or voidable under applicable law, including, without limitation, fraudulent conveyance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19.7</w:t>
      </w:r>
      <w:bookmarkStart w:id="2632" w:name="_Toc209549894"/>
      <w:bookmarkEnd w:id="2632"/>
      <w:r>
        <w:rPr>
          <w:rFonts w:ascii="Times New Roman;Times;serif" w:hAnsi="Times New Roman;Times;serif"/>
          <w:sz w:val="24"/>
        </w:rPr>
        <w:t>Stay of Acceleration.  If acceleration of the time for payment of any amount 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19.8</w:t>
      </w:r>
      <w:bookmarkStart w:id="2633" w:name="_Toc209549895"/>
      <w:bookmarkEnd w:id="2633"/>
      <w:r>
        <w:rPr>
          <w:rFonts w:ascii="Times New Roman;Times;serif" w:hAnsi="Times New Roman;Times;serif"/>
          <w:sz w:val="24"/>
        </w:rPr>
        <w:t>Benefit to Guarantors.  The Borrower and the Guarantors are engaged in 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19.9</w:t>
      </w:r>
      <w:bookmarkStart w:id="2634" w:name="_Toc209549896"/>
      <w:bookmarkEnd w:id="2634"/>
      <w:r>
        <w:rPr>
          <w:rFonts w:ascii="Times New Roman;Times;serif" w:hAnsi="Times New Roman;Times;serif"/>
          <w:sz w:val="24"/>
        </w:rPr>
        <w:t>Guarantor Covenants</w:t>
      </w:r>
      <w:r>
        <w:rPr>
          <w:rFonts w:ascii="Times New Roman;Times;serif" w:hAnsi="Times New Roman;Times;serif"/>
          <w:i/>
          <w:sz w:val="24"/>
        </w:rPr>
        <w:t>.</w:t>
      </w:r>
      <w:r>
        <w:rPr>
          <w:rFonts w:ascii="Times New Roman;Times;serif" w:hAnsi="Times New Roman;Times;serif"/>
          <w:sz w:val="24"/>
        </w:rPr>
        <w:t xml:space="preserve">  Each Guarantor shall take such action as the Borrower is required by this Agreement to cause such Guarantor to take, and shall refrain from taking such action as the Borrower is required by this Agreement to prohibit such Guarantor from taking.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19.10</w:t>
      </w:r>
      <w:bookmarkStart w:id="2635" w:name="_Toc209549897"/>
      <w:bookmarkEnd w:id="2635"/>
      <w:r>
        <w:rPr>
          <w:rFonts w:ascii="Times New Roman;Times;serif" w:hAnsi="Times New Roman;Times;serif"/>
          <w:sz w:val="24"/>
        </w:rPr>
        <w:t>Keepwell.  Each Qualified ECP Guarantor hereby jointly and severally absolutely, unconditionally and irrevocably undertakes to provide such funds or other support as may be needed from time to time by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13.3.  Each Qualified ECP Guarantor intends that this Section constitute, and this Section shall be deemed to constitute, a “keepwell, support, or other agreement” for the benefit of each other Guarantor for all purposes of Section 1a(18)(A)(v)(II) of the Commodity Exchange Act.</w:t>
      </w:r>
    </w:p>
    <w:p>
      <w:pPr>
        <w:pStyle w:val="TextBody"/>
        <w:bidi w:val="0"/>
        <w:spacing w:before="280" w:after="0"/>
        <w:ind w:left="0" w:right="0" w:firstLine="240"/>
        <w:jc w:val="center"/>
        <w:rPr>
          <w:rFonts w:ascii="Times New Roman;Times;serif" w:hAnsi="Times New Roman;Times;serif"/>
          <w:smallCaps/>
          <w:sz w:val="24"/>
        </w:rPr>
      </w:pPr>
      <w:r>
        <w:rPr>
          <w:rFonts w:ascii="Times New Roman;Times;serif" w:hAnsi="Times New Roman;Times;serif"/>
          <w:smallCaps/>
          <w:sz w:val="24"/>
        </w:rPr>
        <w:t>[Signature Pages to Follow]</w:t>
      </w:r>
    </w:p>
    <w:p>
      <w:pPr>
        <w:pStyle w:val="TextBody"/>
        <w:bidi w:val="0"/>
        <w:spacing w:before="0" w:after="0"/>
        <w:ind w:left="0" w:right="0" w:hanging="0"/>
        <w:jc w:val="left"/>
        <w:rPr/>
      </w:pPr>
      <w:r>
        <w:rPr/>
        <w:t>​</w:t>
      </w:r>
    </w:p>
    <w:p>
      <w:pPr>
        <w:pStyle w:val="TextBody"/>
        <w:bidi w:val="0"/>
        <w:spacing w:before="280" w:after="283"/>
        <w:ind w:left="0" w:right="0" w:firstLine="72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-113-</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Credit Agreement is entered into between us for the uses and purposes hereinabove set forth as of the date first above written.</w:t>
      </w:r>
    </w:p>
    <w:p>
      <w:pPr>
        <w:pStyle w:val="TextBody"/>
        <w:pBdr/>
        <w:bidi w:val="0"/>
        <w:spacing w:before="280" w:after="0"/>
        <w:ind w:left="4680" w:right="0" w:hanging="360"/>
        <w:jc w:val="left"/>
        <w:rPr/>
      </w:pPr>
      <w:r>
        <w:rPr>
          <w:smallCaps/>
        </w:rPr>
        <w:t>“</w:t>
      </w:r>
      <w:r>
        <w:rPr>
          <w:rFonts w:ascii="Times" w:hAnsi="Times"/>
          <w:b/>
          <w:smallCaps/>
          <w:sz w:val="24"/>
        </w:rPr>
        <w:t>Borrower</w:t>
      </w:r>
      <w:r>
        <w:rPr>
          <w:rFonts w:ascii="Times New Roman;Times;serif" w:hAnsi="Times New Roman;Times;serif"/>
          <w:smallCaps/>
          <w:sz w:val="24"/>
        </w:rPr>
        <w:t>”</w:t>
      </w:r>
    </w:p>
    <w:p>
      <w:pPr>
        <w:pStyle w:val="TextBody"/>
        <w:bidi w:val="0"/>
        <w:spacing w:before="280" w:after="0"/>
        <w:ind w:left="4680" w:right="0" w:hanging="0"/>
        <w:jc w:val="left"/>
        <w:rPr>
          <w:rFonts w:ascii="Times New Roman;Times;serif" w:hAnsi="Times New Roman;Times;serif"/>
          <w:sz w:val="24"/>
        </w:rPr>
      </w:pPr>
      <w:r>
        <w:rPr>
          <w:rFonts w:ascii="Times" w:hAnsi="Times"/>
          <w:smallCaps/>
          <w:sz w:val="24"/>
        </w:rPr>
        <w:t xml:space="preserve">CTO Realty Growth, Inc., </w:t>
      </w:r>
      <w:r>
        <w:rPr>
          <w:rFonts w:ascii="Times" w:hAnsi="Times"/>
          <w:sz w:val="24"/>
        </w:rPr>
        <w:t>a Maryland corporation</w:t>
      </w:r>
    </w:p>
    <w:p>
      <w:pPr>
        <w:pStyle w:val="TextBody"/>
        <w:pBdr/>
        <w:bidi w:val="0"/>
        <w:spacing w:before="640" w:after="0"/>
        <w:ind w:left="4680" w:right="0" w:hanging="360"/>
        <w:jc w:val="left"/>
        <w:rPr>
          <w:rFonts w:ascii="Times" w:hAnsi="Times"/>
          <w:sz w:val="24"/>
        </w:rPr>
      </w:pPr>
      <w:r>
        <w:rPr>
          <w:rFonts w:ascii="Times" w:hAnsi="Times"/>
          <w:sz w:val="24"/>
        </w:rPr>
        <w:t>By</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400" w:after="0"/>
        <w:ind w:left="4680" w:right="0" w:hanging="360"/>
        <w:jc w:val="left"/>
        <w:rPr>
          <w:smallCaps/>
        </w:rPr>
      </w:pPr>
      <w:r>
        <w:rPr>
          <w:smallCaps/>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before="0" w:after="0"/>
        <w:ind w:left="4680" w:right="0" w:hanging="360"/>
        <w:jc w:val="left"/>
        <w:rPr/>
      </w:pPr>
      <w:r>
        <w:rPr>
          <w:smallCaps/>
        </w:rPr>
        <w:t>“</w:t>
      </w:r>
      <w:r>
        <w:rPr>
          <w:rFonts w:ascii="Times" w:hAnsi="Times"/>
          <w:b/>
          <w:smallCaps/>
          <w:sz w:val="24"/>
        </w:rPr>
        <w:t>Administrative Agent</w:t>
      </w:r>
      <w:r>
        <w:rPr>
          <w:rFonts w:ascii="Times New Roman;Times;serif" w:hAnsi="Times New Roman;Times;serif"/>
          <w:smallCaps/>
          <w:sz w:val="24"/>
        </w:rPr>
        <w:t>”</w:t>
      </w:r>
    </w:p>
    <w:p>
      <w:pPr>
        <w:pStyle w:val="TextBody"/>
        <w:pBdr/>
        <w:bidi w:val="0"/>
        <w:spacing w:before="280" w:after="0"/>
        <w:ind w:left="4680" w:right="0" w:hanging="360"/>
        <w:jc w:val="left"/>
        <w:rPr>
          <w:rFonts w:ascii="Times New Roman;Times;serif" w:hAnsi="Times New Roman;Times;serif"/>
          <w:sz w:val="24"/>
        </w:rPr>
      </w:pPr>
      <w:r>
        <w:rPr>
          <w:rFonts w:ascii="Times" w:hAnsi="Times"/>
          <w:smallCaps/>
          <w:sz w:val="24"/>
        </w:rPr>
        <w:t xml:space="preserve">KeyBank National Association, </w:t>
      </w:r>
      <w:r>
        <w:rPr>
          <w:rFonts w:ascii="Times" w:hAnsi="Times"/>
          <w:sz w:val="24"/>
        </w:rPr>
        <w:t>as Administrative Agent</w:t>
      </w:r>
    </w:p>
    <w:p>
      <w:pPr>
        <w:pStyle w:val="TextBody"/>
        <w:pBdr/>
        <w:bidi w:val="0"/>
        <w:spacing w:before="640" w:after="0"/>
        <w:ind w:left="4680" w:right="0" w:hanging="360"/>
        <w:jc w:val="left"/>
        <w:rPr>
          <w:rFonts w:ascii="Times" w:hAnsi="Times"/>
          <w:sz w:val="24"/>
        </w:rPr>
      </w:pPr>
      <w:r>
        <w:rPr>
          <w:rFonts w:ascii="Times" w:hAnsi="Times"/>
          <w:sz w:val="24"/>
        </w:rPr>
        <w:t>By</w:t>
      </w:r>
    </w:p>
    <w:p>
      <w:pPr>
        <w:pStyle w:val="TextBody"/>
        <w:pBdr/>
        <w:bidi w:val="0"/>
        <w:spacing w:before="0" w:after="0"/>
        <w:ind w:left="4680" w:right="0" w:hanging="360"/>
        <w:jc w:val="left"/>
        <w:rPr>
          <w:rFonts w:ascii="Times" w:hAnsi="Times"/>
          <w:sz w:val="24"/>
        </w:rPr>
      </w:pPr>
      <w:r>
        <w:rPr>
          <w:rFonts w:ascii="Times" w:hAnsi="Times"/>
          <w:sz w:val="24"/>
        </w:rPr>
        <w:t>Name: Tom Schmitt</w:t>
      </w:r>
    </w:p>
    <w:p>
      <w:pPr>
        <w:pStyle w:val="TextBody"/>
        <w:pBdr/>
        <w:bidi w:val="0"/>
        <w:spacing w:before="0" w:after="0"/>
        <w:ind w:left="4680" w:right="0" w:hanging="360"/>
        <w:jc w:val="left"/>
        <w:rPr>
          <w:rFonts w:ascii="Times" w:hAnsi="Times"/>
          <w:sz w:val="24"/>
        </w:rPr>
      </w:pPr>
      <w:r>
        <w:rPr>
          <w:rFonts w:ascii="Times" w:hAnsi="Times"/>
          <w:sz w:val="24"/>
        </w:rPr>
        <w:t xml:space="preserve">Title: Senior Vice President </w:t>
      </w:r>
    </w:p>
    <w:p>
      <w:pPr>
        <w:pStyle w:val="TextBody"/>
        <w:pBdr/>
        <w:bidi w:val="0"/>
        <w:spacing w:before="400" w:after="0"/>
        <w:ind w:left="4680" w:right="0" w:hanging="360"/>
        <w:jc w:val="left"/>
        <w:rPr/>
      </w:pPr>
      <w:r>
        <w:rPr>
          <w:smallCaps/>
        </w:rPr>
        <w:t>“</w:t>
      </w:r>
      <w:r>
        <w:rPr>
          <w:rFonts w:ascii="Times" w:hAnsi="Times"/>
          <w:b/>
          <w:smallCaps/>
          <w:sz w:val="24"/>
        </w:rPr>
        <w:t>Lenders</w:t>
      </w:r>
      <w:r>
        <w:rPr>
          <w:rFonts w:ascii="Times New Roman;Times;serif" w:hAnsi="Times New Roman;Times;serif"/>
          <w:smallCaps/>
          <w:sz w:val="24"/>
        </w:rPr>
        <w:t>”</w:t>
      </w:r>
    </w:p>
    <w:p>
      <w:pPr>
        <w:pStyle w:val="TextBody"/>
        <w:pBdr/>
        <w:bidi w:val="0"/>
        <w:spacing w:before="280" w:after="0"/>
        <w:ind w:left="4680" w:right="0" w:hanging="360"/>
        <w:jc w:val="left"/>
        <w:rPr>
          <w:rFonts w:ascii="Times New Roman;Times;serif" w:hAnsi="Times New Roman;Times;serif"/>
          <w:sz w:val="24"/>
        </w:rPr>
      </w:pPr>
      <w:r>
        <w:rPr>
          <w:rFonts w:ascii="Times" w:hAnsi="Times"/>
          <w:smallCaps/>
          <w:sz w:val="24"/>
        </w:rPr>
        <w:t xml:space="preserve">KeyBank National Association, </w:t>
      </w:r>
      <w:r>
        <w:rPr>
          <w:rFonts w:ascii="Times" w:hAnsi="Times"/>
          <w:sz w:val="24"/>
        </w:rPr>
        <w:t xml:space="preserve">as a Lender </w:t>
      </w:r>
    </w:p>
    <w:p>
      <w:pPr>
        <w:pStyle w:val="TextBody"/>
        <w:pBdr/>
        <w:bidi w:val="0"/>
        <w:spacing w:before="640" w:after="0"/>
        <w:ind w:left="4680" w:right="0" w:hanging="360"/>
        <w:jc w:val="left"/>
        <w:rPr>
          <w:rFonts w:ascii="Times" w:hAnsi="Times"/>
          <w:sz w:val="24"/>
        </w:rPr>
      </w:pPr>
      <w:r>
        <w:rPr>
          <w:rFonts w:ascii="Times" w:hAnsi="Times"/>
          <w:sz w:val="24"/>
        </w:rPr>
        <w:t>By</w:t>
      </w:r>
    </w:p>
    <w:p>
      <w:pPr>
        <w:pStyle w:val="TextBody"/>
        <w:pBdr/>
        <w:bidi w:val="0"/>
        <w:spacing w:before="0" w:after="0"/>
        <w:ind w:left="4680" w:right="0" w:hanging="360"/>
        <w:jc w:val="left"/>
        <w:rPr>
          <w:rFonts w:ascii="Times" w:hAnsi="Times"/>
          <w:sz w:val="24"/>
        </w:rPr>
      </w:pPr>
      <w:r>
        <w:rPr>
          <w:rFonts w:ascii="Times" w:hAnsi="Times"/>
          <w:sz w:val="24"/>
        </w:rPr>
        <w:t>Name: Tom Schmitt</w:t>
      </w:r>
    </w:p>
    <w:p>
      <w:pPr>
        <w:pStyle w:val="TextBody"/>
        <w:pBdr/>
        <w:bidi w:val="0"/>
        <w:spacing w:before="0" w:after="0"/>
        <w:ind w:left="4680" w:right="0" w:hanging="360"/>
        <w:jc w:val="left"/>
        <w:rPr>
          <w:rFonts w:ascii="Times" w:hAnsi="Times"/>
          <w:sz w:val="24"/>
        </w:rPr>
      </w:pPr>
      <w:r>
        <w:rPr>
          <w:rFonts w:ascii="Times" w:hAnsi="Times"/>
          <w:sz w:val="24"/>
        </w:rPr>
        <w:t xml:space="preserve">Title: Senior Vice President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before="0" w:after="0"/>
        <w:ind w:left="4680" w:right="0" w:hanging="360"/>
        <w:jc w:val="left"/>
        <w:rPr>
          <w:rFonts w:ascii="Times New Roman;Times;serif" w:hAnsi="Times New Roman;Times;serif"/>
          <w:sz w:val="24"/>
        </w:rPr>
      </w:pPr>
      <w:r>
        <w:rPr>
          <w:rFonts w:ascii="Times" w:hAnsi="Times"/>
          <w:smallCaps/>
          <w:sz w:val="24"/>
        </w:rPr>
        <w:t>PNC Bank, National Association</w:t>
      </w:r>
      <w:r>
        <w:rPr>
          <w:rFonts w:ascii="Times" w:hAnsi="Times"/>
          <w:sz w:val="24"/>
        </w:rPr>
        <w:t>, as a Lender</w:t>
      </w:r>
    </w:p>
    <w:p>
      <w:pPr>
        <w:pStyle w:val="TextBody"/>
        <w:pBdr/>
        <w:bidi w:val="0"/>
        <w:spacing w:before="640" w:after="0"/>
        <w:ind w:left="4680" w:right="0" w:hanging="360"/>
        <w:jc w:val="left"/>
        <w:rPr>
          <w:rFonts w:ascii="Times" w:hAnsi="Times"/>
          <w:sz w:val="24"/>
        </w:rPr>
      </w:pPr>
      <w:r>
        <w:rPr>
          <w:rFonts w:ascii="Times" w:hAnsi="Times"/>
          <w:sz w:val="24"/>
        </w:rPr>
        <w:t>By</w:t>
      </w:r>
    </w:p>
    <w:p>
      <w:pPr>
        <w:pStyle w:val="TextBody"/>
        <w:pBdr/>
        <w:bidi w:val="0"/>
        <w:spacing w:before="0" w:after="0"/>
        <w:ind w:left="4680" w:right="0" w:hanging="360"/>
        <w:jc w:val="left"/>
        <w:rPr>
          <w:rFonts w:ascii="Times" w:hAnsi="Times"/>
          <w:sz w:val="24"/>
        </w:rPr>
      </w:pPr>
      <w:r>
        <w:rPr>
          <w:rFonts w:ascii="Times" w:hAnsi="Times"/>
          <w:sz w:val="24"/>
        </w:rPr>
        <w:t>Name: Andrew T. White</w:t>
      </w:r>
    </w:p>
    <w:p>
      <w:pPr>
        <w:pStyle w:val="TextBody"/>
        <w:pBdr/>
        <w:bidi w:val="0"/>
        <w:spacing w:before="0" w:after="0"/>
        <w:ind w:left="4680" w:right="0" w:hanging="360"/>
        <w:jc w:val="left"/>
        <w:rPr>
          <w:rFonts w:ascii="Times" w:hAnsi="Times"/>
          <w:sz w:val="24"/>
        </w:rPr>
      </w:pPr>
      <w:r>
        <w:rPr>
          <w:rFonts w:ascii="Times" w:hAnsi="Times"/>
          <w:sz w:val="24"/>
        </w:rPr>
        <w:t>Title: Senior Vice President</w:t>
      </w:r>
    </w:p>
    <w:p>
      <w:pPr>
        <w:pStyle w:val="TextBody"/>
        <w:bidi w:val="0"/>
        <w:spacing w:lineRule="atLeast" w:line="280"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before="0" w:after="0"/>
        <w:ind w:left="4680" w:right="0" w:hanging="360"/>
        <w:jc w:val="left"/>
        <w:rPr>
          <w:rFonts w:ascii="Times New Roman;Times;serif" w:hAnsi="Times New Roman;Times;serif"/>
          <w:sz w:val="24"/>
        </w:rPr>
      </w:pPr>
      <w:r>
        <w:rPr>
          <w:rFonts w:ascii="Times" w:hAnsi="Times"/>
          <w:smallCaps/>
          <w:sz w:val="24"/>
        </w:rPr>
        <w:t>Raymond James Bank</w:t>
      </w:r>
      <w:r>
        <w:rPr>
          <w:rFonts w:ascii="Times" w:hAnsi="Times"/>
          <w:sz w:val="24"/>
        </w:rPr>
        <w:t>, as a Lender</w:t>
      </w:r>
    </w:p>
    <w:p>
      <w:pPr>
        <w:pStyle w:val="TextBody"/>
        <w:pBdr/>
        <w:bidi w:val="0"/>
        <w:spacing w:before="640" w:after="0"/>
        <w:ind w:left="4680" w:right="0" w:hanging="360"/>
        <w:jc w:val="left"/>
        <w:rPr>
          <w:rFonts w:ascii="Times" w:hAnsi="Times"/>
          <w:sz w:val="24"/>
        </w:rPr>
      </w:pPr>
      <w:r>
        <w:rPr>
          <w:rFonts w:ascii="Times" w:hAnsi="Times"/>
          <w:sz w:val="24"/>
        </w:rPr>
        <w:t>By</w:t>
      </w:r>
    </w:p>
    <w:p>
      <w:pPr>
        <w:pStyle w:val="TextBody"/>
        <w:pBdr/>
        <w:bidi w:val="0"/>
        <w:spacing w:before="0" w:after="0"/>
        <w:ind w:left="4680" w:right="0" w:hanging="360"/>
        <w:jc w:val="left"/>
        <w:rPr>
          <w:rFonts w:ascii="Times" w:hAnsi="Times"/>
          <w:sz w:val="24"/>
        </w:rPr>
      </w:pPr>
      <w:r>
        <w:rPr>
          <w:rFonts w:ascii="Times" w:hAnsi="Times"/>
          <w:sz w:val="24"/>
        </w:rPr>
        <w:t>Name: Alexander Sierra</w:t>
      </w:r>
    </w:p>
    <w:p>
      <w:pPr>
        <w:pStyle w:val="TextBody"/>
        <w:pBdr/>
        <w:bidi w:val="0"/>
        <w:spacing w:before="0" w:after="0"/>
        <w:ind w:left="4680" w:right="0" w:hanging="360"/>
        <w:jc w:val="left"/>
        <w:rPr>
          <w:rFonts w:ascii="Times" w:hAnsi="Times"/>
          <w:sz w:val="24"/>
        </w:rPr>
      </w:pPr>
      <w:r>
        <w:rPr>
          <w:rFonts w:ascii="Times" w:hAnsi="Times"/>
          <w:sz w:val="24"/>
        </w:rPr>
        <w:t>Title: SVP</w:t>
      </w:r>
    </w:p>
    <w:p>
      <w:pPr>
        <w:pStyle w:val="TextBody"/>
        <w:bidi w:val="0"/>
        <w:spacing w:lineRule="atLeast" w:line="280"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before="0" w:after="0"/>
        <w:ind w:left="4680" w:right="0" w:hanging="360"/>
        <w:jc w:val="left"/>
        <w:rPr>
          <w:rFonts w:ascii="Times New Roman;Times;serif" w:hAnsi="Times New Roman;Times;serif"/>
          <w:sz w:val="24"/>
        </w:rPr>
      </w:pPr>
      <w:r>
        <w:rPr>
          <w:rFonts w:ascii="Times" w:hAnsi="Times"/>
          <w:smallCaps/>
          <w:sz w:val="24"/>
        </w:rPr>
        <w:t>Regions Bank</w:t>
      </w:r>
      <w:r>
        <w:rPr>
          <w:rFonts w:ascii="Times" w:hAnsi="Times"/>
          <w:sz w:val="24"/>
        </w:rPr>
        <w:t>, as a Lender</w:t>
      </w:r>
    </w:p>
    <w:p>
      <w:pPr>
        <w:pStyle w:val="TextBody"/>
        <w:pBdr/>
        <w:bidi w:val="0"/>
        <w:spacing w:before="640" w:after="0"/>
        <w:ind w:left="4680" w:right="0" w:hanging="360"/>
        <w:jc w:val="left"/>
        <w:rPr>
          <w:rFonts w:ascii="Times" w:hAnsi="Times"/>
          <w:sz w:val="24"/>
        </w:rPr>
      </w:pPr>
      <w:r>
        <w:rPr>
          <w:rFonts w:ascii="Times" w:hAnsi="Times"/>
          <w:sz w:val="24"/>
        </w:rPr>
        <w:t>By</w:t>
      </w:r>
    </w:p>
    <w:p>
      <w:pPr>
        <w:pStyle w:val="TextBody"/>
        <w:pBdr/>
        <w:bidi w:val="0"/>
        <w:spacing w:before="0" w:after="0"/>
        <w:ind w:left="4680" w:right="0" w:hanging="360"/>
        <w:jc w:val="left"/>
        <w:rPr>
          <w:rFonts w:ascii="Times" w:hAnsi="Times"/>
          <w:sz w:val="24"/>
        </w:rPr>
      </w:pPr>
      <w:r>
        <w:rPr>
          <w:rFonts w:ascii="Times" w:hAnsi="Times"/>
          <w:sz w:val="24"/>
        </w:rPr>
        <w:t>Name: Ghi Gavin</w:t>
      </w:r>
    </w:p>
    <w:p>
      <w:pPr>
        <w:pStyle w:val="TextBody"/>
        <w:pBdr/>
        <w:bidi w:val="0"/>
        <w:spacing w:before="0" w:after="0"/>
        <w:ind w:left="4680" w:right="0" w:hanging="360"/>
        <w:jc w:val="left"/>
        <w:rPr>
          <w:rFonts w:ascii="Times" w:hAnsi="Times"/>
          <w:sz w:val="24"/>
        </w:rPr>
      </w:pPr>
      <w:r>
        <w:rPr>
          <w:rFonts w:ascii="Times" w:hAnsi="Times"/>
          <w:sz w:val="24"/>
        </w:rPr>
        <w:t>Title: Senior Vice President</w:t>
      </w:r>
    </w:p>
    <w:p>
      <w:pPr>
        <w:pStyle w:val="TextBody"/>
        <w:bidi w:val="0"/>
        <w:spacing w:lineRule="atLeast" w:line="280" w:before="0" w:after="0"/>
        <w:ind w:left="0" w:right="0" w:hanging="0"/>
        <w:jc w:val="left"/>
        <w:rPr/>
      </w:pPr>
      <w:r>
        <w:rPr/>
        <w:t>​</w:t>
      </w:r>
    </w:p>
    <w:p>
      <w:pPr>
        <w:pStyle w:val="TextBody"/>
        <w:bidi w:val="0"/>
        <w:spacing w:lineRule="atLeast" w:line="28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before="0" w:after="0"/>
        <w:ind w:left="4680" w:right="0" w:hanging="360"/>
        <w:jc w:val="left"/>
        <w:rPr/>
      </w:pPr>
      <w:r>
        <w:rPr>
          <w:smallCaps/>
        </w:rPr>
        <w:t>“</w:t>
      </w:r>
      <w:r>
        <w:rPr>
          <w:rFonts w:ascii="Times" w:hAnsi="Times"/>
          <w:b/>
          <w:smallCaps/>
          <w:sz w:val="24"/>
        </w:rPr>
        <w:t>Guarantors</w:t>
      </w:r>
      <w:r>
        <w:rPr>
          <w:rFonts w:ascii="Times New Roman;Times;serif" w:hAnsi="Times New Roman;Times;serif"/>
          <w:smallCaps/>
          <w:sz w:val="24"/>
        </w:rPr>
        <w:t>”</w:t>
      </w:r>
      <w:bookmarkStart w:id="2636" w:name="_DV_M34"/>
      <w:bookmarkEnd w:id="2636"/>
    </w:p>
    <w:p>
      <w:pPr>
        <w:pStyle w:val="TextBody"/>
        <w:pBdr/>
        <w:bidi w:val="0"/>
        <w:spacing w:before="0" w:after="0"/>
        <w:ind w:left="4680" w:right="0" w:hanging="360"/>
        <w:jc w:val="left"/>
        <w:rPr/>
      </w:pPr>
      <w:r>
        <w:rPr/>
        <w:t>​</w:t>
      </w:r>
    </w:p>
    <w:p>
      <w:pPr>
        <w:pStyle w:val="TextBody"/>
        <w:pBdr/>
        <w:bidi w:val="0"/>
        <w:spacing w:lineRule="atLeast" w:line="280" w:before="280" w:after="0"/>
        <w:ind w:left="4680" w:right="0" w:hanging="230"/>
        <w:jc w:val="left"/>
        <w:rPr>
          <w:rFonts w:ascii="Times New Roman;Times;serif" w:hAnsi="Times New Roman;Times;serif"/>
          <w:sz w:val="24"/>
        </w:rPr>
      </w:pPr>
      <w:r>
        <w:rPr>
          <w:rFonts w:ascii="Times" w:hAnsi="Times"/>
          <w:smallCaps/>
          <w:sz w:val="24"/>
        </w:rPr>
        <w:t>Indigo Group Inc.,</w:t>
      </w:r>
      <w:r>
        <w:rPr>
          <w:rFonts w:ascii="Times New Roman;Times;serif" w:hAnsi="Times New Roman;Times;serif"/>
          <w:sz w:val="24"/>
        </w:rPr>
        <w:t xml:space="preserve"> </w:t>
      </w:r>
      <w:r>
        <w:rPr>
          <w:rFonts w:ascii="Times" w:hAnsi="Times"/>
          <w:sz w:val="24"/>
        </w:rPr>
        <w:t>a Florida corporation</w:t>
      </w:r>
    </w:p>
    <w:p>
      <w:pPr>
        <w:pStyle w:val="TextBody"/>
        <w:pBdr/>
        <w:bidi w:val="0"/>
        <w:spacing w:before="640" w:after="0"/>
        <w:ind w:left="4680" w:right="0" w:hanging="360"/>
        <w:jc w:val="left"/>
        <w:rPr>
          <w:rFonts w:ascii="Times" w:hAnsi="Times"/>
          <w:sz w:val="24"/>
        </w:rPr>
      </w:pPr>
      <w:r>
        <w:rPr>
          <w:rFonts w:ascii="Times" w:hAnsi="Times"/>
          <w:sz w:val="24"/>
        </w:rPr>
        <w:t>By: ______________________________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0" w:after="0"/>
        <w:ind w:left="4680" w:right="0" w:hanging="360"/>
        <w:jc w:val="left"/>
        <w:rPr/>
      </w:pPr>
      <w:r>
        <w:rPr/>
        <w:t>​</w:t>
      </w:r>
    </w:p>
    <w:p>
      <w:pPr>
        <w:pStyle w:val="TextBody"/>
        <w:pBdr/>
        <w:bidi w:val="0"/>
        <w:spacing w:before="0" w:after="0"/>
        <w:ind w:left="4680" w:right="0" w:hanging="360"/>
        <w:jc w:val="left"/>
        <w:rPr/>
      </w:pPr>
      <w:r>
        <w:rPr/>
        <w:t>​</w:t>
      </w:r>
    </w:p>
    <w:p>
      <w:pPr>
        <w:pStyle w:val="TextBody"/>
        <w:bidi w:val="0"/>
        <w:spacing w:lineRule="atLeast" w:line="280" w:before="360" w:after="0"/>
        <w:ind w:left="4680" w:right="0" w:hanging="0"/>
        <w:jc w:val="left"/>
        <w:rPr>
          <w:rFonts w:ascii="Times New Roman;Times;serif" w:hAnsi="Times New Roman;Times;serif"/>
          <w:sz w:val="24"/>
        </w:rPr>
      </w:pPr>
      <w:r>
        <w:rPr>
          <w:rFonts w:ascii="Times" w:hAnsi="Times"/>
          <w:smallCaps/>
          <w:sz w:val="24"/>
        </w:rPr>
        <w:t>CTO18 Albuquerque NM LLC</w:t>
      </w:r>
      <w:r>
        <w:rPr>
          <w:rFonts w:ascii="Times" w:hAnsi="Times"/>
          <w:sz w:val="24"/>
        </w:rPr>
        <w:t>, a Delaware limited liability company</w:t>
      </w:r>
    </w:p>
    <w:p>
      <w:pPr>
        <w:pStyle w:val="TextBody"/>
        <w:pBdr/>
        <w:bidi w:val="0"/>
        <w:spacing w:before="280" w:after="0"/>
        <w:ind w:left="4680" w:right="0" w:hanging="360"/>
        <w:jc w:val="left"/>
        <w:rPr>
          <w:rFonts w:ascii="Times" w:hAnsi="Times"/>
          <w:sz w:val="24"/>
        </w:rPr>
      </w:pPr>
      <w:r>
        <w:rPr>
          <w:rFonts w:ascii="Times" w:hAnsi="Times"/>
          <w:sz w:val="24"/>
        </w:rPr>
        <w:t>By: CTO Realty Growth, Inc., a Maryland corporation, its sole member</w:t>
      </w:r>
    </w:p>
    <w:p>
      <w:pPr>
        <w:pStyle w:val="TextBody"/>
        <w:pBdr/>
        <w:bidi w:val="0"/>
        <w:spacing w:before="640" w:after="0"/>
        <w:ind w:left="4680" w:right="0" w:hanging="360"/>
        <w:jc w:val="left"/>
        <w:rPr>
          <w:rFonts w:ascii="Times" w:hAnsi="Times"/>
          <w:sz w:val="24"/>
        </w:rPr>
      </w:pPr>
      <w:r>
        <w:rPr>
          <w:rFonts w:ascii="Times" w:hAnsi="Times"/>
          <w:sz w:val="24"/>
        </w:rPr>
        <w:t>By: ______________________________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bidi w:val="0"/>
        <w:spacing w:before="0" w:after="0"/>
        <w:ind w:left="0" w:right="0" w:hanging="0"/>
        <w:jc w:val="left"/>
        <w:rPr/>
      </w:pPr>
      <w:r>
        <w:rPr/>
        <w:t>​</w:t>
      </w:r>
    </w:p>
    <w:p>
      <w:pPr>
        <w:pStyle w:val="TextBody"/>
        <w:pBdr/>
        <w:bidi w:val="0"/>
        <w:spacing w:before="0" w:after="0"/>
        <w:ind w:left="4680" w:right="0" w:hanging="360"/>
        <w:jc w:val="left"/>
        <w:rPr/>
      </w:pPr>
      <w:r>
        <w:rPr/>
        <w:t>​</w:t>
      </w:r>
    </w:p>
    <w:p>
      <w:pPr>
        <w:pStyle w:val="TextBody"/>
        <w:pBdr/>
        <w:bidi w:val="0"/>
        <w:spacing w:before="0" w:after="0"/>
        <w:ind w:left="4680" w:right="0" w:hanging="360"/>
        <w:jc w:val="left"/>
        <w:rPr/>
      </w:pPr>
      <w:r>
        <w:rPr/>
        <w:t>​</w:t>
      </w:r>
    </w:p>
    <w:p>
      <w:pPr>
        <w:pStyle w:val="TextBody"/>
        <w:pBdr/>
        <w:bidi w:val="0"/>
        <w:spacing w:before="0" w:after="0"/>
        <w:ind w:left="4680" w:right="0" w:hanging="360"/>
        <w:jc w:val="left"/>
        <w:rPr>
          <w:rFonts w:ascii="Times New Roman;Times;serif" w:hAnsi="Times New Roman;Times;serif"/>
          <w:sz w:val="24"/>
        </w:rPr>
      </w:pPr>
      <w:r>
        <w:rPr>
          <w:rFonts w:ascii="Times" w:hAnsi="Times"/>
          <w:smallCaps/>
          <w:sz w:val="24"/>
        </w:rPr>
        <w:t xml:space="preserve">Indigo Group Ltd., </w:t>
      </w:r>
      <w:r>
        <w:rPr>
          <w:rFonts w:ascii="Times" w:hAnsi="Times"/>
          <w:sz w:val="24"/>
        </w:rPr>
        <w:t>a Florida limited partnership</w:t>
      </w:r>
    </w:p>
    <w:tbl>
      <w:tblPr>
        <w:tblW w:w="6153" w:type="dxa"/>
        <w:jc w:val="left"/>
        <w:tblInd w:w="0" w:type="dxa"/>
        <w:tblLayout w:type="fixed"/>
        <w:tblCellMar>
          <w:top w:w="0" w:type="dxa"/>
          <w:left w:w="0" w:type="dxa"/>
          <w:bottom w:w="0" w:type="dxa"/>
          <w:right w:w="0" w:type="dxa"/>
        </w:tblCellMar>
      </w:tblPr>
      <w:tblGrid>
        <w:gridCol w:w="23"/>
        <w:gridCol w:w="365"/>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280" w:after="0"/>
              <w:jc w:val="left"/>
              <w:rPr>
                <w:rFonts w:ascii="Times" w:hAnsi="Times"/>
                <w:sz w:val="24"/>
              </w:rPr>
            </w:pPr>
            <w:r>
              <w:rPr>
                <w:rFonts w:ascii="Times" w:hAnsi="Times"/>
                <w:sz w:val="24"/>
              </w:rPr>
              <w:t>By:</w:t>
            </w:r>
          </w:p>
        </w:tc>
        <w:tc>
          <w:tcPr>
            <w:tcW w:w="5765" w:type="dxa"/>
            <w:tcBorders/>
            <w:vAlign w:val="center"/>
          </w:tcPr>
          <w:p>
            <w:pPr>
              <w:pStyle w:val="TableContents"/>
              <w:bidi w:val="0"/>
              <w:spacing w:lineRule="atLeast" w:line="280" w:before="280" w:after="0"/>
              <w:jc w:val="left"/>
              <w:rPr>
                <w:rFonts w:ascii="Times" w:hAnsi="Times"/>
                <w:sz w:val="24"/>
              </w:rPr>
            </w:pPr>
            <w:r>
              <w:rPr>
                <w:rFonts w:ascii="Times" w:hAnsi="Times"/>
                <w:sz w:val="24"/>
              </w:rPr>
              <w:t>Indigo Group, Inc., a Florida corporation, its General Partner</w:t>
            </w:r>
          </w:p>
        </w:tc>
      </w:tr>
    </w:tbl>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0" w:after="0"/>
        <w:ind w:left="4680" w:right="0" w:hanging="360"/>
        <w:jc w:val="left"/>
        <w:rPr/>
      </w:pPr>
      <w:r>
        <w:rPr/>
        <w:t>​</w:t>
      </w:r>
    </w:p>
    <w:p>
      <w:pPr>
        <w:pStyle w:val="TextBody"/>
        <w:bidi w:val="0"/>
        <w:spacing w:lineRule="atLeast" w:line="280" w:before="0" w:after="0"/>
        <w:ind w:left="0" w:right="0" w:hanging="0"/>
        <w:jc w:val="left"/>
        <w:rPr/>
      </w:pPr>
      <w:r>
        <w:rPr/>
        <w:t>​</w:t>
      </w:r>
    </w:p>
    <w:p>
      <w:pPr>
        <w:pStyle w:val="TextBody"/>
        <w:bidi w:val="0"/>
        <w:spacing w:lineRule="atLeast" w:line="280" w:before="360" w:after="0"/>
        <w:ind w:left="468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lineRule="atLeast" w:line="280" w:before="0" w:after="0"/>
        <w:ind w:left="4680" w:right="0" w:hanging="0"/>
        <w:jc w:val="left"/>
        <w:rPr>
          <w:rFonts w:ascii="Times" w:hAnsi="Times"/>
          <w:sz w:val="24"/>
        </w:rPr>
      </w:pPr>
      <w:r>
        <w:rPr>
          <w:rFonts w:ascii="Times" w:hAnsi="Times"/>
          <w:sz w:val="24"/>
        </w:rPr>
        <w:t>CTO19 STRAND JAX LLC,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280" w:after="0"/>
              <w:jc w:val="left"/>
              <w:rPr>
                <w:rFonts w:ascii="Times" w:hAnsi="Times"/>
                <w:sz w:val="24"/>
              </w:rPr>
            </w:pPr>
            <w:r>
              <w:rPr>
                <w:rFonts w:ascii="Times" w:hAnsi="Times"/>
                <w:sz w:val="24"/>
              </w:rPr>
              <w:t>By:</w:t>
            </w:r>
          </w:p>
        </w:tc>
        <w:tc>
          <w:tcPr>
            <w:tcW w:w="6395" w:type="dxa"/>
            <w:tcBorders/>
            <w:vAlign w:val="center"/>
          </w:tcPr>
          <w:p>
            <w:pPr>
              <w:pStyle w:val="TableContents"/>
              <w:bidi w:val="0"/>
              <w:spacing w:lineRule="atLeast" w:line="280" w:before="280" w:after="0"/>
              <w:jc w:val="left"/>
              <w:rPr>
                <w:rFonts w:ascii="Times" w:hAnsi="Times"/>
                <w:sz w:val="24"/>
              </w:rPr>
            </w:pPr>
            <w:r>
              <w:rPr>
                <w:rFonts w:ascii="Times" w:hAnsi="Times"/>
                <w:sz w:val="24"/>
              </w:rPr>
              <w:t>CTO Realty Growth, Inc., a Maryland corporation, its sole member</w:t>
            </w:r>
          </w:p>
        </w:tc>
      </w:tr>
    </w:tbl>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0" w:after="0"/>
        <w:ind w:left="4680" w:right="0" w:hanging="360"/>
        <w:jc w:val="left"/>
        <w:rPr/>
      </w:pPr>
      <w:r>
        <w:rPr/>
        <w:t>​</w:t>
      </w:r>
    </w:p>
    <w:p>
      <w:pPr>
        <w:pStyle w:val="TextBody"/>
        <w:pBdr/>
        <w:bidi w:val="0"/>
        <w:spacing w:lineRule="atLeast" w:line="280" w:before="0" w:after="0"/>
        <w:ind w:left="4540" w:right="0" w:hanging="320"/>
        <w:jc w:val="left"/>
        <w:rPr/>
      </w:pPr>
      <w:r>
        <w:rPr/>
        <w:t>​</w:t>
      </w:r>
    </w:p>
    <w:p>
      <w:pPr>
        <w:pStyle w:val="TextBody"/>
        <w:pBdr/>
        <w:bidi w:val="0"/>
        <w:spacing w:lineRule="atLeast" w:line="280" w:before="280" w:after="0"/>
        <w:ind w:left="4536" w:right="0" w:hanging="43"/>
        <w:jc w:val="left"/>
        <w:rPr>
          <w:rFonts w:ascii="Times New Roman;Times;serif" w:hAnsi="Times New Roman;Times;serif"/>
          <w:sz w:val="24"/>
        </w:rPr>
      </w:pPr>
      <w:r>
        <w:rPr>
          <w:rFonts w:ascii="Times" w:hAnsi="Times"/>
          <w:smallCaps/>
          <w:sz w:val="24"/>
        </w:rPr>
        <w:t xml:space="preserve">Daytona JV LLC, </w:t>
      </w:r>
      <w:r>
        <w:rPr>
          <w:rFonts w:ascii="Times" w:hAnsi="Times"/>
          <w:sz w:val="24"/>
        </w:rPr>
        <w:t>a Florida limited liability company</w:t>
      </w:r>
    </w:p>
    <w:p>
      <w:pPr>
        <w:pStyle w:val="TextBody"/>
        <w:pBdr/>
        <w:bidi w:val="0"/>
        <w:spacing w:lineRule="atLeast" w:line="280" w:before="0" w:after="0"/>
        <w:ind w:left="4680" w:right="0" w:hanging="540"/>
        <w:jc w:val="left"/>
        <w:rPr/>
      </w:pPr>
      <w:r>
        <w:rPr/>
        <w:t>​</w:t>
      </w:r>
    </w:p>
    <w:tbl>
      <w:tblPr>
        <w:tblW w:w="8448" w:type="dxa"/>
        <w:jc w:val="left"/>
        <w:tblInd w:w="0" w:type="dxa"/>
        <w:tblLayout w:type="fixed"/>
        <w:tblCellMar>
          <w:top w:w="0" w:type="dxa"/>
          <w:left w:w="0" w:type="dxa"/>
          <w:bottom w:w="0" w:type="dxa"/>
          <w:right w:w="0" w:type="dxa"/>
        </w:tblCellMar>
      </w:tblPr>
      <w:tblGrid>
        <w:gridCol w:w="23"/>
        <w:gridCol w:w="365"/>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0" w:after="0"/>
              <w:jc w:val="left"/>
              <w:rPr>
                <w:rFonts w:ascii="Times" w:hAnsi="Times"/>
                <w:sz w:val="24"/>
              </w:rPr>
            </w:pPr>
            <w:r>
              <w:rPr>
                <w:rFonts w:ascii="Times" w:hAnsi="Times"/>
                <w:sz w:val="24"/>
              </w:rPr>
              <w:t>By:</w:t>
            </w:r>
          </w:p>
        </w:tc>
        <w:tc>
          <w:tcPr>
            <w:tcW w:w="8060" w:type="dxa"/>
            <w:tcBorders/>
            <w:vAlign w:val="center"/>
          </w:tcPr>
          <w:p>
            <w:pPr>
              <w:pStyle w:val="TableContents"/>
              <w:bidi w:val="0"/>
              <w:spacing w:lineRule="atLeast" w:line="280" w:before="0" w:after="0"/>
              <w:jc w:val="left"/>
              <w:rPr>
                <w:rFonts w:ascii="Times" w:hAnsi="Times"/>
                <w:sz w:val="24"/>
              </w:rPr>
            </w:pPr>
            <w:r>
              <w:rPr>
                <w:rFonts w:ascii="Times" w:hAnsi="Times"/>
                <w:sz w:val="24"/>
              </w:rPr>
              <w:t>LHC15 Atlantic DB JV LLC, a Delaware limited liability company, its sole manager</w:t>
            </w:r>
          </w:p>
        </w:tc>
      </w:tr>
    </w:tbl>
    <w:p>
      <w:pPr>
        <w:pStyle w:val="TextBody"/>
        <w:pBdr/>
        <w:bidi w:val="0"/>
        <w:spacing w:lineRule="atLeast" w:line="280" w:before="0" w:after="0"/>
        <w:ind w:left="4680" w:right="0" w:hanging="540"/>
        <w:jc w:val="left"/>
        <w:rPr/>
      </w:pPr>
      <w:r>
        <w:rPr/>
        <w:t>​</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0" w:after="0"/>
              <w:jc w:val="left"/>
              <w:rPr>
                <w:rFonts w:ascii="Times" w:hAnsi="Times"/>
                <w:sz w:val="24"/>
              </w:rPr>
            </w:pPr>
            <w:r>
              <w:rPr>
                <w:rFonts w:ascii="Times" w:hAnsi="Times"/>
                <w:sz w:val="24"/>
              </w:rPr>
              <w:t>By:</w:t>
            </w:r>
          </w:p>
        </w:tc>
        <w:tc>
          <w:tcPr>
            <w:tcW w:w="6395" w:type="dxa"/>
            <w:tcBorders/>
            <w:vAlign w:val="center"/>
          </w:tcPr>
          <w:p>
            <w:pPr>
              <w:pStyle w:val="TableContents"/>
              <w:bidi w:val="0"/>
              <w:spacing w:lineRule="atLeast" w:line="280" w:before="0" w:after="0"/>
              <w:jc w:val="left"/>
              <w:rPr>
                <w:rFonts w:ascii="Times" w:hAnsi="Times"/>
                <w:sz w:val="24"/>
              </w:rPr>
            </w:pPr>
            <w:r>
              <w:rPr>
                <w:rFonts w:ascii="Times" w:hAnsi="Times"/>
                <w:sz w:val="24"/>
              </w:rPr>
              <w:t>CTO Realty Growth, Inc., a Maryland corporation, its sole member</w:t>
            </w:r>
          </w:p>
        </w:tc>
      </w:tr>
    </w:tbl>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0" w:after="0"/>
        <w:ind w:left="4680" w:right="0" w:hanging="360"/>
        <w:jc w:val="left"/>
        <w:rPr/>
      </w:pPr>
      <w:r>
        <w:rPr/>
        <w:t>​</w:t>
      </w:r>
    </w:p>
    <w:p>
      <w:pPr>
        <w:pStyle w:val="TextBody"/>
        <w:pBdr/>
        <w:bidi w:val="0"/>
        <w:spacing w:lineRule="atLeast" w:line="280" w:before="0" w:after="0"/>
        <w:ind w:left="4540" w:right="0" w:hanging="320"/>
        <w:jc w:val="left"/>
        <w:rPr/>
      </w:pPr>
      <w:r>
        <w:rPr/>
        <w:t>​</w:t>
      </w:r>
    </w:p>
    <w:p>
      <w:pPr>
        <w:pStyle w:val="TextBody"/>
        <w:bidi w:val="0"/>
        <w:spacing w:lineRule="atLeast" w:line="280" w:before="280" w:after="0"/>
        <w:ind w:left="4680" w:right="0" w:hanging="0"/>
        <w:jc w:val="left"/>
        <w:rPr>
          <w:rFonts w:ascii="Times New Roman;Times;serif" w:hAnsi="Times New Roman;Times;serif"/>
          <w:sz w:val="24"/>
        </w:rPr>
      </w:pPr>
      <w:r>
        <w:rPr>
          <w:rFonts w:ascii="Times" w:hAnsi="Times"/>
          <w:smallCaps/>
          <w:sz w:val="24"/>
        </w:rPr>
        <w:t xml:space="preserve">CTO20 Crossroads AZ LLC, </w:t>
      </w:r>
      <w:r>
        <w:rPr>
          <w:rFonts w:ascii="Times" w:hAnsi="Times"/>
          <w:sz w:val="24"/>
        </w:rPr>
        <w:t>a Delaware limited liability company</w:t>
      </w:r>
    </w:p>
    <w:p>
      <w:pPr>
        <w:pStyle w:val="TextBody"/>
        <w:bidi w:val="0"/>
        <w:spacing w:lineRule="atLeast" w:line="280" w:before="0" w:after="0"/>
        <w:ind w:left="5130" w:right="0" w:hanging="0"/>
        <w:jc w:val="left"/>
        <w:rPr/>
      </w:pPr>
      <w:r>
        <w:rPr/>
        <w:t>​</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0" w:after="0"/>
              <w:jc w:val="left"/>
              <w:rPr>
                <w:rFonts w:ascii="Times" w:hAnsi="Times"/>
                <w:sz w:val="24"/>
              </w:rPr>
            </w:pPr>
            <w:r>
              <w:rPr>
                <w:rFonts w:ascii="Times" w:hAnsi="Times"/>
                <w:sz w:val="24"/>
              </w:rPr>
              <w:t>By:</w:t>
            </w:r>
          </w:p>
        </w:tc>
        <w:tc>
          <w:tcPr>
            <w:tcW w:w="6395" w:type="dxa"/>
            <w:tcBorders/>
            <w:vAlign w:val="center"/>
          </w:tcPr>
          <w:p>
            <w:pPr>
              <w:pStyle w:val="TableContents"/>
              <w:bidi w:val="0"/>
              <w:spacing w:lineRule="atLeast" w:line="280" w:before="0" w:after="0"/>
              <w:jc w:val="left"/>
              <w:rPr>
                <w:rFonts w:ascii="Times" w:hAnsi="Times"/>
                <w:sz w:val="24"/>
              </w:rPr>
            </w:pPr>
            <w:r>
              <w:rPr>
                <w:rFonts w:ascii="Times" w:hAnsi="Times"/>
                <w:sz w:val="24"/>
              </w:rPr>
              <w:t>CTO Realty Growth, Inc., a Maryland corporation, its sole member</w:t>
            </w:r>
          </w:p>
        </w:tc>
      </w:tr>
    </w:tbl>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0" w:after="0"/>
        <w:ind w:left="4680" w:right="0" w:hanging="360"/>
        <w:jc w:val="left"/>
        <w:rPr/>
      </w:pPr>
      <w:r>
        <w:rPr/>
        <w:t>​</w:t>
      </w:r>
    </w:p>
    <w:p>
      <w:pPr>
        <w:pStyle w:val="TextBody"/>
        <w:pBdr/>
        <w:bidi w:val="0"/>
        <w:spacing w:lineRule="atLeast" w:line="280" w:before="0" w:after="0"/>
        <w:ind w:left="4540" w:right="0" w:hanging="320"/>
        <w:jc w:val="left"/>
        <w:rPr>
          <w:smallCaps/>
        </w:rPr>
      </w:pPr>
      <w:r>
        <w:rPr>
          <w:smallCaps/>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0" w:after="0"/>
        <w:ind w:left="4540" w:right="0" w:hanging="320"/>
        <w:jc w:val="left"/>
        <w:rPr>
          <w:rFonts w:ascii="Times New Roman;Times;serif" w:hAnsi="Times New Roman;Times;serif"/>
          <w:sz w:val="24"/>
        </w:rPr>
      </w:pPr>
      <w:r>
        <w:rPr>
          <w:rFonts w:ascii="Times" w:hAnsi="Times"/>
          <w:smallCaps/>
          <w:sz w:val="24"/>
        </w:rPr>
        <w:t xml:space="preserve">IGI20 Crossroads AZ LLC, </w:t>
      </w:r>
      <w:r>
        <w:rPr>
          <w:rFonts w:ascii="Times" w:hAnsi="Times"/>
          <w:sz w:val="24"/>
        </w:rPr>
        <w:t>a Delaware limited liability company</w:t>
      </w:r>
    </w:p>
    <w:p>
      <w:pPr>
        <w:pStyle w:val="TextBody"/>
        <w:bidi w:val="0"/>
        <w:spacing w:lineRule="atLeast" w:line="280" w:before="0" w:after="0"/>
        <w:ind w:left="5130" w:right="0" w:hanging="0"/>
        <w:jc w:val="left"/>
        <w:rPr/>
      </w:pPr>
      <w:r>
        <w:rPr/>
        <w:t>​</w:t>
      </w:r>
    </w:p>
    <w:tbl>
      <w:tblPr>
        <w:tblW w:w="5808" w:type="dxa"/>
        <w:jc w:val="left"/>
        <w:tblInd w:w="0" w:type="dxa"/>
        <w:tblLayout w:type="fixed"/>
        <w:tblCellMar>
          <w:top w:w="0" w:type="dxa"/>
          <w:left w:w="0" w:type="dxa"/>
          <w:bottom w:w="0" w:type="dxa"/>
          <w:right w:w="0" w:type="dxa"/>
        </w:tblCellMar>
      </w:tblPr>
      <w:tblGrid>
        <w:gridCol w:w="23"/>
        <w:gridCol w:w="365"/>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0" w:after="0"/>
              <w:jc w:val="left"/>
              <w:rPr>
                <w:rFonts w:ascii="Times" w:hAnsi="Times"/>
                <w:sz w:val="24"/>
              </w:rPr>
            </w:pPr>
            <w:r>
              <w:rPr>
                <w:rFonts w:ascii="Times" w:hAnsi="Times"/>
                <w:sz w:val="24"/>
              </w:rPr>
              <w:t>By:</w:t>
            </w:r>
          </w:p>
        </w:tc>
        <w:tc>
          <w:tcPr>
            <w:tcW w:w="5420" w:type="dxa"/>
            <w:tcBorders/>
            <w:vAlign w:val="center"/>
          </w:tcPr>
          <w:p>
            <w:pPr>
              <w:pStyle w:val="TableContents"/>
              <w:bidi w:val="0"/>
              <w:spacing w:lineRule="atLeast" w:line="280" w:before="0" w:after="0"/>
              <w:jc w:val="left"/>
              <w:rPr>
                <w:rFonts w:ascii="Times" w:hAnsi="Times"/>
                <w:sz w:val="24"/>
              </w:rPr>
            </w:pPr>
            <w:r>
              <w:rPr>
                <w:rFonts w:ascii="Times" w:hAnsi="Times"/>
                <w:sz w:val="24"/>
              </w:rPr>
              <w:t>Indigo Group Inc., a Florida corporation, its sole member</w:t>
            </w:r>
          </w:p>
        </w:tc>
      </w:tr>
    </w:tbl>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bidi w:val="0"/>
        <w:spacing w:lineRule="atLeast" w:line="280" w:before="0" w:after="0"/>
        <w:ind w:left="0" w:right="0" w:hanging="0"/>
        <w:jc w:val="left"/>
        <w:rPr/>
      </w:pPr>
      <w:r>
        <w:rPr/>
        <w:t>​</w:t>
      </w:r>
    </w:p>
    <w:p>
      <w:pPr>
        <w:pStyle w:val="TextBody"/>
        <w:bidi w:val="0"/>
        <w:spacing w:lineRule="atLeast" w:line="280" w:before="0" w:after="0"/>
        <w:ind w:left="0" w:right="0" w:hanging="0"/>
        <w:jc w:val="left"/>
        <w:rPr/>
      </w:pPr>
      <w:r>
        <w:rPr/>
        <w:t>​</w:t>
      </w:r>
    </w:p>
    <w:p>
      <w:pPr>
        <w:pStyle w:val="TextBody"/>
        <w:pBdr/>
        <w:bidi w:val="0"/>
        <w:spacing w:lineRule="atLeast" w:line="280" w:before="280" w:after="0"/>
        <w:ind w:left="4536" w:right="0" w:hanging="317"/>
        <w:jc w:val="left"/>
        <w:rPr>
          <w:rFonts w:ascii="Times New Roman;Times;serif" w:hAnsi="Times New Roman;Times;serif"/>
          <w:sz w:val="24"/>
        </w:rPr>
      </w:pPr>
      <w:r>
        <w:rPr>
          <w:rFonts w:ascii="Times" w:hAnsi="Times"/>
          <w:smallCaps/>
          <w:sz w:val="24"/>
        </w:rPr>
        <w:t>CTO20 Perimeter LLC</w:t>
      </w:r>
      <w:r>
        <w:rPr>
          <w:rFonts w:ascii="Times" w:hAnsi="Times"/>
          <w:sz w:val="24"/>
        </w:rPr>
        <w:t>, a Delaware limited liability company</w:t>
      </w:r>
    </w:p>
    <w:p>
      <w:pPr>
        <w:pStyle w:val="TextBody"/>
        <w:pBdr/>
        <w:bidi w:val="0"/>
        <w:spacing w:before="280" w:after="0"/>
        <w:ind w:left="4680" w:right="0" w:hanging="540"/>
        <w:jc w:val="left"/>
        <w:rPr>
          <w:rFonts w:ascii="Times" w:hAnsi="Times"/>
          <w:sz w:val="24"/>
        </w:rPr>
      </w:pPr>
      <w:r>
        <w:rPr>
          <w:rFonts w:ascii="Times" w:hAnsi="Times"/>
          <w:sz w:val="24"/>
        </w:rPr>
        <w:t>By: CTO Realty Growth, Inc., a Maryland corporation, its sole member</w:t>
      </w:r>
    </w:p>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bidi w:val="0"/>
        <w:spacing w:lineRule="atLeast" w:line="280" w:before="0" w:after="0"/>
        <w:ind w:left="0" w:right="0" w:hanging="0"/>
        <w:jc w:val="left"/>
        <w:rPr/>
      </w:pPr>
      <w:r>
        <w:rPr/>
        <w:t>​</w:t>
      </w:r>
    </w:p>
    <w:p>
      <w:pPr>
        <w:pStyle w:val="TextBody"/>
        <w:pBdr/>
        <w:bidi w:val="0"/>
        <w:spacing w:lineRule="atLeast" w:line="280" w:before="280" w:after="0"/>
        <w:ind w:left="4680" w:right="0" w:hanging="230"/>
        <w:jc w:val="left"/>
        <w:rPr>
          <w:rFonts w:ascii="Times New Roman;Times;serif" w:hAnsi="Times New Roman;Times;serif"/>
          <w:sz w:val="24"/>
        </w:rPr>
      </w:pPr>
      <w:r>
        <w:rPr>
          <w:rFonts w:ascii="Times" w:hAnsi="Times"/>
          <w:smallCaps/>
          <w:sz w:val="24"/>
        </w:rPr>
        <w:t>CTO20 Perimeter II LLC</w:t>
      </w:r>
      <w:r>
        <w:rPr>
          <w:rFonts w:ascii="Times" w:hAnsi="Times"/>
          <w:sz w:val="24"/>
        </w:rPr>
        <w:t>, a Delaware limited liability company</w:t>
      </w:r>
    </w:p>
    <w:p>
      <w:pPr>
        <w:pStyle w:val="TextBody"/>
        <w:pBdr/>
        <w:bidi w:val="0"/>
        <w:spacing w:before="280" w:after="0"/>
        <w:ind w:left="4680" w:right="0" w:hanging="540"/>
        <w:jc w:val="left"/>
        <w:rPr>
          <w:rFonts w:ascii="Times" w:hAnsi="Times"/>
          <w:sz w:val="24"/>
        </w:rPr>
      </w:pPr>
      <w:r>
        <w:rPr>
          <w:rFonts w:ascii="Times" w:hAnsi="Times"/>
          <w:sz w:val="24"/>
        </w:rPr>
        <w:t>By: CTO Realty Growth, Inc., a Maryland corporation, its sole member</w:t>
      </w:r>
    </w:p>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bidi w:val="0"/>
        <w:spacing w:lineRule="atLeast" w:line="280" w:before="0" w:after="0"/>
        <w:ind w:left="0" w:right="0" w:hanging="0"/>
        <w:jc w:val="left"/>
        <w:rPr/>
      </w:pPr>
      <w:r>
        <w:rPr/>
        <w:t>​</w:t>
      </w:r>
    </w:p>
    <w:p>
      <w:pPr>
        <w:pStyle w:val="TextBody"/>
        <w:pBdr/>
        <w:bidi w:val="0"/>
        <w:spacing w:lineRule="atLeast" w:line="280" w:before="0" w:after="0"/>
        <w:ind w:left="4540" w:right="0" w:hanging="320"/>
        <w:jc w:val="left"/>
        <w:rPr/>
      </w:pPr>
      <w:r>
        <w:rPr/>
        <w:t>​</w:t>
      </w:r>
    </w:p>
    <w:p>
      <w:pPr>
        <w:pStyle w:val="TextBody"/>
        <w:pBdr/>
        <w:bidi w:val="0"/>
        <w:spacing w:lineRule="atLeast" w:line="280" w:before="640" w:after="0"/>
        <w:ind w:left="4680" w:right="0" w:hanging="230"/>
        <w:jc w:val="left"/>
        <w:rPr>
          <w:smallCaps/>
        </w:rPr>
      </w:pPr>
      <w:r>
        <w:rPr>
          <w:smallCaps/>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before="0" w:after="0"/>
        <w:ind w:left="4680" w:right="0" w:hanging="360"/>
        <w:jc w:val="left"/>
        <w:rPr>
          <w:rFonts w:ascii="Times New Roman;Times;serif" w:hAnsi="Times New Roman;Times;serif"/>
          <w:sz w:val="24"/>
        </w:rPr>
      </w:pPr>
      <w:r>
        <w:rPr>
          <w:rFonts w:ascii="Times" w:hAnsi="Times"/>
          <w:smallCaps/>
          <w:sz w:val="24"/>
        </w:rPr>
        <w:t>CTO21 Acquisitions II LLC</w:t>
      </w:r>
      <w:r>
        <w:rPr>
          <w:rFonts w:ascii="Times" w:hAnsi="Times"/>
          <w:sz w:val="24"/>
        </w:rPr>
        <w:t>, a Delaware limited liability company</w:t>
      </w:r>
    </w:p>
    <w:p>
      <w:pPr>
        <w:pStyle w:val="TextBody"/>
        <w:pBdr/>
        <w:bidi w:val="0"/>
        <w:spacing w:before="280" w:after="0"/>
        <w:ind w:left="4680" w:right="0" w:hanging="540"/>
        <w:jc w:val="left"/>
        <w:rPr>
          <w:rFonts w:ascii="Times" w:hAnsi="Times"/>
          <w:sz w:val="24"/>
        </w:rPr>
      </w:pPr>
      <w:r>
        <w:rPr>
          <w:rFonts w:ascii="Times" w:hAnsi="Times"/>
          <w:sz w:val="24"/>
        </w:rPr>
        <w:t>By: CTO Realty Growth, Inc., a Maryland corporation, its sole member</w:t>
      </w:r>
    </w:p>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0" w:after="0"/>
        <w:ind w:left="4680" w:right="0" w:hanging="360"/>
        <w:jc w:val="left"/>
        <w:rPr>
          <w:smallCaps/>
        </w:rPr>
      </w:pPr>
      <w:r>
        <w:rPr>
          <w:smallCaps/>
        </w:rPr>
        <w:t>​</w:t>
      </w:r>
    </w:p>
    <w:p>
      <w:pPr>
        <w:pStyle w:val="TextBody"/>
        <w:pBdr/>
        <w:bidi w:val="0"/>
        <w:spacing w:before="0" w:after="0"/>
        <w:ind w:left="4680" w:right="0" w:hanging="360"/>
        <w:jc w:val="left"/>
        <w:rPr>
          <w:smallCaps/>
        </w:rPr>
      </w:pPr>
      <w:r>
        <w:rPr>
          <w:smallCaps/>
        </w:rPr>
        <w:t>​</w:t>
      </w:r>
    </w:p>
    <w:p>
      <w:pPr>
        <w:pStyle w:val="TextBody"/>
        <w:pBdr/>
        <w:bidi w:val="0"/>
        <w:spacing w:before="0" w:after="0"/>
        <w:ind w:left="4680" w:right="0" w:hanging="360"/>
        <w:jc w:val="left"/>
        <w:rPr>
          <w:rFonts w:ascii="Times New Roman;Times;serif" w:hAnsi="Times New Roman;Times;serif"/>
          <w:sz w:val="24"/>
        </w:rPr>
      </w:pPr>
      <w:r>
        <w:rPr>
          <w:rFonts w:ascii="Times" w:hAnsi="Times"/>
          <w:smallCaps/>
          <w:sz w:val="24"/>
        </w:rPr>
        <w:t>CTO21 AL Outparcel LLC</w:t>
      </w:r>
      <w:r>
        <w:rPr>
          <w:rFonts w:ascii="Times" w:hAnsi="Times"/>
          <w:sz w:val="24"/>
        </w:rPr>
        <w:t>, a Delaware limited liability company</w:t>
      </w:r>
    </w:p>
    <w:p>
      <w:pPr>
        <w:pStyle w:val="TextBody"/>
        <w:pBdr/>
        <w:bidi w:val="0"/>
        <w:spacing w:before="280" w:after="0"/>
        <w:ind w:left="4680" w:right="0" w:hanging="540"/>
        <w:jc w:val="left"/>
        <w:rPr>
          <w:rFonts w:ascii="Times" w:hAnsi="Times"/>
          <w:sz w:val="24"/>
        </w:rPr>
      </w:pPr>
      <w:r>
        <w:rPr>
          <w:rFonts w:ascii="Times" w:hAnsi="Times"/>
          <w:sz w:val="24"/>
        </w:rPr>
        <w:t>By: CTO Realty Growth, Inc., a Maryland corporation, its sole member</w:t>
      </w:r>
    </w:p>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lineRule="atLeast" w:line="280" w:before="640" w:after="0"/>
        <w:ind w:left="4680" w:right="0" w:hanging="230"/>
        <w:jc w:val="left"/>
        <w:rPr>
          <w:rFonts w:ascii="Times New Roman;Times;serif" w:hAnsi="Times New Roman;Times;serif"/>
          <w:sz w:val="24"/>
        </w:rPr>
      </w:pPr>
      <w:r>
        <w:rPr>
          <w:rFonts w:ascii="Times" w:hAnsi="Times"/>
          <w:smallCaps/>
          <w:sz w:val="24"/>
        </w:rPr>
        <w:t>CTO21 Apex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sole member</w:t>
      </w:r>
    </w:p>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0" w:after="0"/>
        <w:ind w:left="4680" w:right="0" w:hanging="360"/>
        <w:jc w:val="left"/>
        <w:rPr>
          <w:smallCaps/>
        </w:rPr>
      </w:pPr>
      <w:r>
        <w:rPr>
          <w:smallCaps/>
        </w:rPr>
        <w:t>​</w:t>
      </w:r>
    </w:p>
    <w:p>
      <w:pPr>
        <w:pStyle w:val="TextBody"/>
        <w:pBdr/>
        <w:bidi w:val="0"/>
        <w:spacing w:before="0" w:after="0"/>
        <w:ind w:left="4680" w:right="0" w:hanging="360"/>
        <w:jc w:val="left"/>
        <w:rPr>
          <w:smallCaps/>
        </w:rPr>
      </w:pPr>
      <w:r>
        <w:rPr>
          <w:smallCaps/>
        </w:rPr>
        <w:t>​</w:t>
      </w:r>
    </w:p>
    <w:p>
      <w:pPr>
        <w:pStyle w:val="TextBody"/>
        <w:pBdr/>
        <w:bidi w:val="0"/>
        <w:spacing w:before="0" w:after="0"/>
        <w:ind w:left="4680" w:right="0" w:hanging="360"/>
        <w:jc w:val="left"/>
        <w:rPr>
          <w:smallCaps/>
        </w:rPr>
      </w:pPr>
      <w:r>
        <w:rPr>
          <w:smallCaps/>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0" w:after="0"/>
        <w:ind w:left="4680" w:right="0" w:hanging="230"/>
        <w:jc w:val="left"/>
        <w:rPr>
          <w:rFonts w:ascii="Times New Roman;Times;serif" w:hAnsi="Times New Roman;Times;serif"/>
          <w:sz w:val="24"/>
        </w:rPr>
      </w:pPr>
      <w:r>
        <w:rPr>
          <w:rFonts w:ascii="Times" w:hAnsi="Times"/>
          <w:smallCaps/>
          <w:sz w:val="24"/>
        </w:rPr>
        <w:t>CTO21 Buford 1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sole member</w:t>
      </w:r>
    </w:p>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bidi w:val="0"/>
        <w:spacing w:lineRule="atLeast" w:line="280" w:before="640" w:after="0"/>
        <w:ind w:left="4680" w:right="0" w:hanging="0"/>
        <w:jc w:val="left"/>
        <w:rPr>
          <w:rFonts w:ascii="Times New Roman;Times;serif" w:hAnsi="Times New Roman;Times;serif"/>
          <w:sz w:val="24"/>
        </w:rPr>
      </w:pPr>
      <w:r>
        <w:rPr>
          <w:rFonts w:ascii="Times" w:hAnsi="Times"/>
          <w:smallCaps/>
          <w:sz w:val="24"/>
        </w:rPr>
        <w:t>CTO22 Madison Yards LLC</w:t>
      </w:r>
      <w:r>
        <w:rPr>
          <w:rFonts w:ascii="Times" w:hAnsi="Times"/>
          <w:sz w:val="24"/>
        </w:rPr>
        <w:t>, a Delaware limited liability company</w:t>
      </w:r>
    </w:p>
    <w:p>
      <w:pPr>
        <w:pStyle w:val="TextBody"/>
        <w:pBdr/>
        <w:bidi w:val="0"/>
        <w:spacing w:lineRule="atLeast" w:line="280" w:before="280" w:after="0"/>
        <w:ind w:left="4680" w:right="0" w:hanging="540"/>
        <w:jc w:val="left"/>
        <w:rPr>
          <w:rFonts w:ascii="Times" w:hAnsi="Times"/>
          <w:sz w:val="24"/>
        </w:rPr>
      </w:pPr>
      <w:r>
        <w:rPr>
          <w:rFonts w:ascii="Times" w:hAnsi="Times"/>
          <w:sz w:val="24"/>
        </w:rPr>
        <w:t>By: CTO Realty Growth, Inc., a Maryland corporation, its sole member</w:t>
      </w:r>
    </w:p>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bidi w:val="0"/>
        <w:spacing w:lineRule="atLeast" w:line="280" w:before="0" w:after="0"/>
        <w:ind w:left="5400" w:right="0" w:hanging="0"/>
        <w:jc w:val="left"/>
        <w:rPr/>
      </w:pPr>
      <w:r>
        <w:rPr/>
        <w:t>​</w:t>
      </w:r>
    </w:p>
    <w:p>
      <w:pPr>
        <w:pStyle w:val="TextBody"/>
        <w:bidi w:val="0"/>
        <w:spacing w:lineRule="atLeast" w:line="280" w:before="0" w:after="0"/>
        <w:ind w:left="5400" w:right="0" w:hanging="0"/>
        <w:jc w:val="left"/>
        <w:rPr/>
      </w:pPr>
      <w:r>
        <w:rPr/>
        <w:t>​</w:t>
      </w:r>
    </w:p>
    <w:p>
      <w:pPr>
        <w:pStyle w:val="TextBody"/>
        <w:bidi w:val="0"/>
        <w:spacing w:lineRule="atLeast" w:line="280" w:before="0" w:after="0"/>
        <w:ind w:left="5400" w:right="0" w:hanging="0"/>
        <w:jc w:val="left"/>
        <w:rPr/>
      </w:pPr>
      <w:r>
        <w:rPr/>
        <w:t>​</w:t>
      </w:r>
    </w:p>
    <w:p>
      <w:pPr>
        <w:pStyle w:val="TextBody"/>
        <w:pBdr/>
        <w:bidi w:val="0"/>
        <w:spacing w:lineRule="atLeast" w:line="280" w:before="0" w:after="0"/>
        <w:ind w:left="4680" w:right="0" w:hanging="230"/>
        <w:jc w:val="left"/>
        <w:rPr>
          <w:rFonts w:ascii="Times New Roman;Times;serif" w:hAnsi="Times New Roman;Times;serif"/>
          <w:sz w:val="24"/>
        </w:rPr>
      </w:pPr>
      <w:r>
        <w:rPr>
          <w:rFonts w:ascii="Times" w:hAnsi="Times"/>
          <w:sz w:val="24"/>
        </w:rPr>
        <w:t xml:space="preserve">CTO23 </w:t>
      </w:r>
      <w:r>
        <w:rPr>
          <w:rFonts w:ascii="Times" w:hAnsi="Times"/>
          <w:smallCaps/>
          <w:sz w:val="24"/>
        </w:rPr>
        <w:t>Rockwall</w:t>
      </w:r>
      <w:r>
        <w:rPr>
          <w:rFonts w:ascii="Times New Roman;Times;serif" w:hAnsi="Times New Roman;Times;serif"/>
          <w:sz w:val="24"/>
        </w:rPr>
        <w:t xml:space="preserve"> </w:t>
      </w:r>
      <w:r>
        <w:rPr>
          <w:rFonts w:ascii="Times" w:hAnsi="Times"/>
          <w:sz w:val="24"/>
        </w:rPr>
        <w:t>LLC,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280" w:after="0"/>
              <w:jc w:val="left"/>
              <w:rPr>
                <w:rFonts w:ascii="Times" w:hAnsi="Times"/>
                <w:sz w:val="24"/>
              </w:rPr>
            </w:pPr>
            <w:r>
              <w:rPr>
                <w:rFonts w:ascii="Times" w:hAnsi="Times"/>
                <w:sz w:val="24"/>
              </w:rPr>
              <w:t>By:</w:t>
            </w:r>
          </w:p>
        </w:tc>
        <w:tc>
          <w:tcPr>
            <w:tcW w:w="6395" w:type="dxa"/>
            <w:tcBorders/>
            <w:vAlign w:val="center"/>
          </w:tcPr>
          <w:p>
            <w:pPr>
              <w:pStyle w:val="TableContents"/>
              <w:bidi w:val="0"/>
              <w:spacing w:lineRule="atLeast" w:line="280" w:before="280" w:after="0"/>
              <w:jc w:val="left"/>
              <w:rPr>
                <w:rFonts w:ascii="Times" w:hAnsi="Times"/>
                <w:sz w:val="24"/>
              </w:rPr>
            </w:pPr>
            <w:r>
              <w:rPr>
                <w:rFonts w:ascii="Times" w:hAnsi="Times"/>
                <w:sz w:val="24"/>
              </w:rPr>
              <w:t>CTO Realty Growth, Inc., a Maryland corporation, its sole member</w:t>
            </w:r>
          </w:p>
        </w:tc>
      </w:tr>
    </w:tbl>
    <w:p>
      <w:pPr>
        <w:pStyle w:val="TextBody"/>
        <w:pBdr/>
        <w:bidi w:val="0"/>
        <w:spacing w:lineRule="atLeast" w:line="280" w:before="640" w:after="0"/>
        <w:ind w:left="4630" w:right="0" w:hanging="230"/>
        <w:jc w:val="left"/>
        <w:rPr>
          <w:rFonts w:ascii="Times" w:hAnsi="Times"/>
          <w:sz w:val="24"/>
        </w:rPr>
      </w:pPr>
      <w:r>
        <w:rPr>
          <w:rFonts w:ascii="Times" w:hAnsi="Times"/>
          <w:sz w:val="24"/>
        </w:rPr>
        <w:t>By: 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bidi w:val="0"/>
        <w:spacing w:before="0" w:after="0"/>
        <w:ind w:left="0" w:right="0" w:hanging="0"/>
        <w:jc w:val="left"/>
        <w:rPr/>
      </w:pPr>
      <w:r>
        <w:rPr/>
        <w:t>​</w:t>
      </w:r>
    </w:p>
    <w:p>
      <w:pPr>
        <w:pStyle w:val="TextBody"/>
        <w:pBdr/>
        <w:bidi w:val="0"/>
        <w:spacing w:lineRule="atLeast" w:line="280" w:before="280" w:after="0"/>
        <w:ind w:left="4680" w:right="0" w:hanging="230"/>
        <w:jc w:val="left"/>
        <w:rPr>
          <w:smallCaps/>
        </w:rPr>
      </w:pPr>
      <w:r>
        <w:rPr>
          <w:smallCaps/>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lineRule="atLeast" w:line="280" w:before="0" w:after="0"/>
        <w:ind w:left="4680" w:right="0" w:hanging="230"/>
        <w:jc w:val="left"/>
        <w:rPr>
          <w:rFonts w:ascii="Times New Roman;Times;serif" w:hAnsi="Times New Roman;Times;serif"/>
          <w:sz w:val="24"/>
        </w:rPr>
      </w:pPr>
      <w:r>
        <w:rPr>
          <w:rFonts w:ascii="Times" w:hAnsi="Times"/>
          <w:smallCaps/>
          <w:sz w:val="24"/>
        </w:rPr>
        <w:t>CTO22 Short Pump LLC,</w:t>
      </w:r>
      <w:r>
        <w:rPr>
          <w:rFonts w:ascii="Times New Roman;Times;serif" w:hAnsi="Times New Roman;Times;serif"/>
          <w:sz w:val="24"/>
        </w:rPr>
        <w:t xml:space="preserve"> </w:t>
      </w:r>
      <w:r>
        <w:rPr>
          <w:rFonts w:ascii="Times" w:hAnsi="Times"/>
          <w:sz w:val="24"/>
        </w:rPr>
        <w:t>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280" w:after="0"/>
              <w:jc w:val="left"/>
              <w:rPr>
                <w:rFonts w:ascii="Times" w:hAnsi="Times"/>
                <w:sz w:val="24"/>
              </w:rPr>
            </w:pPr>
            <w:r>
              <w:rPr>
                <w:rFonts w:ascii="Times" w:hAnsi="Times"/>
                <w:sz w:val="24"/>
              </w:rPr>
              <w:t>By:</w:t>
            </w:r>
          </w:p>
        </w:tc>
        <w:tc>
          <w:tcPr>
            <w:tcW w:w="6395" w:type="dxa"/>
            <w:tcBorders/>
            <w:vAlign w:val="center"/>
          </w:tcPr>
          <w:p>
            <w:pPr>
              <w:pStyle w:val="TableContents"/>
              <w:bidi w:val="0"/>
              <w:spacing w:lineRule="atLeast" w:line="280" w:before="280" w:after="0"/>
              <w:jc w:val="left"/>
              <w:rPr>
                <w:rFonts w:ascii="Times" w:hAnsi="Times"/>
                <w:sz w:val="24"/>
              </w:rPr>
            </w:pPr>
            <w:r>
              <w:rPr>
                <w:rFonts w:ascii="Times" w:hAnsi="Times"/>
                <w:sz w:val="24"/>
              </w:rPr>
              <w:t>CTO Realty Growth, Inc., a Maryland corporation, its sole member</w:t>
            </w:r>
          </w:p>
        </w:tc>
      </w:tr>
    </w:tbl>
    <w:p>
      <w:pPr>
        <w:pStyle w:val="TextBody"/>
        <w:pBdr/>
        <w:bidi w:val="0"/>
        <w:spacing w:before="640" w:after="0"/>
        <w:ind w:left="4680" w:right="0" w:hanging="360"/>
        <w:jc w:val="left"/>
        <w:rPr>
          <w:rFonts w:ascii="Times" w:hAnsi="Times"/>
          <w:sz w:val="24"/>
        </w:rPr>
      </w:pPr>
      <w:r>
        <w:rPr>
          <w:rFonts w:ascii="Times" w:hAnsi="Times"/>
          <w:sz w:val="24"/>
        </w:rPr>
        <w:t>By: ______________________________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0" w:after="0"/>
        <w:ind w:left="4680" w:right="0" w:hanging="360"/>
        <w:jc w:val="left"/>
        <w:rPr/>
      </w:pPr>
      <w:r>
        <w:rPr/>
        <w:t>​</w:t>
      </w:r>
    </w:p>
    <w:p>
      <w:pPr>
        <w:pStyle w:val="TextBody"/>
        <w:pBdr/>
        <w:bidi w:val="0"/>
        <w:spacing w:before="0" w:after="0"/>
        <w:ind w:left="4680" w:right="0" w:hanging="360"/>
        <w:jc w:val="left"/>
        <w:rPr/>
      </w:pPr>
      <w:r>
        <w:rPr/>
        <w:t>​</w:t>
      </w:r>
    </w:p>
    <w:p>
      <w:pPr>
        <w:pStyle w:val="TextBody"/>
        <w:pBdr/>
        <w:bidi w:val="0"/>
        <w:spacing w:lineRule="atLeast" w:line="280" w:before="280" w:after="0"/>
        <w:ind w:left="4680" w:right="0" w:hanging="230"/>
        <w:jc w:val="left"/>
        <w:rPr>
          <w:rFonts w:ascii="Times New Roman;Times;serif" w:hAnsi="Times New Roman;Times;serif"/>
          <w:sz w:val="24"/>
        </w:rPr>
      </w:pPr>
      <w:r>
        <w:rPr>
          <w:rFonts w:ascii="Times" w:hAnsi="Times"/>
          <w:smallCaps/>
          <w:sz w:val="24"/>
        </w:rPr>
        <w:t>CTO22 Forsyth LLC,</w:t>
      </w:r>
      <w:r>
        <w:rPr>
          <w:rFonts w:ascii="Times New Roman;Times;serif" w:hAnsi="Times New Roman;Times;serif"/>
          <w:sz w:val="24"/>
        </w:rPr>
        <w:t xml:space="preserve"> </w:t>
      </w:r>
      <w:r>
        <w:rPr>
          <w:rFonts w:ascii="Times" w:hAnsi="Times"/>
          <w:sz w:val="24"/>
        </w:rPr>
        <w:t>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280" w:after="0"/>
              <w:jc w:val="left"/>
              <w:rPr>
                <w:rFonts w:ascii="Times" w:hAnsi="Times"/>
                <w:sz w:val="24"/>
              </w:rPr>
            </w:pPr>
            <w:r>
              <w:rPr>
                <w:rFonts w:ascii="Times" w:hAnsi="Times"/>
                <w:sz w:val="24"/>
              </w:rPr>
              <w:t>By:</w:t>
            </w:r>
          </w:p>
        </w:tc>
        <w:tc>
          <w:tcPr>
            <w:tcW w:w="6395" w:type="dxa"/>
            <w:tcBorders/>
            <w:vAlign w:val="center"/>
          </w:tcPr>
          <w:p>
            <w:pPr>
              <w:pStyle w:val="TableContents"/>
              <w:bidi w:val="0"/>
              <w:spacing w:lineRule="atLeast" w:line="280" w:before="280" w:after="0"/>
              <w:jc w:val="left"/>
              <w:rPr>
                <w:rFonts w:ascii="Times" w:hAnsi="Times"/>
                <w:sz w:val="24"/>
              </w:rPr>
            </w:pPr>
            <w:r>
              <w:rPr>
                <w:rFonts w:ascii="Times" w:hAnsi="Times"/>
                <w:sz w:val="24"/>
              </w:rPr>
              <w:t>CTO Realty Growth, Inc., a Maryland corporation, its sole member</w:t>
            </w:r>
          </w:p>
        </w:tc>
      </w:tr>
    </w:tbl>
    <w:p>
      <w:pPr>
        <w:pStyle w:val="TextBody"/>
        <w:pBdr/>
        <w:bidi w:val="0"/>
        <w:spacing w:before="640" w:after="0"/>
        <w:ind w:left="4680" w:right="0" w:hanging="360"/>
        <w:jc w:val="left"/>
        <w:rPr>
          <w:rFonts w:ascii="Times" w:hAnsi="Times"/>
          <w:sz w:val="24"/>
        </w:rPr>
      </w:pPr>
      <w:r>
        <w:rPr>
          <w:rFonts w:ascii="Times" w:hAnsi="Times"/>
          <w:sz w:val="24"/>
        </w:rPr>
        <w:t>By: ______________________________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0" w:after="0"/>
        <w:ind w:left="4680" w:right="0" w:hanging="360"/>
        <w:jc w:val="left"/>
        <w:rPr/>
      </w:pPr>
      <w:r>
        <w:rPr/>
        <w:t>​</w:t>
      </w:r>
    </w:p>
    <w:p>
      <w:pPr>
        <w:pStyle w:val="TextBody"/>
        <w:pBdr/>
        <w:bidi w:val="0"/>
        <w:spacing w:before="0" w:after="0"/>
        <w:ind w:left="4680" w:right="0" w:hanging="360"/>
        <w:jc w:val="left"/>
        <w:rPr/>
      </w:pPr>
      <w:r>
        <w:rPr/>
        <w:t>​</w:t>
      </w:r>
    </w:p>
    <w:p>
      <w:pPr>
        <w:pStyle w:val="TextBody"/>
        <w:pBdr/>
        <w:bidi w:val="0"/>
        <w:spacing w:lineRule="atLeast" w:line="280" w:before="280" w:after="0"/>
        <w:ind w:left="4680" w:right="0" w:hanging="230"/>
        <w:jc w:val="left"/>
        <w:rPr>
          <w:rFonts w:ascii="Times New Roman;Times;serif" w:hAnsi="Times New Roman;Times;serif"/>
          <w:sz w:val="24"/>
        </w:rPr>
      </w:pPr>
      <w:r>
        <w:rPr>
          <w:rFonts w:ascii="Times" w:hAnsi="Times"/>
          <w:smallCaps/>
          <w:sz w:val="24"/>
        </w:rPr>
        <w:t>DB Main Street LLC,</w:t>
      </w:r>
      <w:r>
        <w:rPr>
          <w:rFonts w:ascii="Times New Roman;Times;serif" w:hAnsi="Times New Roman;Times;serif"/>
          <w:sz w:val="24"/>
        </w:rPr>
        <w:t xml:space="preserve"> </w:t>
      </w:r>
      <w:r>
        <w:rPr>
          <w:rFonts w:ascii="Times" w:hAnsi="Times"/>
          <w:sz w:val="24"/>
        </w:rPr>
        <w:t>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280" w:after="0"/>
              <w:jc w:val="left"/>
              <w:rPr>
                <w:rFonts w:ascii="Times" w:hAnsi="Times"/>
                <w:sz w:val="24"/>
              </w:rPr>
            </w:pPr>
            <w:r>
              <w:rPr>
                <w:rFonts w:ascii="Times" w:hAnsi="Times"/>
                <w:sz w:val="24"/>
              </w:rPr>
              <w:t>By:</w:t>
            </w:r>
          </w:p>
        </w:tc>
        <w:tc>
          <w:tcPr>
            <w:tcW w:w="6395" w:type="dxa"/>
            <w:tcBorders/>
            <w:vAlign w:val="center"/>
          </w:tcPr>
          <w:p>
            <w:pPr>
              <w:pStyle w:val="TableContents"/>
              <w:bidi w:val="0"/>
              <w:spacing w:lineRule="atLeast" w:line="280" w:before="280" w:after="0"/>
              <w:jc w:val="left"/>
              <w:rPr>
                <w:rFonts w:ascii="Times" w:hAnsi="Times"/>
                <w:sz w:val="24"/>
              </w:rPr>
            </w:pPr>
            <w:r>
              <w:rPr>
                <w:rFonts w:ascii="Times" w:hAnsi="Times"/>
                <w:sz w:val="24"/>
              </w:rPr>
              <w:t>CTO Realty Growth, Inc., a Maryland corporation, its sole member</w:t>
            </w:r>
          </w:p>
        </w:tc>
      </w:tr>
    </w:tbl>
    <w:p>
      <w:pPr>
        <w:pStyle w:val="TextBody"/>
        <w:pBdr/>
        <w:bidi w:val="0"/>
        <w:spacing w:before="640" w:after="0"/>
        <w:ind w:left="4680" w:right="0" w:hanging="360"/>
        <w:jc w:val="left"/>
        <w:rPr>
          <w:rFonts w:ascii="Times" w:hAnsi="Times"/>
          <w:sz w:val="24"/>
        </w:rPr>
      </w:pPr>
      <w:r>
        <w:rPr>
          <w:rFonts w:ascii="Times" w:hAnsi="Times"/>
          <w:sz w:val="24"/>
        </w:rPr>
        <w:t>By: ______________________________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0" w:after="0"/>
        <w:ind w:left="4680" w:right="0" w:hanging="360"/>
        <w:jc w:val="left"/>
        <w:rPr/>
      </w:pPr>
      <w:r>
        <w:rPr/>
        <w:t>​</w:t>
      </w:r>
    </w:p>
    <w:p>
      <w:pPr>
        <w:pStyle w:val="TextBody"/>
        <w:pBdr/>
        <w:bidi w:val="0"/>
        <w:spacing w:before="0" w:after="0"/>
        <w:ind w:left="4680" w:right="0" w:hanging="360"/>
        <w:jc w:val="left"/>
        <w:rPr/>
      </w:pPr>
      <w:r>
        <w:rPr/>
        <w:t>​</w:t>
      </w:r>
    </w:p>
    <w:p>
      <w:pPr>
        <w:pStyle w:val="TextBody"/>
        <w:pBdr/>
        <w:bidi w:val="0"/>
        <w:spacing w:before="0" w:after="0"/>
        <w:ind w:left="4680" w:right="0" w:hanging="360"/>
        <w:jc w:val="left"/>
        <w:rPr>
          <w:smallCaps/>
          <w:shd w:fill="FFFF00" w:val="clear"/>
        </w:rPr>
      </w:pPr>
      <w:r>
        <w:rPr>
          <w:smallCaps/>
          <w:shd w:fill="FFFF00" w:val="clea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pBdr/>
        <w:bidi w:val="0"/>
        <w:spacing w:before="0" w:after="0"/>
        <w:ind w:left="4680" w:right="0" w:hanging="360"/>
        <w:jc w:val="left"/>
        <w:rPr>
          <w:rFonts w:ascii="Times New Roman;Times;serif" w:hAnsi="Times New Roman;Times;serif"/>
          <w:sz w:val="24"/>
        </w:rPr>
      </w:pPr>
      <w:r>
        <w:rPr>
          <w:rFonts w:ascii="Times" w:hAnsi="Times"/>
          <w:smallCaps/>
          <w:sz w:val="24"/>
        </w:rPr>
        <w:t>CTO24 MSTC LLC,</w:t>
      </w:r>
      <w:r>
        <w:rPr>
          <w:rFonts w:ascii="Times New Roman;Times;serif" w:hAnsi="Times New Roman;Times;serif"/>
          <w:sz w:val="24"/>
        </w:rPr>
        <w:t xml:space="preserve"> </w:t>
      </w:r>
      <w:r>
        <w:rPr>
          <w:rFonts w:ascii="Times" w:hAnsi="Times"/>
          <w:sz w:val="24"/>
        </w:rPr>
        <w:t>a Delaware limited liability company</w:t>
      </w:r>
    </w:p>
    <w:p>
      <w:pPr>
        <w:pStyle w:val="TextBody"/>
        <w:pBdr/>
        <w:bidi w:val="0"/>
        <w:spacing w:before="0" w:after="0"/>
        <w:ind w:left="4680" w:right="0" w:hanging="360"/>
        <w:jc w:val="left"/>
        <w:rPr/>
      </w:pPr>
      <w:r>
        <w:rPr/>
        <w:t>​</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lineRule="atLeast" w:line="280" w:before="280" w:after="0"/>
              <w:jc w:val="left"/>
              <w:rPr>
                <w:rFonts w:ascii="Times" w:hAnsi="Times"/>
                <w:sz w:val="24"/>
              </w:rPr>
            </w:pPr>
            <w:r>
              <w:rPr>
                <w:rFonts w:ascii="Times" w:hAnsi="Times"/>
                <w:sz w:val="24"/>
              </w:rPr>
              <w:t>By:</w:t>
            </w:r>
          </w:p>
        </w:tc>
        <w:tc>
          <w:tcPr>
            <w:tcW w:w="6395" w:type="dxa"/>
            <w:tcBorders/>
            <w:vAlign w:val="center"/>
          </w:tcPr>
          <w:p>
            <w:pPr>
              <w:pStyle w:val="TableContents"/>
              <w:bidi w:val="0"/>
              <w:spacing w:lineRule="atLeast" w:line="280" w:before="280" w:after="0"/>
              <w:jc w:val="left"/>
              <w:rPr>
                <w:rFonts w:ascii="Times" w:hAnsi="Times"/>
                <w:sz w:val="24"/>
              </w:rPr>
            </w:pPr>
            <w:r>
              <w:rPr>
                <w:rFonts w:ascii="Times" w:hAnsi="Times"/>
                <w:sz w:val="24"/>
              </w:rPr>
              <w:t>CTO Realty Growth, Inc., a Maryland corporation, its sole member</w:t>
            </w:r>
          </w:p>
        </w:tc>
      </w:tr>
    </w:tbl>
    <w:p>
      <w:pPr>
        <w:pStyle w:val="TextBody"/>
        <w:pBdr/>
        <w:bidi w:val="0"/>
        <w:spacing w:before="640" w:after="0"/>
        <w:ind w:left="4680" w:right="0" w:hanging="360"/>
        <w:jc w:val="left"/>
        <w:rPr>
          <w:rFonts w:ascii="Times" w:hAnsi="Times"/>
          <w:sz w:val="24"/>
        </w:rPr>
      </w:pPr>
      <w:r>
        <w:rPr>
          <w:rFonts w:ascii="Times" w:hAnsi="Times"/>
          <w:sz w:val="24"/>
        </w:rPr>
        <w:t>By: ______________________________</w:t>
      </w:r>
    </w:p>
    <w:p>
      <w:pPr>
        <w:pStyle w:val="TextBody"/>
        <w:pBdr/>
        <w:bidi w:val="0"/>
        <w:spacing w:before="0" w:after="0"/>
        <w:ind w:left="4680" w:right="0" w:hanging="360"/>
        <w:jc w:val="left"/>
        <w:rPr>
          <w:rFonts w:ascii="Times" w:hAnsi="Times"/>
          <w:sz w:val="24"/>
        </w:rPr>
      </w:pPr>
      <w:r>
        <w:rPr>
          <w:rFonts w:ascii="Times" w:hAnsi="Times"/>
          <w:sz w:val="24"/>
        </w:rPr>
        <w:t>Name: Daniel E. Smith</w:t>
      </w:r>
    </w:p>
    <w:p>
      <w:pPr>
        <w:pStyle w:val="TextBody"/>
        <w:pBdr/>
        <w:bidi w:val="0"/>
        <w:spacing w:before="0" w:after="0"/>
        <w:ind w:left="4680" w:right="0" w:hanging="360"/>
        <w:jc w:val="left"/>
        <w:rPr>
          <w:rFonts w:ascii="Times" w:hAnsi="Times"/>
          <w:sz w:val="24"/>
        </w:rPr>
      </w:pPr>
      <w:r>
        <w:rPr>
          <w:rFonts w:ascii="Times" w:hAnsi="Times"/>
          <w:sz w:val="24"/>
        </w:rPr>
        <w:t>Title: SVP, General Counsel and Corporate Secretary; Director</w:t>
      </w:r>
    </w:p>
    <w:p>
      <w:pPr>
        <w:pStyle w:val="TextBody"/>
        <w:pBdr/>
        <w:bidi w:val="0"/>
        <w:spacing w:before="0" w:after="0"/>
        <w:ind w:left="4680" w:right="0" w:hanging="360"/>
        <w:jc w:val="left"/>
        <w:rPr/>
      </w:pPr>
      <w:r>
        <w:rPr/>
        <w:t>​</w:t>
      </w:r>
    </w:p>
    <w:p>
      <w:pPr>
        <w:pStyle w:val="TextBody"/>
        <w:pBdr/>
        <w:bidi w:val="0"/>
        <w:spacing w:before="0" w:after="0"/>
        <w:ind w:left="4680" w:right="0" w:hanging="360"/>
        <w:jc w:val="left"/>
        <w:rPr/>
      </w:pPr>
      <w:r>
        <w:rPr/>
        <w:t>​</w:t>
      </w:r>
    </w:p>
    <w:p>
      <w:pPr>
        <w:pStyle w:val="TextBody"/>
        <w:pBdr/>
        <w:bidi w:val="0"/>
        <w:spacing w:before="0" w:after="0"/>
        <w:ind w:left="4680" w:right="0" w:hanging="36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B</w:t>
      </w:r>
    </w:p>
    <w:p>
      <w:pPr>
        <w:pStyle w:val="TextBody"/>
        <w:bidi w:val="0"/>
        <w:spacing w:before="28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Borrowing</w:t>
      </w:r>
    </w:p>
    <w:p>
      <w:pPr>
        <w:pStyle w:val="TextBody"/>
        <w:bidi w:val="0"/>
        <w:spacing w:before="280" w:after="0"/>
        <w:ind w:left="620" w:right="0" w:hanging="0"/>
        <w:jc w:val="both"/>
        <w:rPr>
          <w:rFonts w:ascii="Times New Roman;Times;serif" w:hAnsi="Times New Roman;Times;serif"/>
          <w:sz w:val="24"/>
        </w:rPr>
      </w:pPr>
      <w:r>
        <w:rPr>
          <w:rFonts w:ascii="Times New Roman;Times;serif" w:hAnsi="Times New Roman;Times;serif"/>
          <w:sz w:val="24"/>
          <w:shd w:fill="FFFFFF" w:val="clear"/>
        </w:rPr>
        <w:tab/>
      </w:r>
      <w:r>
        <w:rPr>
          <w:rFonts w:ascii="Times New Roman;Times;serif" w:hAnsi="Times New Roman;Times;serif"/>
          <w:b w:val="false"/>
          <w:i w:val="false"/>
          <w:caps w:val="false"/>
          <w:smallCaps w:val="false"/>
          <w:sz w:val="24"/>
          <w:shd w:fill="FFFFFF" w:val="clear"/>
        </w:rPr>
        <w:t>Date:</w:t>
      </w:r>
      <w:r>
        <w:rPr>
          <w:rFonts w:ascii="Times New Roman;Times;serif" w:hAnsi="Times New Roman;Times;serif"/>
          <w:b w:val="false"/>
          <w:i w:val="false"/>
          <w:caps w:val="false"/>
          <w:smallCaps w:val="false"/>
          <w:sz w:val="24"/>
          <w:shd w:fill="FFFFFF" w:val="clear"/>
        </w:rPr>
        <w:t>, ____</w:t>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6480175" cy="175895"/>
                <wp:effectExtent l="0" t="0" r="0" b="0"/>
                <wp:wrapNone/>
                <wp:docPr id="703" name="Frame7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240" w:after="0"/>
              <w:jc w:val="both"/>
              <w:rPr>
                <w:rFonts w:ascii="Times New Roman;Times;serif" w:hAnsi="Times New Roman;Times;serif"/>
                <w:sz w:val="24"/>
              </w:rPr>
            </w:pPr>
            <w:r>
              <w:rPr>
                <w:rFonts w:ascii="Times New Roman;Times;serif" w:hAnsi="Times New Roman;Times;serif"/>
                <w:sz w:val="24"/>
              </w:rPr>
              <w:t>To:</w:t>
            </w:r>
          </w:p>
        </w:tc>
        <w:tc>
          <w:tcPr>
            <w:tcW w:w="9903" w:type="dxa"/>
            <w:tcBorders/>
            <w:vAlign w:val="center"/>
          </w:tcPr>
          <w:p>
            <w:pPr>
              <w:pStyle w:val="TableContents"/>
              <w:bidi w:val="0"/>
              <w:spacing w:before="240" w:after="0"/>
              <w:jc w:val="both"/>
              <w:rPr>
                <w:rFonts w:ascii="Times New Roman;Times;serif" w:hAnsi="Times New Roman;Times;serif"/>
                <w:sz w:val="24"/>
              </w:rPr>
            </w:pPr>
            <w:r>
              <w:rPr>
                <w:rFonts w:ascii="Times New Roman;Times;serif" w:hAnsi="Times New Roman;Times;serif"/>
                <w:sz w:val="24"/>
              </w:rPr>
              <w:t xml:space="preserve">KeyBank National Association, as Administrative Agent for the Lenders from time to time parties to the Credit Agreement dated as of September 30, 2024 (as extended, renewed, amended or restated from time to time, the “Credit Agreement”), among </w:t>
            </w:r>
            <w:r>
              <w:rPr>
                <w:rFonts w:ascii="Times New Roman;Times;serif" w:hAnsi="Times New Roman;Times;serif"/>
                <w:smallCaps/>
                <w:sz w:val="24"/>
              </w:rPr>
              <w:t>CTO Realty Growth, Inc.</w:t>
            </w:r>
            <w:r>
              <w:rPr>
                <w:rFonts w:ascii="Times New Roman;Times;serif" w:hAnsi="Times New Roman;Times;serif"/>
                <w:sz w:val="24"/>
              </w:rPr>
              <w:t>, certain Guarantors which are signatories thereto, certain Lenders which are from time to time parties thereto, and KeyBank National Association, as Administrative Agent</w:t>
            </w:r>
          </w:p>
        </w:tc>
      </w:tr>
    </w:tbl>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Ladies and Gentlemen:</w:t>
      </w:r>
    </w:p>
    <w:p>
      <w:pPr>
        <w:pStyle w:val="TextBody"/>
        <w:bidi w:val="0"/>
        <w:spacing w:before="240" w:after="0"/>
        <w:ind w:left="0" w:right="0" w:firstLine="720"/>
        <w:jc w:val="both"/>
        <w:rPr>
          <w:rFonts w:ascii="Times New Roman;Times;serif" w:hAnsi="Times New Roman;Times;serif"/>
          <w:sz w:val="24"/>
        </w:rPr>
      </w:pPr>
      <w:r>
        <w:rPr>
          <w:rFonts w:ascii="Times New Roman;Times;serif" w:hAnsi="Times New Roman;Times;serif"/>
          <w:sz w:val="24"/>
        </w:rPr>
        <w:t>The undersigned, CTO Realty Growth, Inc. (the “Borrower”), refers to the Credit Agreement, the terms defined therein being used herein as therein defined, and hereby gives you notice irrevocably, pursuant to Section 1.6 of the Credit Agreement, of the Borrowing specified below:</w:t>
      </w:r>
    </w:p>
    <w:p>
      <w:pPr>
        <w:pStyle w:val="TextBody"/>
        <w:bidi w:val="0"/>
        <w:spacing w:before="240" w:after="0"/>
        <w:ind w:left="720" w:right="0" w:hanging="0"/>
        <w:jc w:val="both"/>
        <w:rPr>
          <w:rFonts w:ascii="Times New Roman;Times;serif" w:hAnsi="Times New Roman;Times;serif"/>
          <w:sz w:val="24"/>
        </w:rPr>
      </w:pPr>
      <w:r>
        <w:rPr>
          <w:rFonts w:ascii="Times New Roman;Times;serif" w:hAnsi="Times New Roman;Times;serif"/>
          <w:sz w:val="24"/>
        </w:rPr>
        <w:t>1.The Business Day of the proposed Borrowing is ___________, ____.</w:t>
      </w:r>
    </w:p>
    <w:p>
      <w:pPr>
        <w:pStyle w:val="TextBody"/>
        <w:bidi w:val="0"/>
        <w:spacing w:before="240" w:after="0"/>
        <w:ind w:left="720" w:right="0" w:hanging="0"/>
        <w:jc w:val="both"/>
        <w:rPr>
          <w:rFonts w:ascii="Times New Roman;Times;serif" w:hAnsi="Times New Roman;Times;serif"/>
          <w:sz w:val="24"/>
        </w:rPr>
      </w:pPr>
      <w:r>
        <w:rPr>
          <w:rFonts w:ascii="Times New Roman;Times;serif" w:hAnsi="Times New Roman;Times;serif"/>
          <w:sz w:val="24"/>
        </w:rPr>
        <w:t>2.The aggregate amount of the proposed Borrowing is $______________.</w:t>
      </w:r>
    </w:p>
    <w:p>
      <w:pPr>
        <w:pStyle w:val="TextBody"/>
        <w:bidi w:val="0"/>
        <w:spacing w:before="240" w:after="0"/>
        <w:ind w:left="720" w:right="0" w:hanging="0"/>
        <w:jc w:val="both"/>
        <w:rPr>
          <w:rFonts w:ascii="Times New Roman;Times;serif" w:hAnsi="Times New Roman;Times;serif"/>
          <w:sz w:val="24"/>
        </w:rPr>
      </w:pPr>
      <w:r>
        <w:rPr>
          <w:rFonts w:ascii="Times New Roman;Times;serif" w:hAnsi="Times New Roman;Times;serif"/>
          <w:sz w:val="24"/>
        </w:rPr>
        <w:t>3.The Borrowing is being advanced as a</w:t>
      </w:r>
      <w:r>
        <w:rPr>
          <w:rFonts w:ascii="Times New Roman;Times;serif" w:hAnsi="Times New Roman;Times;serif"/>
          <w:b/>
          <w:sz w:val="24"/>
        </w:rPr>
        <w:t>[n]</w:t>
      </w:r>
      <w:r>
        <w:rPr>
          <w:rFonts w:ascii="Times New Roman;Times;serif" w:hAnsi="Times New Roman;Times;serif"/>
          <w:sz w:val="24"/>
        </w:rPr>
        <w:t xml:space="preserve"> </w:t>
      </w:r>
      <w:r>
        <w:rPr>
          <w:rFonts w:ascii="Times New Roman;Times;serif" w:hAnsi="Times New Roman;Times;serif"/>
          <w:b/>
          <w:sz w:val="24"/>
        </w:rPr>
        <w:t>[2029][</w:t>
      </w:r>
      <w:bookmarkStart w:id="2637" w:name="_cp_change_504"/>
      <w:bookmarkEnd w:id="2637"/>
      <w:r>
        <w:rPr>
          <w:rFonts w:ascii="Times New Roman;Times;serif" w:hAnsi="Times New Roman;Times;serif"/>
          <w:b/>
          <w:color w:val="0000FF"/>
          <w:sz w:val="24"/>
        </w:rPr>
        <w:t>2030][</w:t>
      </w:r>
      <w:r>
        <w:rPr>
          <w:rFonts w:ascii="Times New Roman;Times;serif" w:hAnsi="Times New Roman;Times;serif"/>
          <w:b/>
          <w:sz w:val="24"/>
        </w:rPr>
        <w:t>Incremental]</w:t>
      </w:r>
      <w:r>
        <w:rPr>
          <w:rFonts w:ascii="Times New Roman;Times;serif" w:hAnsi="Times New Roman;Times;serif"/>
          <w:sz w:val="24"/>
        </w:rPr>
        <w:t xml:space="preserve"> Term Loan [</w:t>
      </w:r>
      <w:r>
        <w:rPr>
          <w:rFonts w:ascii="Times New Roman;Times;serif" w:hAnsi="Times New Roman;Times;serif"/>
          <w:b/>
          <w:sz w:val="24"/>
        </w:rPr>
        <w:t>Incremental Revolving Loan</w:t>
      </w:r>
      <w:r>
        <w:rPr>
          <w:rFonts w:ascii="Times New Roman;Times;serif" w:hAnsi="Times New Roman;Times;serif"/>
          <w:sz w:val="24"/>
        </w:rPr>
        <w:t>].</w:t>
      </w:r>
    </w:p>
    <w:p>
      <w:pPr>
        <w:pStyle w:val="TextBody"/>
        <w:bidi w:val="0"/>
        <w:spacing w:before="240" w:after="0"/>
        <w:ind w:left="720" w:right="0" w:hanging="0"/>
        <w:jc w:val="both"/>
        <w:rPr>
          <w:rFonts w:ascii="Times New Roman;Times;serif" w:hAnsi="Times New Roman;Times;serif"/>
          <w:sz w:val="24"/>
        </w:rPr>
      </w:pPr>
      <w:r>
        <w:rPr>
          <w:rFonts w:ascii="Times New Roman;Times;serif" w:hAnsi="Times New Roman;Times;serif"/>
          <w:sz w:val="24"/>
        </w:rPr>
        <w:t xml:space="preserve">4.The Borrowing is to be comprised of $___________ of </w:t>
      </w:r>
      <w:r>
        <w:rPr>
          <w:rFonts w:ascii="Times New Roman;Times;serif" w:hAnsi="Times New Roman;Times;serif"/>
          <w:b/>
          <w:sz w:val="24"/>
        </w:rPr>
        <w:t>[Base Rate] [Daily Simple SOFR][Term SOFR]</w:t>
      </w:r>
      <w:r>
        <w:rPr>
          <w:rFonts w:ascii="Times New Roman;Times;serif" w:hAnsi="Times New Roman;Times;serif"/>
          <w:sz w:val="24"/>
        </w:rPr>
        <w:t xml:space="preserve"> Loans.</w:t>
      </w:r>
    </w:p>
    <w:p>
      <w:pPr>
        <w:pStyle w:val="TextBody"/>
        <w:bidi w:val="0"/>
        <w:spacing w:before="240" w:after="0"/>
        <w:ind w:left="720" w:right="0" w:hanging="0"/>
        <w:jc w:val="both"/>
        <w:rPr>
          <w:rFonts w:ascii="Times New Roman;Times;serif" w:hAnsi="Times New Roman;Times;serif"/>
          <w:b/>
          <w:sz w:val="24"/>
        </w:rPr>
      </w:pPr>
      <w:r>
        <w:rPr>
          <w:rFonts w:ascii="Times New Roman;Times;serif" w:hAnsi="Times New Roman;Times;serif"/>
          <w:b/>
          <w:sz w:val="24"/>
        </w:rPr>
        <w:t>[5.The duration of the Interest Period for the Term SOFR Rate Loans included in the Borrowing shall be ____________ months.]</w:t>
      </w:r>
    </w:p>
    <w:p>
      <w:pPr>
        <w:pStyle w:val="TextBody"/>
        <w:bidi w:val="0"/>
        <w:spacing w:before="240" w:after="0"/>
        <w:ind w:left="0" w:right="0" w:firstLine="720"/>
        <w:jc w:val="both"/>
        <w:rPr>
          <w:rFonts w:ascii="Times New Roman;Times;serif" w:hAnsi="Times New Roman;Times;serif"/>
          <w:sz w:val="24"/>
        </w:rPr>
      </w:pPr>
      <w:r>
        <w:rPr>
          <w:rFonts w:ascii="Times New Roman;Times;serif" w:hAnsi="Times New Roman;Times;serif"/>
          <w:sz w:val="24"/>
        </w:rPr>
        <w:t>The undersigned hereby certifies that the following statements are true on the date hereof, and will be true on the date of the proposed Borrowing, before and after giving effect thereto and to the application of the proceeds therefrom:</w:t>
      </w:r>
    </w:p>
    <w:p>
      <w:pPr>
        <w:pStyle w:val="TextBody"/>
        <w:bidi w:val="0"/>
        <w:spacing w:before="240" w:after="0"/>
        <w:ind w:left="720" w:right="0" w:hanging="0"/>
        <w:jc w:val="both"/>
        <w:rPr>
          <w:rFonts w:ascii="Times New Roman;Times;serif" w:hAnsi="Times New Roman;Times;serif"/>
          <w:sz w:val="24"/>
        </w:rPr>
      </w:pPr>
      <w:r>
        <w:rPr>
          <w:rFonts w:ascii="Times New Roman;Times;serif" w:hAnsi="Times New Roman;Times;serif"/>
          <w:sz w:val="24"/>
        </w:rPr>
        <w:t>(a)the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and</w:t>
      </w:r>
    </w:p>
    <w:p>
      <w:pPr>
        <w:pStyle w:val="TextBody"/>
        <w:bidi w:val="0"/>
        <w:spacing w:before="240" w:after="0"/>
        <w:ind w:left="720" w:right="0" w:hanging="0"/>
        <w:jc w:val="both"/>
        <w:rPr>
          <w:rFonts w:ascii="Times New Roman;Times;serif" w:hAnsi="Times New Roman;Times;serif"/>
          <w:sz w:val="24"/>
        </w:rPr>
      </w:pPr>
      <w:r>
        <w:rPr>
          <w:rFonts w:ascii="Times New Roman;Times;serif" w:hAnsi="Times New Roman;Times;serif"/>
          <w:sz w:val="24"/>
        </w:rPr>
        <w:t>(b)no Default or Event of Default has occurred and is continuing or would result from such proposed Borrowing.</w:t>
      </w:r>
    </w:p>
    <w:p>
      <w:pPr>
        <w:pStyle w:val="TextBody"/>
        <w:bidi w:val="0"/>
        <w:spacing w:before="240" w:after="0"/>
        <w:ind w:left="0" w:right="0" w:hanging="0"/>
        <w:jc w:val="left"/>
        <w:rPr/>
      </w:pPr>
      <w:r>
        <w:rPr/>
        <w:t>​</w:t>
      </w:r>
    </w:p>
    <w:p>
      <w:pPr>
        <w:pStyle w:val="TextBody"/>
        <w:bidi w:val="0"/>
        <w:spacing w:before="240" w:after="0"/>
        <w:ind w:left="0" w:right="0" w:hanging="0"/>
        <w:jc w:val="left"/>
        <w:rPr/>
      </w:pPr>
      <w:r>
        <w:rPr/>
        <w:t>​</w:t>
      </w:r>
    </w:p>
    <w:p>
      <w:pPr>
        <w:pStyle w:val="TextBody"/>
        <w:bidi w:val="0"/>
        <w:spacing w:before="24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before="0" w:after="0"/>
        <w:ind w:left="3960" w:right="0" w:firstLine="720"/>
        <w:jc w:val="left"/>
        <w:rPr>
          <w:rFonts w:ascii="Times New Roman;Times;serif" w:hAnsi="Times New Roman;Times;serif"/>
          <w:sz w:val="24"/>
        </w:rPr>
      </w:pPr>
      <w:r>
        <w:rPr>
          <w:rFonts w:ascii="Times New Roman;Times;serif" w:hAnsi="Times New Roman;Times;serif"/>
          <w:sz w:val="24"/>
        </w:rPr>
        <w:t>CTO Realty Growth, Inc.</w:t>
      </w:r>
    </w:p>
    <w:p>
      <w:pPr>
        <w:pStyle w:val="TextBody"/>
        <w:pBdr/>
        <w:bidi w:val="0"/>
        <w:spacing w:before="0" w:after="0"/>
        <w:ind w:left="4680" w:right="0" w:hanging="230"/>
        <w:jc w:val="left"/>
        <w:rPr>
          <w:smallCaps/>
        </w:rPr>
      </w:pPr>
      <w:r>
        <w:rPr>
          <w:smallCaps/>
        </w:rPr>
        <w:t>​</w:t>
      </w:r>
    </w:p>
    <w:p>
      <w:pPr>
        <w:pStyle w:val="TextBody"/>
        <w:pBdr/>
        <w:bidi w:val="0"/>
        <w:spacing w:before="0" w:after="0"/>
        <w:ind w:left="4680" w:right="0" w:hanging="230"/>
        <w:jc w:val="left"/>
        <w:rPr>
          <w:smallCaps/>
        </w:rPr>
      </w:pPr>
      <w:r>
        <w:rPr>
          <w:smallCaps/>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pBdr/>
        <w:bidi w:val="0"/>
        <w:spacing w:before="0" w:after="0"/>
        <w:ind w:left="4680" w:right="0" w:hanging="230"/>
        <w:jc w:val="left"/>
        <w:rPr>
          <w:smallCaps/>
        </w:rPr>
      </w:pPr>
      <w:r>
        <w:rPr>
          <w:smallCaps/>
        </w:rPr>
        <w:t>​</w:t>
      </w:r>
    </w:p>
    <w:p>
      <w:pPr>
        <w:pStyle w:val="TextBody"/>
        <w:bidi w:val="0"/>
        <w:spacing w:before="0" w:after="0"/>
        <w:ind w:left="0" w:right="0" w:hanging="0"/>
        <w:jc w:val="center"/>
        <w:rPr>
          <w:rFonts w:ascii="Times New Roman;Times;serif" w:hAnsi="Times New Roman;Times;serif"/>
          <w:smallCaps/>
          <w:sz w:val="20"/>
        </w:rPr>
      </w:pPr>
      <w:r>
        <w:rPr>
          <w:rFonts w:ascii="Times New Roman;Times;serif" w:hAnsi="Times New Roman;Times;serif"/>
          <w:smallCaps/>
          <w:sz w:val="20"/>
        </w:rPr>
        <w:t>[Notice of Borrowing]</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C</w:t>
      </w:r>
    </w:p>
    <w:p>
      <w:pPr>
        <w:pStyle w:val="TextBody"/>
        <w:bidi w:val="0"/>
        <w:spacing w:before="24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Continuation/Conversion</w:t>
      </w:r>
    </w:p>
    <w:p>
      <w:pPr>
        <w:pStyle w:val="TextBody"/>
        <w:bidi w:val="0"/>
        <w:spacing w:before="240" w:after="0"/>
        <w:ind w:left="0" w:right="0" w:hanging="0"/>
        <w:jc w:val="right"/>
        <w:rPr>
          <w:rFonts w:ascii="Times New Roman;Times;serif" w:hAnsi="Times New Roman;Times;serif"/>
          <w:sz w:val="24"/>
        </w:rPr>
      </w:pPr>
      <w:r>
        <w:rPr>
          <w:rFonts w:ascii="Times New Roman;Times;serif" w:hAnsi="Times New Roman;Times;serif"/>
          <w:sz w:val="24"/>
        </w:rPr>
        <w:t>Date: ____________, ____</w:t>
      </w:r>
    </w:p>
    <w:p>
      <w:pPr>
        <w:pStyle w:val="TextBody"/>
        <w:pBdr/>
        <w:bidi w:val="0"/>
        <w:spacing w:before="24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To:</w:t>
      </w:r>
      <w:r>
        <w:rPr>
          <w:rFonts w:ascii="Times New Roman;Times;serif" w:hAnsi="Times New Roman;Times;serif"/>
          <w:sz w:val="24"/>
        </w:rPr>
        <w:t>KeyBank National Association, as Administrative Agent for the Lenders from time to time parties to the Credit Agreement dated as of September 30, 2024 (as extended, renewed, amended or restated from time to time, the “Credit Agreement”) among CTO Realty Growth, Inc., certain Guarantors which are from time to time signatories thereto, certain Lenders which are from time to time parties thereto, and KeyBank National Association, as Administrative Agent</w:t>
      </w:r>
    </w:p>
    <w:p>
      <w:pPr>
        <w:pStyle w:val="TextBody"/>
        <w:bidi w:val="0"/>
        <w:spacing w:before="200" w:after="0"/>
        <w:ind w:left="0" w:right="0" w:hanging="0"/>
        <w:jc w:val="both"/>
        <w:rPr>
          <w:rFonts w:ascii="Times New Roman;Times;serif" w:hAnsi="Times New Roman;Times;serif"/>
          <w:sz w:val="24"/>
        </w:rPr>
      </w:pPr>
      <w:r>
        <w:rPr>
          <w:rFonts w:ascii="Times New Roman;Times;serif" w:hAnsi="Times New Roman;Times;serif"/>
          <w:sz w:val="24"/>
        </w:rPr>
        <w:t>Ladies and Gentlemen:</w:t>
      </w:r>
    </w:p>
    <w:p>
      <w:pPr>
        <w:pStyle w:val="TextBody"/>
        <w:bidi w:val="0"/>
        <w:spacing w:before="200" w:after="0"/>
        <w:ind w:left="0" w:right="0" w:firstLine="720"/>
        <w:jc w:val="both"/>
        <w:rPr>
          <w:rFonts w:ascii="Times New Roman;Times;serif" w:hAnsi="Times New Roman;Times;serif"/>
          <w:sz w:val="24"/>
        </w:rPr>
      </w:pPr>
      <w:r>
        <w:rPr>
          <w:rFonts w:ascii="Times New Roman;Times;serif" w:hAnsi="Times New Roman;Times;serif"/>
          <w:sz w:val="24"/>
        </w:rPr>
        <w:t xml:space="preserve">The undersigned, CTO Realty Growth, Inc. (the “Borrower”), refers to the Credit Agreement, the terms defined therein being used herein as therein defined, and hereby gives you notice irrevocably, pursuant to Section 1.6 of the Credit Agreement, of the </w:t>
      </w:r>
      <w:r>
        <w:rPr>
          <w:rFonts w:ascii="Times New Roman;Times;serif" w:hAnsi="Times New Roman;Times;serif"/>
          <w:b/>
          <w:sz w:val="24"/>
        </w:rPr>
        <w:t>[conversion] [continuation]</w:t>
      </w:r>
      <w:r>
        <w:rPr>
          <w:rFonts w:ascii="Times New Roman;Times;serif" w:hAnsi="Times New Roman;Times;serif"/>
          <w:sz w:val="24"/>
        </w:rPr>
        <w:t xml:space="preserve"> of the Loans specified herein, that:</w:t>
      </w:r>
    </w:p>
    <w:p>
      <w:pPr>
        <w:pStyle w:val="TextBody"/>
        <w:bidi w:val="0"/>
        <w:spacing w:before="220" w:after="0"/>
        <w:ind w:left="720" w:right="0" w:hanging="0"/>
        <w:jc w:val="both"/>
        <w:rPr>
          <w:rFonts w:ascii="Times New Roman;Times;serif" w:hAnsi="Times New Roman;Times;serif"/>
          <w:sz w:val="24"/>
        </w:rPr>
      </w:pPr>
      <w:r>
        <w:rPr>
          <w:rFonts w:ascii="Times New Roman;Times;serif" w:hAnsi="Times New Roman;Times;serif"/>
          <w:sz w:val="24"/>
        </w:rPr>
        <w:t>1.The conversion/continuation Date is __________, ____.</w:t>
      </w:r>
    </w:p>
    <w:p>
      <w:pPr>
        <w:pStyle w:val="TextBody"/>
        <w:bidi w:val="0"/>
        <w:spacing w:before="220" w:after="0"/>
        <w:ind w:left="720" w:right="0" w:hanging="0"/>
        <w:jc w:val="both"/>
        <w:rPr>
          <w:rFonts w:ascii="Times New Roman;Times;serif" w:hAnsi="Times New Roman;Times;serif"/>
          <w:sz w:val="24"/>
        </w:rPr>
      </w:pPr>
      <w:r>
        <w:rPr>
          <w:rFonts w:ascii="Times New Roman;Times;serif" w:hAnsi="Times New Roman;Times;serif"/>
          <w:sz w:val="24"/>
        </w:rPr>
        <w:t xml:space="preserve">2.The aggregate amount of the </w:t>
      </w:r>
      <w:r>
        <w:rPr>
          <w:rFonts w:ascii="Times New Roman;Times;serif" w:hAnsi="Times New Roman;Times;serif"/>
          <w:b/>
          <w:sz w:val="24"/>
        </w:rPr>
        <w:t>[2029</w:t>
      </w:r>
      <w:bookmarkStart w:id="2638" w:name="_cp_change_505"/>
      <w:bookmarkEnd w:id="2638"/>
      <w:r>
        <w:rPr>
          <w:rFonts w:ascii="Times New Roman;Times;serif" w:hAnsi="Times New Roman;Times;serif"/>
          <w:b/>
          <w:color w:val="0000FF"/>
          <w:sz w:val="24"/>
        </w:rPr>
        <w:t>][2030</w:t>
      </w:r>
      <w:r>
        <w:rPr>
          <w:rFonts w:ascii="Times New Roman;Times;serif" w:hAnsi="Times New Roman;Times;serif"/>
          <w:b/>
          <w:sz w:val="24"/>
        </w:rPr>
        <w:t xml:space="preserve">][Incremental] </w:t>
      </w:r>
      <w:r>
        <w:rPr>
          <w:rFonts w:ascii="Times New Roman;Times;serif" w:hAnsi="Times New Roman;Times;serif"/>
          <w:sz w:val="24"/>
        </w:rPr>
        <w:t>Term Loans [</w:t>
      </w:r>
      <w:r>
        <w:rPr>
          <w:rFonts w:ascii="Times New Roman;Times;serif" w:hAnsi="Times New Roman;Times;serif"/>
          <w:b/>
          <w:sz w:val="24"/>
        </w:rPr>
        <w:t>Incremental Revolving Loans</w:t>
      </w:r>
      <w:r>
        <w:rPr>
          <w:rFonts w:ascii="Times New Roman;Times;serif" w:hAnsi="Times New Roman;Times;serif"/>
          <w:sz w:val="24"/>
        </w:rPr>
        <w:t xml:space="preserve">] to be </w:t>
      </w:r>
      <w:r>
        <w:rPr>
          <w:rFonts w:ascii="Times New Roman;Times;serif" w:hAnsi="Times New Roman;Times;serif"/>
          <w:b/>
          <w:sz w:val="24"/>
        </w:rPr>
        <w:t>[converted] [continued]</w:t>
      </w:r>
      <w:r>
        <w:rPr>
          <w:rFonts w:ascii="Times New Roman;Times;serif" w:hAnsi="Times New Roman;Times;serif"/>
          <w:sz w:val="24"/>
        </w:rPr>
        <w:t xml:space="preserve"> is $______________.</w:t>
      </w:r>
    </w:p>
    <w:p>
      <w:pPr>
        <w:pStyle w:val="TextBody"/>
        <w:bidi w:val="0"/>
        <w:spacing w:before="220" w:after="0"/>
        <w:ind w:left="720" w:right="0" w:hanging="0"/>
        <w:jc w:val="both"/>
        <w:rPr>
          <w:rFonts w:ascii="Times New Roman;Times;serif" w:hAnsi="Times New Roman;Times;serif"/>
          <w:sz w:val="24"/>
        </w:rPr>
      </w:pPr>
      <w:r>
        <w:rPr>
          <w:rFonts w:ascii="Times New Roman;Times;serif" w:hAnsi="Times New Roman;Times;serif"/>
          <w:sz w:val="24"/>
        </w:rPr>
        <w:t xml:space="preserve">3.The Term Loans are to be </w:t>
      </w:r>
      <w:r>
        <w:rPr>
          <w:rFonts w:ascii="Times New Roman;Times;serif" w:hAnsi="Times New Roman;Times;serif"/>
          <w:b/>
          <w:sz w:val="24"/>
        </w:rPr>
        <w:t>[converted into]</w:t>
      </w:r>
      <w:r>
        <w:rPr>
          <w:rFonts w:ascii="Times New Roman;Times;serif" w:hAnsi="Times New Roman;Times;serif"/>
          <w:sz w:val="24"/>
        </w:rPr>
        <w:t xml:space="preserve"> </w:t>
      </w:r>
      <w:r>
        <w:rPr>
          <w:rFonts w:ascii="Times New Roman;Times;serif" w:hAnsi="Times New Roman;Times;serif"/>
          <w:b/>
          <w:sz w:val="24"/>
        </w:rPr>
        <w:t>[continued as]</w:t>
      </w:r>
      <w:r>
        <w:rPr>
          <w:rFonts w:ascii="Times New Roman;Times;serif" w:hAnsi="Times New Roman;Times;serif"/>
          <w:sz w:val="24"/>
        </w:rPr>
        <w:t xml:space="preserve"> </w:t>
      </w:r>
      <w:r>
        <w:rPr>
          <w:rFonts w:ascii="Times New Roman;Times;serif" w:hAnsi="Times New Roman;Times;serif"/>
          <w:b/>
          <w:sz w:val="24"/>
        </w:rPr>
        <w:t>[Daily Simple SOFR] [Term SOFR]]</w:t>
      </w:r>
      <w:r>
        <w:rPr>
          <w:rFonts w:ascii="Times New Roman;Times;serif" w:hAnsi="Times New Roman;Times;serif"/>
          <w:sz w:val="24"/>
        </w:rPr>
        <w:t xml:space="preserve"> </w:t>
      </w:r>
      <w:r>
        <w:rPr>
          <w:rFonts w:ascii="Times New Roman;Times;serif" w:hAnsi="Times New Roman;Times;serif"/>
          <w:b/>
          <w:sz w:val="24"/>
        </w:rPr>
        <w:t>[Base]</w:t>
      </w:r>
      <w:r>
        <w:rPr>
          <w:rFonts w:ascii="Times New Roman;Times;serif" w:hAnsi="Times New Roman;Times;serif"/>
          <w:sz w:val="24"/>
        </w:rPr>
        <w:t xml:space="preserve"> Loans.</w:t>
      </w:r>
    </w:p>
    <w:p>
      <w:pPr>
        <w:pStyle w:val="TextBody"/>
        <w:bidi w:val="0"/>
        <w:spacing w:before="220" w:after="0"/>
        <w:ind w:left="72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b/>
          <w:sz w:val="24"/>
        </w:rPr>
        <w:t>[If applicable:]</w:t>
      </w:r>
      <w:r>
        <w:rPr>
          <w:rFonts w:ascii="Times New Roman;Times;serif" w:hAnsi="Times New Roman;Times;serif"/>
          <w:sz w:val="24"/>
        </w:rPr>
        <w:t xml:space="preserve">  The duration of the Interest Period for the Term Loans included in the </w:t>
      </w:r>
      <w:r>
        <w:rPr>
          <w:rFonts w:ascii="Times New Roman;Times;serif" w:hAnsi="Times New Roman;Times;serif"/>
          <w:b/>
          <w:sz w:val="24"/>
        </w:rPr>
        <w:t>[conversion] [continuation]</w:t>
      </w:r>
      <w:r>
        <w:rPr>
          <w:rFonts w:ascii="Times New Roman;Times;serif" w:hAnsi="Times New Roman;Times;serif"/>
          <w:sz w:val="24"/>
        </w:rPr>
        <w:t xml:space="preserve"> shall be _________ months.</w:t>
      </w:r>
    </w:p>
    <w:p>
      <w:pPr>
        <w:pStyle w:val="TextBody"/>
        <w:bidi w:val="0"/>
        <w:spacing w:before="200" w:after="0"/>
        <w:ind w:left="0" w:right="0" w:firstLine="720"/>
        <w:jc w:val="both"/>
        <w:rPr>
          <w:rFonts w:ascii="Times New Roman;Times;serif" w:hAnsi="Times New Roman;Times;serif"/>
          <w:sz w:val="24"/>
        </w:rPr>
      </w:pPr>
      <w:r>
        <w:rPr>
          <w:rFonts w:ascii="Times New Roman;Times;serif" w:hAnsi="Times New Roman;Times;serif"/>
          <w:sz w:val="24"/>
        </w:rPr>
        <w:t>The undersigned hereby certifies that the following statements are true on the date hereof, and will be true on the proposed conversion/continuation date, before and after giving effect thereto and to the application of the proceeds therefrom:</w:t>
      </w:r>
    </w:p>
    <w:p>
      <w:pPr>
        <w:pStyle w:val="TextBody"/>
        <w:bidi w:val="0"/>
        <w:spacing w:before="220" w:after="0"/>
        <w:ind w:left="720" w:right="0" w:hanging="0"/>
        <w:jc w:val="both"/>
        <w:rPr>
          <w:rFonts w:ascii="Times New Roman;Times;serif" w:hAnsi="Times New Roman;Times;serif"/>
          <w:sz w:val="24"/>
        </w:rPr>
      </w:pPr>
      <w:r>
        <w:rPr>
          <w:rFonts w:ascii="Times New Roman;Times;serif" w:hAnsi="Times New Roman;Times;serif"/>
          <w:sz w:val="24"/>
        </w:rPr>
        <w:t>(a)the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provided, however, that this condition shall not apply to the conversion of an outstanding Term SOFR Rate Loan to a Base Rate Loan or a Daily Simple SOFR Rate Loan to a Base Rate Loan; and</w:t>
      </w:r>
    </w:p>
    <w:p>
      <w:pPr>
        <w:pStyle w:val="TextBody"/>
        <w:bidi w:val="0"/>
        <w:spacing w:before="220" w:after="0"/>
        <w:ind w:left="720" w:right="0" w:hanging="0"/>
        <w:jc w:val="both"/>
        <w:rPr>
          <w:rFonts w:ascii="Times New Roman;Times;serif" w:hAnsi="Times New Roman;Times;serif"/>
          <w:sz w:val="24"/>
        </w:rPr>
      </w:pPr>
      <w:r>
        <w:rPr>
          <w:rFonts w:ascii="Times New Roman;Times;serif" w:hAnsi="Times New Roman;Times;serif"/>
          <w:sz w:val="24"/>
        </w:rPr>
        <w:t xml:space="preserve">(b)no Default or Event of Default has occurred and is continuing, or would result from such proposed </w:t>
      </w:r>
      <w:r>
        <w:rPr>
          <w:rFonts w:ascii="Times New Roman;Times;serif" w:hAnsi="Times New Roman;Times;serif"/>
          <w:b/>
          <w:sz w:val="24"/>
        </w:rPr>
        <w:t>[conversion] [continuation]</w:t>
      </w:r>
      <w:r>
        <w:rPr>
          <w:rFonts w:ascii="Times New Roman;Times;serif" w:hAnsi="Times New Roman;Times;serif"/>
          <w:sz w:val="24"/>
        </w:rPr>
        <w:t>.</w:t>
      </w:r>
    </w:p>
    <w:p>
      <w:pPr>
        <w:pStyle w:val="TextBody"/>
        <w:bidi w:val="0"/>
        <w:spacing w:before="240" w:after="0"/>
        <w:ind w:left="2880" w:right="0" w:firstLine="720"/>
        <w:jc w:val="left"/>
        <w:rPr/>
      </w:pPr>
      <w:r>
        <w:rPr/>
        <w:t>​</w:t>
      </w:r>
    </w:p>
    <w:p>
      <w:pPr>
        <w:pStyle w:val="TextBody"/>
        <w:bidi w:val="0"/>
        <w:spacing w:before="240" w:after="0"/>
        <w:ind w:left="2880" w:right="0" w:firstLine="72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3960" w:right="0" w:firstLine="720"/>
        <w:jc w:val="left"/>
        <w:rPr>
          <w:rFonts w:ascii="Times New Roman;Times;serif" w:hAnsi="Times New Roman;Times;serif"/>
          <w:sz w:val="24"/>
        </w:rPr>
      </w:pPr>
      <w:r>
        <w:rPr>
          <w:rFonts w:ascii="Times New Roman;Times;serif" w:hAnsi="Times New Roman;Times;serif"/>
          <w:sz w:val="24"/>
        </w:rPr>
        <w:t>CTO Realty Growth, Inc.</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280" w:after="283"/>
        <w:ind w:left="720" w:right="0" w:hanging="0"/>
        <w:jc w:val="both"/>
        <w:rPr/>
      </w:pPr>
      <w:r>
        <w:rPr/>
        <w:t>​</w:t>
      </w:r>
    </w:p>
    <w:p>
      <w:pPr>
        <w:pStyle w:val="TextBody"/>
        <w:bidi w:val="0"/>
        <w:spacing w:before="280" w:after="283"/>
        <w:ind w:left="720" w:right="0" w:hanging="0"/>
        <w:jc w:val="both"/>
        <w:rPr/>
      </w:pPr>
      <w:r>
        <w:rPr/>
        <w:t>​</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[Notice of Continuation/Conversion]</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D</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[2029</w:t>
      </w:r>
      <w:bookmarkStart w:id="2639" w:name="_cp_change_506"/>
      <w:bookmarkEnd w:id="2639"/>
      <w:r>
        <w:rPr>
          <w:rFonts w:ascii="Times New Roman;Times;serif" w:hAnsi="Times New Roman;Times;serif"/>
          <w:b/>
          <w:smallCaps/>
          <w:color w:val="0000FF"/>
          <w:sz w:val="24"/>
        </w:rPr>
        <w:t>][2030</w:t>
      </w:r>
      <w:r>
        <w:rPr>
          <w:rFonts w:ascii="Times New Roman;Times;serif" w:hAnsi="Times New Roman;Times;serif"/>
          <w:b/>
          <w:smallCaps/>
          <w:sz w:val="24"/>
        </w:rPr>
        <w:t>][Incremental] Term Note</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b w:val="false"/>
          <w:i w:val="false"/>
          <w:smallCaps/>
          <w:sz w:val="24"/>
          <w:shd w:fill="FFFFFF" w:val="clear"/>
        </w:rPr>
        <w:t>U.S. $_______________</w:t>
      </w:r>
      <w:r>
        <w:rPr>
          <w:rFonts w:ascii="Times New Roman;Times;serif" w:hAnsi="Times New Roman;Times;serif"/>
          <w:b w:val="false"/>
          <w:i w:val="false"/>
          <w:caps w:val="false"/>
          <w:smallCaps w:val="false"/>
          <w:sz w:val="24"/>
          <w:shd w:fill="FFFFFF" w:val="clear"/>
        </w:rPr>
        <w:t>______________, 20__</w:t>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6480175" cy="175260"/>
                <wp:effectExtent l="0" t="0" r="0" b="0"/>
                <wp:wrapNone/>
                <wp:docPr id="704" name="Frame7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2.05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mallCaps/>
          <w:sz w:val="24"/>
        </w:rPr>
        <w:t>For</w:t>
      </w:r>
      <w:r>
        <w:rPr>
          <w:rFonts w:ascii="Times New Roman;Times;serif" w:hAnsi="Times New Roman;Times;serif"/>
          <w:sz w:val="24"/>
        </w:rPr>
        <w:t xml:space="preserve"> </w:t>
      </w:r>
      <w:r>
        <w:rPr>
          <w:rFonts w:ascii="Times New Roman;Times;serif" w:hAnsi="Times New Roman;Times;serif"/>
          <w:smallCaps/>
          <w:sz w:val="24"/>
        </w:rPr>
        <w:t>Value</w:t>
      </w:r>
      <w:r>
        <w:rPr>
          <w:rFonts w:ascii="Times New Roman;Times;serif" w:hAnsi="Times New Roman;Times;serif"/>
          <w:sz w:val="24"/>
        </w:rPr>
        <w:t xml:space="preserve"> </w:t>
      </w:r>
      <w:r>
        <w:rPr>
          <w:rFonts w:ascii="Times New Roman;Times;serif" w:hAnsi="Times New Roman;Times;serif"/>
          <w:smallCaps/>
          <w:sz w:val="24"/>
        </w:rPr>
        <w:t>Received</w:t>
      </w:r>
      <w:r>
        <w:rPr>
          <w:rFonts w:ascii="Times New Roman;Times;serif" w:hAnsi="Times New Roman;Times;serif"/>
          <w:sz w:val="24"/>
        </w:rPr>
        <w:t xml:space="preserve">, the undersigned, CTO Realty Growth, Inc., a Maryland corporation (the “Borrower”), hereby promises to pay to ____________________ (the “Lender”) or its permitted assigns on the Maturity Date of the hereinafter defined Credit Agreement, at the principal office of the Administrative Agent in New York, New York (or such other location as the Administrative Agent may designate to the Borrower), in immediately available funds, the principal sum of ___________________ Dollars ($__________) or, if less, the aggregate unpaid principal amount of all </w:t>
      </w:r>
      <w:r>
        <w:rPr>
          <w:rFonts w:ascii="Times New Roman;Times;serif" w:hAnsi="Times New Roman;Times;serif"/>
          <w:b/>
          <w:sz w:val="24"/>
        </w:rPr>
        <w:t>[2029][</w:t>
      </w:r>
      <w:bookmarkStart w:id="2640" w:name="_cp_change_507"/>
      <w:bookmarkEnd w:id="2640"/>
      <w:r>
        <w:rPr>
          <w:rFonts w:ascii="Times New Roman;Times;serif" w:hAnsi="Times New Roman;Times;serif"/>
          <w:b/>
          <w:color w:val="0000FF"/>
          <w:sz w:val="24"/>
        </w:rPr>
        <w:t>2030][</w:t>
      </w:r>
      <w:r>
        <w:rPr>
          <w:rFonts w:ascii="Times New Roman;Times;serif" w:hAnsi="Times New Roman;Times;serif"/>
          <w:b/>
          <w:sz w:val="24"/>
        </w:rPr>
        <w:t>Incremental]</w:t>
      </w:r>
      <w:r>
        <w:rPr>
          <w:rFonts w:ascii="Times New Roman;Times;serif" w:hAnsi="Times New Roman;Times;serif"/>
          <w:sz w:val="24"/>
        </w:rPr>
        <w:t xml:space="preserve"> Term Loans made by the Lender to the Borrower pursuant to the Credit Agreement, together with interest on the principal amount of each </w:t>
      </w:r>
      <w:r>
        <w:rPr>
          <w:rFonts w:ascii="Times New Roman;Times;serif" w:hAnsi="Times New Roman;Times;serif"/>
          <w:b/>
          <w:sz w:val="24"/>
        </w:rPr>
        <w:t>[2029</w:t>
      </w:r>
      <w:bookmarkStart w:id="2641" w:name="_cp_change_508"/>
      <w:bookmarkEnd w:id="2641"/>
      <w:r>
        <w:rPr>
          <w:rFonts w:ascii="Times New Roman;Times;serif" w:hAnsi="Times New Roman;Times;serif"/>
          <w:b/>
          <w:color w:val="0000FF"/>
          <w:sz w:val="24"/>
        </w:rPr>
        <w:t>][2030</w:t>
      </w:r>
      <w:r>
        <w:rPr>
          <w:rFonts w:ascii="Times New Roman;Times;serif" w:hAnsi="Times New Roman;Times;serif"/>
          <w:b/>
          <w:sz w:val="24"/>
        </w:rPr>
        <w:t>][Incremental]</w:t>
      </w:r>
      <w:r>
        <w:rPr>
          <w:rFonts w:ascii="Times New Roman;Times;serif" w:hAnsi="Times New Roman;Times;serif"/>
          <w:sz w:val="24"/>
        </w:rPr>
        <w:t xml:space="preserve"> Term Loan from time to time outstanding hereunder at the rates, and payable in the manner and on the dates, specified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 xml:space="preserve">This Note is one of the </w:t>
      </w:r>
      <w:r>
        <w:rPr>
          <w:rFonts w:ascii="Times New Roman;Times;serif" w:hAnsi="Times New Roman;Times;serif"/>
          <w:b/>
          <w:sz w:val="24"/>
        </w:rPr>
        <w:t>[2029</w:t>
      </w:r>
      <w:bookmarkStart w:id="2642" w:name="_cp_change_509"/>
      <w:bookmarkEnd w:id="2642"/>
      <w:r>
        <w:rPr>
          <w:rFonts w:ascii="Times New Roman;Times;serif" w:hAnsi="Times New Roman;Times;serif"/>
          <w:b/>
          <w:color w:val="0000FF"/>
          <w:sz w:val="24"/>
        </w:rPr>
        <w:t>][2030</w:t>
      </w:r>
      <w:r>
        <w:rPr>
          <w:rFonts w:ascii="Times New Roman;Times;serif" w:hAnsi="Times New Roman;Times;serif"/>
          <w:b/>
          <w:sz w:val="24"/>
        </w:rPr>
        <w:t>][Incremental]</w:t>
      </w:r>
      <w:r>
        <w:rPr>
          <w:rFonts w:ascii="Times New Roman;Times;serif" w:hAnsi="Times New Roman;Times;serif"/>
          <w:sz w:val="24"/>
        </w:rPr>
        <w:t xml:space="preserve"> Term Notes referred to in the Credit Agreement dated as of September 30, 2024, among the Borrower, the Guarantors party thereto, the Lenders parties thereto, and KeyBank National Association, as Administrative Agent (as extended, renewed, amended or restated from time to time, the “Credit Agreement”),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Borrower hereby waives demand, presentment, protest or notice of any kind hereunder.</w:t>
      </w:r>
    </w:p>
    <w:p>
      <w:pPr>
        <w:pStyle w:val="TextBody"/>
        <w:bidi w:val="0"/>
        <w:spacing w:before="0" w:after="0"/>
        <w:ind w:left="3960" w:right="0" w:firstLine="720"/>
        <w:jc w:val="left"/>
        <w:rPr>
          <w:rFonts w:ascii="Times New Roman;Times;serif" w:hAnsi="Times New Roman;Times;serif"/>
          <w:sz w:val="24"/>
        </w:rPr>
      </w:pPr>
      <w:r>
        <w:rPr>
          <w:rFonts w:ascii="Times New Roman;Times;serif" w:hAnsi="Times New Roman;Times;serif"/>
          <w:sz w:val="24"/>
        </w:rPr>
        <w:t>CTO Realty Growth, Inc.</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Certificate</w:t>
      </w:r>
    </w:p>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To:</w:t>
            </w:r>
          </w:p>
        </w:tc>
        <w:tc>
          <w:tcPr>
            <w:tcW w:w="9868"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KeyBank National Association, as Administrative Agent under, and the Lenders party to, the Credit Agreement described below</w:t>
            </w:r>
          </w:p>
        </w:tc>
      </w:tr>
    </w:tbl>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Compliance Certificate is furnished to the Administrative Agent and the Lenders pursuant to that certain Credit Agreement dated as of September 30, 2024, as amended, among CTO Realty Growth, Inc. (the “Borrower”), the Guarantors signatory thereto, the Administrative Agent and the Lenders party thereto (the “Credit Agreement”).  Unless otherwise defined herein, the terms used in this Compliance Certificate have the meanings ascribed thereto in the Credit Agreement.</w:t>
      </w:r>
    </w:p>
    <w:p>
      <w:pPr>
        <w:pStyle w:val="TextBody"/>
        <w:bidi w:val="0"/>
        <w:spacing w:before="240" w:after="0"/>
        <w:ind w:left="0" w:right="0" w:firstLine="720"/>
        <w:jc w:val="left"/>
        <w:rPr>
          <w:rFonts w:ascii="Times New Roman;Times;serif" w:hAnsi="Times New Roman;Times;serif"/>
          <w:sz w:val="24"/>
        </w:rPr>
      </w:pPr>
      <w:r>
        <w:rPr>
          <w:rFonts w:ascii="Times New Roman;Times;serif" w:hAnsi="Times New Roman;Times;serif"/>
          <w:sz w:val="24"/>
        </w:rPr>
        <w:t>The Undersigned hereby certifies that:</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1.I am the duly elected ____________ of CTO Realty Growth, Inc.;</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2.I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3.The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4.The financial statements required by Section 8.5 of the Credit Agreement and being furnished to you concurrently with this Compliance Certificate are true, correct and complete as of the date and for the periods covered thereby; and</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5.The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907"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foregoing certifications, together with the computations set forth in Schedule I hereto and the financial statements delivered with this Certificate in support hereof, are made and delivered this ______ day of __________________ 20___.</w:t>
      </w:r>
    </w:p>
    <w:p>
      <w:pPr>
        <w:pStyle w:val="TextBody"/>
        <w:bidi w:val="0"/>
        <w:spacing w:before="0" w:after="0"/>
        <w:ind w:left="0" w:right="0" w:hanging="0"/>
        <w:jc w:val="center"/>
        <w:rPr>
          <w:smallCaps/>
        </w:rPr>
      </w:pPr>
      <w:r>
        <w:rPr>
          <w:smallCaps/>
        </w:rPr>
        <w:t>​</w:t>
      </w:r>
    </w:p>
    <w:p>
      <w:pPr>
        <w:pStyle w:val="TextBody"/>
        <w:bidi w:val="0"/>
        <w:spacing w:before="0" w:after="0"/>
        <w:ind w:left="3960" w:right="0" w:firstLine="720"/>
        <w:jc w:val="left"/>
        <w:rPr>
          <w:rFonts w:ascii="Times New Roman;Times;serif" w:hAnsi="Times New Roman;Times;serif"/>
          <w:sz w:val="24"/>
        </w:rPr>
      </w:pPr>
      <w:r>
        <w:rPr>
          <w:rFonts w:ascii="Times New Roman;Times;serif" w:hAnsi="Times New Roman;Times;serif"/>
          <w:sz w:val="24"/>
        </w:rPr>
        <w:t>CTO Realty Growth, Inc.</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pBdr/>
        <w:bidi w:val="0"/>
        <w:spacing w:before="0" w:after="0"/>
        <w:ind w:left="4680" w:right="0" w:hanging="230"/>
        <w:jc w:val="left"/>
        <w:rPr/>
      </w:pPr>
      <w:r>
        <w:rPr/>
        <w:t>​</w:t>
      </w:r>
    </w:p>
    <w:p>
      <w:pPr>
        <w:pStyle w:val="TextBody"/>
        <w:bidi w:val="0"/>
        <w:spacing w:before="280" w:after="283"/>
        <w:ind w:left="0" w:right="0" w:hanging="0"/>
        <w:jc w:val="center"/>
        <w:rPr>
          <w:smallCaps/>
        </w:rPr>
      </w:pPr>
      <w:r>
        <w:rPr>
          <w:smallCaps/>
        </w:rPr>
        <w:t>​</w:t>
      </w:r>
    </w:p>
    <w:p>
      <w:pPr>
        <w:pStyle w:val="TextBody"/>
        <w:bidi w:val="0"/>
        <w:spacing w:lineRule="atLeast" w:line="280" w:before="0" w:after="0"/>
        <w:ind w:left="0" w:right="0" w:hanging="0"/>
        <w:jc w:val="center"/>
        <w:rPr>
          <w:rFonts w:ascii="Times" w:hAnsi="Times"/>
          <w:sz w:val="24"/>
        </w:rPr>
      </w:pPr>
      <w:r>
        <w:rPr>
          <w:rFonts w:ascii="Times" w:hAnsi="Times"/>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Schedule</w:t>
      </w:r>
      <w:r>
        <w:rPr>
          <w:rFonts w:ascii="Times New Roman;Times;serif" w:hAnsi="Times New Roman;Times;serif"/>
          <w:smallCaps/>
          <w:sz w:val="24"/>
        </w:rPr>
        <w:t xml:space="preserve"> </w:t>
      </w:r>
      <w:r>
        <w:rPr>
          <w:rFonts w:ascii="Times New Roman;Times;serif" w:hAnsi="Times New Roman;Times;serif"/>
          <w:b/>
          <w:smallCaps/>
          <w:sz w:val="24"/>
        </w:rPr>
        <w:t>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_________________________________________________</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Compliance Calculations</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 xml:space="preserve">for Credit Agreement </w:t>
        <w:br/>
        <w:t>dated as of September 30, 2024, as amended</w:t>
      </w:r>
    </w:p>
    <w:p>
      <w:pPr>
        <w:pStyle w:val="TextBody"/>
        <w:bidi w:val="0"/>
        <w:spacing w:before="240" w:after="0"/>
        <w:ind w:left="0" w:right="0" w:hanging="0"/>
        <w:jc w:val="center"/>
        <w:rPr>
          <w:rFonts w:ascii="Times New Roman;Times;serif" w:hAnsi="Times New Roman;Times;serif"/>
          <w:b/>
          <w:sz w:val="24"/>
        </w:rPr>
      </w:pPr>
      <w:r>
        <w:rPr>
          <w:rFonts w:ascii="Times New Roman;Times;serif" w:hAnsi="Times New Roman;Times;serif"/>
          <w:b/>
          <w:sz w:val="24"/>
        </w:rPr>
        <w:t>Calculations as of _____________, _______</w:t>
      </w:r>
    </w:p>
    <w:p>
      <w:pPr>
        <w:pStyle w:val="TextBody"/>
        <w:pBdr>
          <w:bottom w:val="double" w:sz="6" w:space="1" w:color="000000"/>
        </w:pBdr>
        <w:bidi w:val="0"/>
        <w:spacing w:before="0" w:after="28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051"/>
        <w:gridCol w:w="2154"/>
      </w:tblGrid>
      <w:tr>
        <w:trPr/>
        <w:tc>
          <w:tcPr>
            <w:tcW w:w="80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Total Indebtedness to Total Asset Value Ratio (Section 8.20(a))</w:t>
            </w:r>
          </w:p>
        </w:tc>
        <w:tc>
          <w:tcPr>
            <w:tcW w:w="2154" w:type="dxa"/>
            <w:tcBorders/>
            <w:vAlign w:val="center"/>
          </w:tcPr>
          <w:p>
            <w:pPr>
              <w:pStyle w:val="TableContents"/>
              <w:bidi w:val="0"/>
              <w:spacing w:before="280" w:after="283"/>
              <w:ind w:left="0" w:right="0" w:hanging="0"/>
              <w:jc w:val="center"/>
              <w:rPr/>
            </w:pPr>
            <w:r>
              <w:rPr/>
              <w:t>​</w:t>
            </w:r>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Indebtedness</w:t>
            </w:r>
          </w:p>
        </w:tc>
        <w:tc>
          <w:tcPr>
            <w:tcW w:w="2154"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2154"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A1 to A2</w:t>
            </w:r>
          </w:p>
        </w:tc>
        <w:tc>
          <w:tcPr>
            <w:tcW w:w="2154"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____:1.0</w:t>
            </w:r>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A3 must not exceed</w:t>
            </w:r>
          </w:p>
        </w:tc>
        <w:tc>
          <w:tcPr>
            <w:tcW w:w="2154" w:type="dxa"/>
            <w:tcBorders/>
            <w:vAlign w:val="center"/>
          </w:tcPr>
          <w:p>
            <w:pPr>
              <w:pStyle w:val="TableContents"/>
              <w:bidi w:val="0"/>
              <w:spacing w:before="140" w:after="0"/>
              <w:ind w:left="0" w:right="0" w:hanging="0"/>
              <w:jc w:val="center"/>
              <w:rPr/>
            </w:pPr>
            <w:r>
              <w:rPr>
                <w:rFonts w:ascii="Times New Roman;Times;serif" w:hAnsi="Times New Roman;Times;serif"/>
                <w:sz w:val="24"/>
              </w:rPr>
              <w:t>[0.60:1.0] [0.65:1.0]</w:t>
            </w:r>
            <w:hyperlink w:anchor="footnote-2">
              <w:r>
                <w:rPr>
                  <w:rStyle w:val="InternetLink"/>
                  <w:rFonts w:ascii="Times" w:hAnsi="Times"/>
                  <w:sz w:val="20"/>
                </w:rPr>
                <w:t>1</w:t>
              </w:r>
            </w:hyperlink>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2154"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8051"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Unsecured Indebtedness to Borrowing Base Value Ratio (Section 8.20(b))</w:t>
            </w:r>
          </w:p>
        </w:tc>
        <w:tc>
          <w:tcPr>
            <w:tcW w:w="2154" w:type="dxa"/>
            <w:tcBorders/>
            <w:vAlign w:val="center"/>
          </w:tcPr>
          <w:p>
            <w:pPr>
              <w:pStyle w:val="TableContents"/>
              <w:bidi w:val="0"/>
              <w:spacing w:before="280" w:after="283"/>
              <w:ind w:left="0" w:right="0" w:hanging="0"/>
              <w:jc w:val="center"/>
              <w:rPr/>
            </w:pPr>
            <w:r>
              <w:rPr/>
              <w:t>​</w:t>
            </w:r>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Unsecured Indebtedness</w:t>
            </w:r>
          </w:p>
        </w:tc>
        <w:tc>
          <w:tcPr>
            <w:tcW w:w="2154"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Borrowing Base</w:t>
            </w:r>
            <w:r>
              <w:rPr>
                <w:rFonts w:ascii="Times New Roman;Times;serif" w:hAnsi="Times New Roman;Times;serif"/>
                <w:sz w:val="24"/>
                <w:u w:val="single"/>
              </w:rPr>
              <w:t xml:space="preserve"> </w:t>
            </w:r>
            <w:r>
              <w:rPr>
                <w:rFonts w:ascii="Times New Roman;Times;serif" w:hAnsi="Times New Roman;Times;serif"/>
                <w:sz w:val="24"/>
              </w:rPr>
              <w:t>Value as calculated on Exhibit B hereto</w:t>
            </w:r>
          </w:p>
        </w:tc>
        <w:tc>
          <w:tcPr>
            <w:tcW w:w="2154"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B1 to B2</w:t>
            </w:r>
          </w:p>
        </w:tc>
        <w:tc>
          <w:tcPr>
            <w:tcW w:w="2154"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____:1.0</w:t>
            </w:r>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B3 must not exceed</w:t>
            </w:r>
          </w:p>
        </w:tc>
        <w:tc>
          <w:tcPr>
            <w:tcW w:w="2154" w:type="dxa"/>
            <w:tcBorders/>
            <w:vAlign w:val="center"/>
          </w:tcPr>
          <w:p>
            <w:pPr>
              <w:pStyle w:val="TableContents"/>
              <w:bidi w:val="0"/>
              <w:spacing w:before="140" w:after="0"/>
              <w:ind w:left="0" w:right="0" w:hanging="0"/>
              <w:jc w:val="center"/>
              <w:rPr/>
            </w:pPr>
            <w:r>
              <w:rPr>
                <w:rFonts w:ascii="Times New Roman;Times;serif" w:hAnsi="Times New Roman;Times;serif"/>
                <w:sz w:val="24"/>
              </w:rPr>
              <w:t>[0.60:1.0] [0.65:1.0]</w:t>
            </w:r>
            <w:hyperlink w:anchor="footnote-3">
              <w:r>
                <w:rPr>
                  <w:rStyle w:val="InternetLink"/>
                  <w:rFonts w:ascii="Times" w:hAnsi="Times"/>
                  <w:sz w:val="20"/>
                </w:rPr>
                <w:t>2</w:t>
              </w:r>
            </w:hyperlink>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2154"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8051" w:type="dxa"/>
            <w:tcBorders/>
            <w:vAlign w:val="center"/>
          </w:tcPr>
          <w:p>
            <w:pPr>
              <w:pStyle w:val="TableContents"/>
              <w:pBdr/>
              <w:bidi w:val="0"/>
              <w:spacing w:before="0" w:after="0"/>
              <w:ind w:left="0" w:right="0" w:hanging="720"/>
              <w:jc w:val="left"/>
              <w:rPr/>
            </w:pPr>
            <w:r>
              <w:rPr/>
              <w:t>​</w:t>
            </w:r>
          </w:p>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C.</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Indebtedness to Total Asset Value Ratio (Section 8.20(c))</w:t>
            </w:r>
          </w:p>
        </w:tc>
        <w:tc>
          <w:tcPr>
            <w:tcW w:w="2154" w:type="dxa"/>
            <w:tcBorders/>
            <w:vAlign w:val="center"/>
          </w:tcPr>
          <w:p>
            <w:pPr>
              <w:pStyle w:val="TableContents"/>
              <w:bidi w:val="0"/>
              <w:spacing w:before="280" w:after="283"/>
              <w:ind w:left="0" w:right="0" w:hanging="0"/>
              <w:jc w:val="center"/>
              <w:rPr/>
            </w:pPr>
            <w:r>
              <w:rPr/>
              <w:t>​</w:t>
            </w:r>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Secured Indebtedness</w:t>
            </w:r>
          </w:p>
        </w:tc>
        <w:tc>
          <w:tcPr>
            <w:tcW w:w="2154"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05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B hereto</w:t>
            </w:r>
          </w:p>
        </w:tc>
        <w:tc>
          <w:tcPr>
            <w:tcW w:w="2154"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bl>
    <w:p>
      <w:pPr>
        <w:pStyle w:val="TextBody"/>
        <w:bidi w:val="0"/>
        <w:spacing w:lineRule="auto" w:line="285" w:before="0" w:after="240"/>
        <w:ind w:left="0" w:right="0" w:hanging="0"/>
        <w:jc w:val="both"/>
        <w:rPr>
          <w:rFonts w:ascii="Times New Roman;Times;serif" w:hAnsi="Times New Roman;Times;serif"/>
          <w:sz w:val="16"/>
        </w:rPr>
      </w:pPr>
      <w:bookmarkStart w:id="2643" w:name="footnote-2"/>
      <w:bookmarkEnd w:id="2643"/>
      <w:r>
        <w:rPr>
          <w:rFonts w:ascii="Times" w:hAnsi="Times"/>
          <w:sz w:val="16"/>
        </w:rPr>
        <w:t>1</w:t>
      </w:r>
      <w:r>
        <w:rPr>
          <w:rFonts w:ascii="Times New Roman;Times;serif" w:hAnsi="Times New Roman;Times;serif"/>
          <w:sz w:val="16"/>
        </w:rPr>
        <w:t xml:space="preserve"> Leverage Ratio Increase Period.</w:t>
      </w:r>
    </w:p>
    <w:p>
      <w:pPr>
        <w:pStyle w:val="TextBody"/>
        <w:bidi w:val="0"/>
        <w:spacing w:lineRule="auto" w:line="285" w:before="0" w:after="240"/>
        <w:ind w:left="0" w:right="0" w:hanging="0"/>
        <w:jc w:val="both"/>
        <w:rPr>
          <w:rFonts w:ascii="Times New Roman;Times;serif" w:hAnsi="Times New Roman;Times;serif"/>
          <w:sz w:val="16"/>
        </w:rPr>
      </w:pPr>
      <w:bookmarkStart w:id="2644" w:name="footnote-3"/>
      <w:bookmarkEnd w:id="2644"/>
      <w:r>
        <w:rPr>
          <w:rFonts w:ascii="Times" w:hAnsi="Times"/>
          <w:sz w:val="16"/>
        </w:rPr>
        <w:t>2</w:t>
      </w:r>
      <w:r>
        <w:rPr>
          <w:rFonts w:ascii="Times New Roman;Times;serif" w:hAnsi="Times New Roman;Times;serif"/>
          <w:sz w:val="16"/>
        </w:rPr>
        <w:t xml:space="preserve"> Leverage Ratio Increase Period.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432" w:type="dxa"/>
        <w:jc w:val="left"/>
        <w:tblInd w:w="0" w:type="dxa"/>
        <w:tblLayout w:type="fixed"/>
        <w:tblCellMar>
          <w:top w:w="0" w:type="dxa"/>
          <w:left w:w="0" w:type="dxa"/>
          <w:bottom w:w="0" w:type="dxa"/>
          <w:right w:w="0" w:type="dxa"/>
        </w:tblCellMar>
      </w:tblPr>
      <w:tblGrid>
        <w:gridCol w:w="6841"/>
        <w:gridCol w:w="1591"/>
      </w:tblGrid>
      <w:tr>
        <w:trPr/>
        <w:tc>
          <w:tcPr>
            <w:tcW w:w="6841"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C1 to C2</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____:1.0</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C3 must not exceed</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0.40:1.0</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6841"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D.</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Adjusted EBITDA to Fixed Charges Ratio (Section 8.20(d))</w:t>
            </w:r>
          </w:p>
        </w:tc>
        <w:tc>
          <w:tcPr>
            <w:tcW w:w="1591" w:type="dxa"/>
            <w:tcBorders/>
            <w:vAlign w:val="center"/>
          </w:tcPr>
          <w:p>
            <w:pPr>
              <w:pStyle w:val="TableContents"/>
              <w:bidi w:val="0"/>
              <w:spacing w:before="280" w:after="0"/>
              <w:ind w:left="0" w:right="0" w:hanging="0"/>
              <w:jc w:val="center"/>
              <w:rPr/>
            </w:pPr>
            <w:r>
              <w:rPr/>
              <w:t>​</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Depreciation and amortization expense</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losses</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Non-cash compensation paid in equity securities</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gains</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benefits</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Stock-based compensation</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Other non-cash items as mutually agreed</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D2, D3, D4, D5 and D6</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D7, D8, D9 and D10</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D1 plus Line D11 minus Line D12 (“EBITDA”)</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Annual Capital Expenditure Reserve</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D13 minus Line D14 (“Adjusted EBITDA”)</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Principal amortization payments</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Dividends</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taxes paid</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684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Cash payments of base rent under Eligible Leasehold Interests</w:t>
            </w:r>
          </w:p>
        </w:tc>
        <w:tc>
          <w:tcPr>
            <w:tcW w:w="159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bl>
    <w:p>
      <w:pPr>
        <w:pStyle w:val="TextBody"/>
        <w:bidi w:val="0"/>
        <w:spacing w:lineRule="atLeast" w:line="280" w:before="0" w:after="0"/>
        <w:ind w:left="0" w:right="0" w:hanging="0"/>
        <w:jc w:val="center"/>
        <w:rPr>
          <w:rFonts w:ascii="Times" w:hAnsi="Times"/>
          <w:sz w:val="24"/>
        </w:rPr>
      </w:pPr>
      <w:r>
        <w:rPr>
          <w:rFonts w:ascii="Times" w:hAnsi="Times"/>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674"/>
        <w:gridCol w:w="1531"/>
      </w:tblGrid>
      <w:tr>
        <w:trPr/>
        <w:tc>
          <w:tcPr>
            <w:tcW w:w="8674"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21.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D16, D17, D18, D19 and D20 (“Fixed Charges”)</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D15 to Line D21</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__:1.0</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D22 shall not be less than</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1.50:1.0</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8674"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E.</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Recourse Indebtedness to Total Asset Value Ratio (Section 8.20(e))</w:t>
            </w:r>
          </w:p>
        </w:tc>
        <w:tc>
          <w:tcPr>
            <w:tcW w:w="1531" w:type="dxa"/>
            <w:tcBorders/>
            <w:vAlign w:val="center"/>
          </w:tcPr>
          <w:p>
            <w:pPr>
              <w:pStyle w:val="TableContents"/>
              <w:bidi w:val="0"/>
              <w:spacing w:before="280" w:after="0"/>
              <w:ind w:left="0" w:right="0" w:hanging="0"/>
              <w:jc w:val="center"/>
              <w:rPr/>
            </w:pPr>
            <w:r>
              <w:rPr/>
              <w:t>​</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Secured Recourse Indebtedness </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E1 to Line E2</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____:1.0</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E3 shall not exceed</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0.05:1.0</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8674"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F.</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Tangible Net Worth (Section 8.20(f))</w:t>
            </w:r>
          </w:p>
        </w:tc>
        <w:tc>
          <w:tcPr>
            <w:tcW w:w="1531" w:type="dxa"/>
            <w:tcBorders/>
            <w:vAlign w:val="center"/>
          </w:tcPr>
          <w:p>
            <w:pPr>
              <w:pStyle w:val="TableContents"/>
              <w:bidi w:val="0"/>
              <w:spacing w:before="280" w:after="0"/>
              <w:ind w:left="0" w:right="0" w:hanging="0"/>
              <w:jc w:val="center"/>
              <w:rPr/>
            </w:pPr>
            <w:r>
              <w:rPr/>
              <w:t>​</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Tangible Net Worth</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Aggregate net proceeds of Stock and Stock Equivalent offerings after </w:t>
            </w:r>
            <w:bookmarkStart w:id="2645" w:name="_cp_change_510"/>
            <w:bookmarkEnd w:id="2645"/>
            <w:r>
              <w:rPr>
                <w:rFonts w:ascii="Times New Roman;Times;serif" w:hAnsi="Times New Roman;Times;serif"/>
                <w:color w:val="FF0000"/>
                <w:sz w:val="24"/>
              </w:rPr>
              <w:t>September</w:t>
            </w:r>
            <w:bookmarkStart w:id="2646" w:name="_cp_change_511"/>
            <w:bookmarkEnd w:id="2646"/>
            <w:r>
              <w:rPr>
                <w:rFonts w:ascii="Times New Roman;Times;serif" w:hAnsi="Times New Roman;Times;serif"/>
                <w:color w:val="0000FF"/>
                <w:sz w:val="24"/>
                <w:u w:val="single"/>
              </w:rPr>
              <w:t>June</w:t>
            </w:r>
            <w:r>
              <w:rPr>
                <w:rFonts w:ascii="Times New Roman;Times;serif" w:hAnsi="Times New Roman;Times;serif"/>
                <w:sz w:val="24"/>
              </w:rPr>
              <w:t xml:space="preserve"> 30, </w:t>
            </w:r>
            <w:bookmarkStart w:id="2647" w:name="_cp_change_512"/>
            <w:bookmarkEnd w:id="2647"/>
            <w:r>
              <w:rPr>
                <w:rFonts w:ascii="Times New Roman;Times;serif" w:hAnsi="Times New Roman;Times;serif"/>
                <w:color w:val="FF0000"/>
                <w:sz w:val="24"/>
              </w:rPr>
              <w:t>2024</w:t>
            </w:r>
            <w:bookmarkStart w:id="2648" w:name="_cp_change_513"/>
            <w:bookmarkEnd w:id="2648"/>
            <w:r>
              <w:rPr>
                <w:rFonts w:ascii="Times New Roman;Times;serif" w:hAnsi="Times New Roman;Times;serif"/>
                <w:color w:val="0000FF"/>
                <w:sz w:val="24"/>
                <w:u w:val="single"/>
              </w:rPr>
              <w:t>2025</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75% of Line F2</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w:t>
            </w:r>
            <w:bookmarkStart w:id="2649" w:name="_cp_change_514"/>
            <w:bookmarkEnd w:id="2649"/>
            <w:r>
              <w:rPr>
                <w:rFonts w:ascii="Times New Roman;Times;serif" w:hAnsi="Times New Roman;Times;serif"/>
                <w:color w:val="FF0000"/>
                <w:sz w:val="24"/>
              </w:rPr>
              <w:t>465,259,119</w:t>
            </w:r>
            <w:bookmarkStart w:id="2650" w:name="_cp_change_515"/>
            <w:bookmarkEnd w:id="2650"/>
            <w:r>
              <w:rPr>
                <w:rFonts w:ascii="Times New Roman;Times;serif" w:hAnsi="Times New Roman;Times;serif"/>
                <w:color w:val="0000FF"/>
                <w:sz w:val="24"/>
                <w:u w:val="single"/>
              </w:rPr>
              <w:t>552,823,575</w:t>
            </w:r>
            <w:r>
              <w:rPr>
                <w:rFonts w:ascii="Times New Roman;Times;serif" w:hAnsi="Times New Roman;Times;serif"/>
                <w:sz w:val="24"/>
              </w:rPr>
              <w:t xml:space="preserve"> plus Line F3 </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F1 shall not be less than Line F4</w:t>
            </w:r>
          </w:p>
        </w:tc>
        <w:tc>
          <w:tcPr>
            <w:tcW w:w="1531" w:type="dxa"/>
            <w:tcBorders/>
            <w:vAlign w:val="center"/>
          </w:tcPr>
          <w:p>
            <w:pPr>
              <w:pStyle w:val="TableContents"/>
              <w:bidi w:val="0"/>
              <w:spacing w:before="280" w:after="283"/>
              <w:ind w:left="0" w:right="0" w:hanging="0"/>
              <w:jc w:val="center"/>
              <w:rPr/>
            </w:pPr>
            <w:r>
              <w:rPr/>
              <w:t>​</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8674"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G.</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Unsecured Coverage Ratio (Section 8.20(g))</w:t>
            </w:r>
          </w:p>
        </w:tc>
        <w:tc>
          <w:tcPr>
            <w:tcW w:w="1531" w:type="dxa"/>
            <w:tcBorders/>
            <w:vAlign w:val="center"/>
          </w:tcPr>
          <w:p>
            <w:pPr>
              <w:pStyle w:val="TableContents"/>
              <w:bidi w:val="0"/>
              <w:spacing w:before="280" w:after="0"/>
              <w:ind w:left="0" w:right="0" w:hanging="0"/>
              <w:jc w:val="center"/>
              <w:rPr/>
            </w:pPr>
            <w:r>
              <w:rPr/>
              <w:t>​</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Borrowing Base NOI as calculated on Exhibit C hereto</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Unsecured Interest Expense</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G1 to Line G2</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____:1.00</w:t>
            </w:r>
          </w:p>
        </w:tc>
      </w:tr>
      <w:tr>
        <w:trPr/>
        <w:tc>
          <w:tcPr>
            <w:tcW w:w="867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G3 ratio shall not be less than</w:t>
            </w:r>
          </w:p>
        </w:tc>
        <w:tc>
          <w:tcPr>
            <w:tcW w:w="1531"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1.50:1.00</w:t>
            </w:r>
          </w:p>
        </w:tc>
      </w:tr>
    </w:tbl>
    <w:p>
      <w:pPr>
        <w:pStyle w:val="TextBody"/>
        <w:bidi w:val="0"/>
        <w:spacing w:lineRule="atLeast" w:line="280" w:before="0" w:after="0"/>
        <w:ind w:left="0" w:right="0" w:hanging="0"/>
        <w:jc w:val="center"/>
        <w:rPr>
          <w:rFonts w:ascii="Times" w:hAnsi="Times"/>
          <w:sz w:val="24"/>
        </w:rPr>
      </w:pPr>
      <w:r>
        <w:rPr>
          <w:rFonts w:ascii="Times" w:hAnsi="Times"/>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00"/>
        <w:gridCol w:w="1005"/>
      </w:tblGrid>
      <w:tr>
        <w:trPr/>
        <w:tc>
          <w:tcPr>
            <w:tcW w:w="9200"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005"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920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H.</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Restricted Payments (Section 8.29(a))</w:t>
            </w:r>
          </w:p>
        </w:tc>
        <w:tc>
          <w:tcPr>
            <w:tcW w:w="1005" w:type="dxa"/>
            <w:tcBorders/>
            <w:vAlign w:val="center"/>
          </w:tcPr>
          <w:p>
            <w:pPr>
              <w:pStyle w:val="TableContents"/>
              <w:bidi w:val="0"/>
              <w:spacing w:before="280" w:after="283"/>
              <w:ind w:left="0" w:right="0" w:hanging="0"/>
              <w:jc w:val="center"/>
              <w:rPr/>
            </w:pPr>
            <w:r>
              <w:rPr/>
              <w:t>​</w:t>
            </w:r>
          </w:p>
        </w:tc>
      </w:tr>
      <w:tr>
        <w:trPr/>
        <w:tc>
          <w:tcPr>
            <w:tcW w:w="920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amount of Restricted Payments made in cash during such period</w:t>
            </w:r>
          </w:p>
        </w:tc>
        <w:tc>
          <w:tcPr>
            <w:tcW w:w="1005"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920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Borrower’s Adjusted FFO for such period (excluding any distributions necessary to pay holders of preferred stock of Borrower)</w:t>
            </w:r>
          </w:p>
        </w:tc>
        <w:tc>
          <w:tcPr>
            <w:tcW w:w="1005"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____________</w:t>
            </w:r>
          </w:p>
        </w:tc>
      </w:tr>
      <w:tr>
        <w:trPr/>
        <w:tc>
          <w:tcPr>
            <w:tcW w:w="920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95% of Line H2</w:t>
            </w:r>
          </w:p>
        </w:tc>
        <w:tc>
          <w:tcPr>
            <w:tcW w:w="1005"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____________</w:t>
            </w:r>
          </w:p>
        </w:tc>
      </w:tr>
      <w:tr>
        <w:trPr/>
        <w:tc>
          <w:tcPr>
            <w:tcW w:w="920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Amount necessary for the Borrower to be able to make Restricted Payments required to maintain its status as a REIT (i.e., to satisfy the distribution requirements set forth in Section 4981 of the Code)</w:t>
            </w:r>
          </w:p>
        </w:tc>
        <w:tc>
          <w:tcPr>
            <w:tcW w:w="1005" w:type="dxa"/>
            <w:tcBorders/>
            <w:vAlign w:val="center"/>
          </w:tcPr>
          <w:p>
            <w:pPr>
              <w:pStyle w:val="TableContents"/>
              <w:bidi w:val="0"/>
              <w:spacing w:before="280" w:after="283"/>
              <w:ind w:left="0" w:right="0" w:hanging="0"/>
              <w:jc w:val="center"/>
              <w:rPr/>
            </w:pPr>
            <w:r>
              <w:rPr/>
              <w:t>​</w:t>
            </w:r>
          </w:p>
          <w:p>
            <w:pPr>
              <w:pStyle w:val="TableContents"/>
              <w:bidi w:val="0"/>
              <w:spacing w:before="280" w:after="283"/>
              <w:ind w:left="0" w:right="0" w:hanging="0"/>
              <w:jc w:val="center"/>
              <w:rPr/>
            </w:pPr>
            <w:r>
              <w:rPr/>
              <w:t>​</w:t>
            </w:r>
          </w:p>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____________</w:t>
            </w:r>
          </w:p>
        </w:tc>
      </w:tr>
      <w:tr>
        <w:trPr/>
        <w:tc>
          <w:tcPr>
            <w:tcW w:w="920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Greater of Line H3 and Line H4</w:t>
            </w:r>
          </w:p>
        </w:tc>
        <w:tc>
          <w:tcPr>
            <w:tcW w:w="1005"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____________</w:t>
            </w:r>
          </w:p>
        </w:tc>
      </w:tr>
      <w:tr>
        <w:trPr/>
        <w:tc>
          <w:tcPr>
            <w:tcW w:w="920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 xml:space="preserve">6. </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H1 shall not exceed Line H5</w:t>
            </w:r>
          </w:p>
        </w:tc>
        <w:tc>
          <w:tcPr>
            <w:tcW w:w="1005" w:type="dxa"/>
            <w:tcBorders/>
            <w:vAlign w:val="center"/>
          </w:tcPr>
          <w:p>
            <w:pPr>
              <w:pStyle w:val="TableContents"/>
              <w:bidi w:val="0"/>
              <w:spacing w:before="280" w:after="283"/>
              <w:ind w:left="0" w:right="0" w:hanging="0"/>
              <w:jc w:val="center"/>
              <w:rPr/>
            </w:pPr>
            <w:r>
              <w:rPr/>
              <w:t>​</w:t>
            </w:r>
          </w:p>
        </w:tc>
      </w:tr>
      <w:tr>
        <w:trPr/>
        <w:tc>
          <w:tcPr>
            <w:tcW w:w="920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005"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bl>
    <w:p>
      <w:pPr>
        <w:pStyle w:val="TextBody"/>
        <w:bidi w:val="0"/>
        <w:spacing w:before="240" w:after="0"/>
        <w:ind w:left="0" w:right="0" w:hanging="0"/>
        <w:jc w:val="center"/>
        <w:rPr/>
      </w:pPr>
      <w:r>
        <w:rPr/>
        <w:t>​</w:t>
      </w:r>
    </w:p>
    <w:p>
      <w:pPr>
        <w:pStyle w:val="TextBody"/>
        <w:bidi w:val="0"/>
        <w:spacing w:before="240" w:after="0"/>
        <w:ind w:left="0" w:right="0" w:hanging="0"/>
        <w:jc w:val="center"/>
        <w:rPr/>
      </w:pPr>
      <w:r>
        <w:rPr/>
        <w:t>​</w:t>
      </w:r>
    </w:p>
    <w:p>
      <w:pPr>
        <w:pStyle w:val="TextBody"/>
        <w:bidi w:val="0"/>
        <w:spacing w:lineRule="atLeast" w:line="280" w:before="0" w:after="0"/>
        <w:ind w:left="0" w:right="0" w:hanging="0"/>
        <w:jc w:val="center"/>
        <w:rPr>
          <w:rFonts w:ascii="Times" w:hAnsi="Times"/>
          <w:sz w:val="24"/>
        </w:rPr>
      </w:pPr>
      <w:r>
        <w:rPr>
          <w:rFonts w:ascii="Times" w:hAnsi="Times"/>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A to Schedule I</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CTO Realty Growth, Inc.</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Exhibit A, with a calculation date of __________,______, is attached to Schedule I to the Compliance Certificate of CTO Realty Growth, Inc. dated _______________, 20__ , as amended, and delivered to KeyBank National Association, as Administrative Agent, and the Lenders party to the Credit Agreement, as amended, referred to therein.  The undersigned hereby certifies that the following is a true, correct and complete calculation of Total Asset Value for the Rolling Period most recently ended:</w:t>
      </w:r>
    </w:p>
    <w:p>
      <w:pPr>
        <w:pStyle w:val="TextBody"/>
        <w:bidi w:val="0"/>
        <w:spacing w:before="280" w:after="0"/>
        <w:ind w:left="0" w:right="0" w:firstLine="720"/>
        <w:jc w:val="both"/>
        <w:rPr>
          <w:rFonts w:ascii="Times New Roman;Times;serif" w:hAnsi="Times New Roman;Times;serif"/>
          <w:b/>
          <w:sz w:val="24"/>
        </w:rPr>
      </w:pPr>
      <w:r>
        <w:rPr>
          <w:rFonts w:ascii="Times New Roman;Times;serif" w:hAnsi="Times New Roman;Times;serif"/>
          <w:b/>
          <w:sz w:val="24"/>
        </w:rPr>
        <w:t>[Insert Calculation]</w:t>
      </w:r>
    </w:p>
    <w:p>
      <w:pPr>
        <w:pStyle w:val="TextBody"/>
        <w:bidi w:val="0"/>
        <w:spacing w:before="0" w:after="0"/>
        <w:ind w:left="0" w:right="0" w:hanging="0"/>
        <w:jc w:val="both"/>
        <w:rPr/>
      </w:pPr>
      <w:r>
        <w:rPr/>
        <w:t>​</w:t>
      </w:r>
    </w:p>
    <w:p>
      <w:pPr>
        <w:pStyle w:val="TextBody"/>
        <w:bidi w:val="0"/>
        <w:spacing w:before="0" w:after="0"/>
        <w:ind w:left="0" w:right="0" w:hanging="0"/>
        <w:jc w:val="left"/>
        <w:rPr>
          <w:smallCaps/>
        </w:rPr>
      </w:pPr>
      <w:r>
        <w:rPr>
          <w:smallCaps/>
        </w:rPr>
        <w:t>​</w:t>
      </w:r>
    </w:p>
    <w:p>
      <w:pPr>
        <w:pStyle w:val="TextBody"/>
        <w:bidi w:val="0"/>
        <w:spacing w:before="0" w:after="0"/>
        <w:ind w:left="3960" w:right="0" w:firstLine="720"/>
        <w:jc w:val="left"/>
        <w:rPr>
          <w:rFonts w:ascii="Times New Roman;Times;serif" w:hAnsi="Times New Roman;Times;serif"/>
          <w:sz w:val="24"/>
        </w:rPr>
      </w:pPr>
      <w:r>
        <w:rPr>
          <w:rFonts w:ascii="Times New Roman;Times;serif" w:hAnsi="Times New Roman;Times;serif"/>
          <w:sz w:val="24"/>
        </w:rPr>
        <w:t>CTO Realty Growth, Inc.</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Title:</w:t>
      </w:r>
    </w:p>
    <w:p>
      <w:pPr>
        <w:pStyle w:val="TextBody"/>
        <w:bidi w:val="0"/>
        <w:spacing w:lineRule="atLeast" w:line="280" w:before="0" w:after="0"/>
        <w:ind w:left="0" w:right="0" w:hanging="0"/>
        <w:jc w:val="center"/>
        <w:rPr>
          <w:rFonts w:ascii="Times" w:hAnsi="Times"/>
          <w:sz w:val="24"/>
        </w:rPr>
      </w:pPr>
      <w:r>
        <w:rPr>
          <w:rFonts w:ascii="Times" w:hAnsi="Times"/>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B to Schedule I</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CTO Realty Growth, Inc.</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smallCaps/>
        </w:rPr>
      </w:pPr>
      <w:r>
        <w:rPr>
          <w:smallCaps/>
        </w:rPr>
        <w: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Exhibit B, with a calculation date of __________,______, is attached to Schedule I to the Compliance Certificate of CTO Realty Growth, Inc. dated _______________, 20__ , as amended, and delivered to KeyBank National Association, as Administrative Agent, and the Lenders party to the Credit Agreement, as amended, referred to therein.  The undersigned hereby certifies that the following is a true, correct and complete calculation of Borrowing Base Value for the Rolling Period most recently ended:</w:t>
      </w:r>
    </w:p>
    <w:p>
      <w:pPr>
        <w:pStyle w:val="TextBody"/>
        <w:bidi w:val="0"/>
        <w:spacing w:before="280" w:after="0"/>
        <w:ind w:left="0" w:right="0" w:firstLine="720"/>
        <w:jc w:val="both"/>
        <w:rPr>
          <w:rFonts w:ascii="Times New Roman;Times;serif" w:hAnsi="Times New Roman;Times;serif"/>
          <w:b/>
          <w:sz w:val="24"/>
        </w:rPr>
      </w:pPr>
      <w:r>
        <w:rPr>
          <w:rFonts w:ascii="Times New Roman;Times;serif" w:hAnsi="Times New Roman;Times;serif"/>
          <w:b/>
          <w:sz w:val="24"/>
        </w:rPr>
        <w:t>[Insert Calculation]</w:t>
      </w:r>
    </w:p>
    <w:p>
      <w:pPr>
        <w:pStyle w:val="TextBody"/>
        <w:bidi w:val="0"/>
        <w:spacing w:before="0" w:after="0"/>
        <w:ind w:left="3960" w:right="0" w:firstLine="720"/>
        <w:jc w:val="left"/>
        <w:rPr>
          <w:rFonts w:ascii="Times New Roman;Times;serif" w:hAnsi="Times New Roman;Times;serif"/>
          <w:sz w:val="24"/>
        </w:rPr>
      </w:pPr>
      <w:r>
        <w:rPr>
          <w:rFonts w:ascii="Times New Roman;Times;serif" w:hAnsi="Times New Roman;Times;serif"/>
          <w:sz w:val="24"/>
        </w:rPr>
        <w:t>CTO Realty Growth, Inc.</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Title:</w:t>
      </w:r>
    </w:p>
    <w:p>
      <w:pPr>
        <w:pStyle w:val="TextBody"/>
        <w:pBdr/>
        <w:bidi w:val="0"/>
        <w:spacing w:before="0" w:after="0"/>
        <w:ind w:left="4680" w:right="0" w:hanging="288"/>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smallCaps/>
        </w:rPr>
      </w:pPr>
      <w:r>
        <w:rPr>
          <w:smallCaps/>
        </w:rPr>
        <w:t>​</w:t>
      </w:r>
    </w:p>
    <w:p>
      <w:pPr>
        <w:pStyle w:val="TextBody"/>
        <w:bidi w:val="0"/>
        <w:spacing w:lineRule="atLeast" w:line="280" w:before="0" w:after="0"/>
        <w:ind w:left="0" w:right="0" w:hanging="0"/>
        <w:jc w:val="center"/>
        <w:rPr>
          <w:rFonts w:ascii="Times" w:hAnsi="Times"/>
          <w:sz w:val="24"/>
        </w:rPr>
      </w:pPr>
      <w:r>
        <w:rPr>
          <w:rFonts w:ascii="Times" w:hAnsi="Times"/>
          <w:sz w:val="24"/>
        </w:rPr>
        <w:t>-6-</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C to Schedule I</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CTO Realty Growth, Inc.</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smallCaps/>
        </w:rPr>
      </w:pPr>
      <w:r>
        <w:rPr>
          <w:smallCaps/>
        </w:rPr>
        <w: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Exhibit C, with a calculation date of _______________, 20___, is attached to Schedule I to the Compliance Certificate of CTO Realty Growth, Inc. dated _______________, 20__ , as amended, and delivered to KeyBank National Association, as Administrative Agent, and the Lenders party to the Credit Agreement, as amended, referred to therein.  The undersigned hereby certifies that the following is a true, correct and complete calculation of Borrowing Base NOI for all Borrowing Base Assets for the Rolling Period most recently ended:</w:t>
      </w:r>
    </w:p>
    <w:p>
      <w:pPr>
        <w:pStyle w:val="TextBody"/>
        <w:bidi w:val="0"/>
        <w:spacing w:before="0" w:after="0"/>
        <w:ind w:left="0" w:right="0" w:hanging="0"/>
        <w:jc w:val="left"/>
        <w:rPr>
          <w:smallCaps/>
        </w:rPr>
      </w:pPr>
      <w:r>
        <w:rPr>
          <w:smallCaps/>
        </w:rPr>
        <w:t>​</w:t>
      </w:r>
    </w:p>
    <w:tbl>
      <w:tblPr>
        <w:tblW w:w="10205" w:type="dxa"/>
        <w:jc w:val="left"/>
        <w:tblInd w:w="0" w:type="dxa"/>
        <w:tblLayout w:type="fixed"/>
        <w:tblCellMar>
          <w:top w:w="28" w:type="dxa"/>
          <w:left w:w="103" w:type="dxa"/>
          <w:bottom w:w="28" w:type="dxa"/>
          <w:right w:w="103" w:type="dxa"/>
        </w:tblCellMar>
      </w:tblPr>
      <w:tblGrid>
        <w:gridCol w:w="948"/>
        <w:gridCol w:w="916"/>
        <w:gridCol w:w="556"/>
        <w:gridCol w:w="2008"/>
        <w:gridCol w:w="556"/>
        <w:gridCol w:w="1440"/>
        <w:gridCol w:w="556"/>
        <w:gridCol w:w="1714"/>
        <w:gridCol w:w="601"/>
        <w:gridCol w:w="910"/>
      </w:tblGrid>
      <w:tr>
        <w:trPr/>
        <w:tc>
          <w:tcPr>
            <w:tcW w:w="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Eligible Property</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Income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2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Expenses (without Cap. Ex. Reserve or Management Fees)</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4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Annual Capital Expenditure Reserve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71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Greater of 3% of rents or actual management fees</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equals</w:t>
            </w:r>
          </w:p>
        </w:tc>
        <w:tc>
          <w:tcPr>
            <w:tcW w:w="9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NOI</w:t>
            </w:r>
          </w:p>
        </w:tc>
      </w:tr>
      <w:tr>
        <w:trPr/>
        <w:tc>
          <w:tcPr>
            <w:tcW w:w="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4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1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4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1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4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1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4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1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1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A. Total Borrowing Base NOI for all Borrowing Base Real Property Assets:$_____________</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B. Cash Income Actually Received from Borrowing Base Mortgage Receivables:$_____________</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C. Cash Dividends actually received from Borrowing Base PINE Common Equity</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:$_____________</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For purposes of “Debt Service Coverage Ratio”, Total of A, 50% of B and 50% of C (“Borrowing Base NOI”):$_____________</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For purposes of “Minimum Unsecured Coverage Ratio”, Total of A, B and C (“Borrowing Base NOI”):$_____________</w:t>
      </w:r>
    </w:p>
    <w:p>
      <w:pPr>
        <w:pStyle w:val="TextBody"/>
        <w:bidi w:val="0"/>
        <w:spacing w:before="0" w:after="0"/>
        <w:ind w:left="0" w:right="0" w:hanging="0"/>
        <w:jc w:val="left"/>
        <w:rPr>
          <w:smallCaps/>
        </w:rPr>
      </w:pPr>
      <w:r>
        <w:rPr>
          <w:smallCaps/>
        </w:rPr>
        <w:t>​</w:t>
      </w:r>
    </w:p>
    <w:p>
      <w:pPr>
        <w:pStyle w:val="TextBody"/>
        <w:pBdr/>
        <w:bidi w:val="0"/>
        <w:spacing w:before="0" w:after="0"/>
        <w:ind w:left="4680" w:right="0" w:hanging="288"/>
        <w:jc w:val="left"/>
        <w:rPr>
          <w:smallCaps/>
        </w:rPr>
      </w:pPr>
      <w:r>
        <w:rPr>
          <w:smallCaps/>
        </w:rPr>
        <w:t>​</w:t>
      </w:r>
    </w:p>
    <w:p>
      <w:pPr>
        <w:pStyle w:val="TextBody"/>
        <w:bidi w:val="0"/>
        <w:spacing w:before="0" w:after="0"/>
        <w:ind w:left="0" w:right="0" w:hanging="0"/>
        <w:jc w:val="left"/>
        <w:rPr>
          <w:smallCaps/>
        </w:rPr>
      </w:pPr>
      <w:r>
        <w:rPr>
          <w:smallCaps/>
        </w:rPr>
        <w:t>​</w:t>
      </w:r>
    </w:p>
    <w:p>
      <w:pPr>
        <w:pStyle w:val="TextBody"/>
        <w:bidi w:val="0"/>
        <w:spacing w:before="0" w:after="0"/>
        <w:ind w:left="3960" w:right="0" w:firstLine="720"/>
        <w:jc w:val="left"/>
        <w:rPr>
          <w:rFonts w:ascii="Times New Roman;Times;serif" w:hAnsi="Times New Roman;Times;serif"/>
          <w:sz w:val="24"/>
        </w:rPr>
      </w:pPr>
      <w:r>
        <w:rPr>
          <w:rFonts w:ascii="Times New Roman;Times;serif" w:hAnsi="Times New Roman;Times;serif"/>
          <w:sz w:val="24"/>
        </w:rPr>
        <w:t>CTO Realty Growth, Inc.</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0"/>
        <w:ind w:left="0" w:right="0" w:hanging="0"/>
        <w:jc w:val="center"/>
        <w:rPr/>
      </w:pPr>
      <w:r>
        <w:rPr/>
        <w:t>​</w:t>
      </w:r>
    </w:p>
    <w:p>
      <w:pPr>
        <w:pStyle w:val="TextBody"/>
        <w:pBdr/>
        <w:bidi w:val="0"/>
        <w:spacing w:before="0" w:after="0"/>
        <w:ind w:left="4680" w:right="0" w:hanging="288"/>
        <w:jc w:val="left"/>
        <w:rPr/>
      </w:pPr>
      <w:r>
        <w:rPr/>
        <w:t>​</w:t>
      </w:r>
    </w:p>
    <w:p>
      <w:pPr>
        <w:pStyle w:val="TextBody"/>
        <w:bidi w:val="0"/>
        <w:spacing w:before="280" w:after="283"/>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F</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Assignment and Acceptance</w:t>
      </w:r>
    </w:p>
    <w:p>
      <w:pPr>
        <w:pStyle w:val="TextBody"/>
        <w:bidi w:val="0"/>
        <w:spacing w:before="360" w:after="0"/>
        <w:ind w:left="0" w:right="0" w:hanging="0"/>
        <w:jc w:val="center"/>
        <w:rPr>
          <w:rFonts w:ascii="Times New Roman;Times;serif" w:hAnsi="Times New Roman;Times;serif"/>
          <w:b w:val="false"/>
          <w:caps w:val="false"/>
          <w:smallCaps w:val="false"/>
          <w:sz w:val="24"/>
        </w:rPr>
      </w:pPr>
      <w:r>
        <w:rPr>
          <w:rFonts w:ascii="Times New Roman;Times;serif" w:hAnsi="Times New Roman;Times;serif"/>
          <w:b w:val="false"/>
          <w:caps w:val="false"/>
          <w:smallCaps w:val="false"/>
          <w:sz w:val="24"/>
        </w:rPr>
        <w:t>Dated _____________, _______</w:t>
      </w:r>
    </w:p>
    <w:p>
      <w:pPr>
        <w:pStyle w:val="TextBody"/>
        <w:bidi w:val="0"/>
        <w:spacing w:before="200" w:after="0"/>
        <w:ind w:left="0" w:right="0" w:firstLine="720"/>
        <w:jc w:val="both"/>
        <w:rPr>
          <w:rFonts w:ascii="Times New Roman;Times;serif" w:hAnsi="Times New Roman;Times;serif"/>
          <w:sz w:val="24"/>
        </w:rPr>
      </w:pPr>
      <w:r>
        <w:rPr>
          <w:rFonts w:ascii="Times New Roman;Times;serif" w:hAnsi="Times New Roman;Times;serif"/>
          <w:sz w:val="24"/>
        </w:rPr>
        <w:t>Reference is made to the Credit Agreement dated as of September 30, 2024 (as extended, renewed, amended or restated from time to time, the “Credit Agreement”) among CTO Realty Growth, Inc., the Guarantors from time to time party thereto, the Lenders parties thereto, and KeyBank National Association, as Administrative Agent (the “Administrative Agent”).  Terms defined in the Credit Agreement are used herein with the same meaning.</w:t>
      </w:r>
    </w:p>
    <w:p>
      <w:pPr>
        <w:pStyle w:val="TextBody"/>
        <w:bidi w:val="0"/>
        <w:spacing w:before="200" w:after="0"/>
        <w:ind w:left="0" w:right="0" w:firstLine="720"/>
        <w:jc w:val="both"/>
        <w:rPr>
          <w:rFonts w:ascii="Times New Roman;Times;serif" w:hAnsi="Times New Roman;Times;serif"/>
          <w:sz w:val="24"/>
        </w:rPr>
      </w:pPr>
      <w:r>
        <w:rPr>
          <w:rFonts w:ascii="Times New Roman;Times;serif" w:hAnsi="Times New Roman;Times;serif"/>
          <w:sz w:val="24"/>
        </w:rPr>
        <w:t>______________________________________________________ (the “Assignor”) and _________________________ (the “Assignee”) agree as follows:</w:t>
      </w:r>
    </w:p>
    <w:p>
      <w:pPr>
        <w:pStyle w:val="TextBody"/>
        <w:bidi w:val="0"/>
        <w:spacing w:before="200" w:after="0"/>
        <w:ind w:left="720" w:right="0" w:hanging="0"/>
        <w:jc w:val="both"/>
        <w:rPr>
          <w:rFonts w:ascii="Times New Roman;Times;serif" w:hAnsi="Times New Roman;Times;serif"/>
          <w:sz w:val="24"/>
        </w:rPr>
      </w:pPr>
      <w:r>
        <w:rPr>
          <w:rFonts w:ascii="Times New Roman;Times;serif" w:hAnsi="Times New Roman;Times;serif"/>
          <w:sz w:val="24"/>
        </w:rPr>
        <w:t xml:space="preserve">1.The Assignor hereby sells and assigns to the Assignee, and the Assignee hereby purchases and assumes from the Assignor, the amount and specified percentage interest shown on Annex I hereto of the Assignor’s rights and obligations under the Credit Agreement as of the Effective Date (as defined below), including, without limitation, the Assignor’s </w:t>
      </w:r>
      <w:r>
        <w:rPr>
          <w:rFonts w:ascii="Times New Roman;Times;serif" w:hAnsi="Times New Roman;Times;serif"/>
          <w:b/>
          <w:sz w:val="24"/>
        </w:rPr>
        <w:t>[2029][</w:t>
      </w:r>
      <w:bookmarkStart w:id="2651" w:name="_cp_change_516"/>
      <w:bookmarkEnd w:id="2651"/>
      <w:r>
        <w:rPr>
          <w:rFonts w:ascii="Times New Roman;Times;serif" w:hAnsi="Times New Roman;Times;serif"/>
          <w:b/>
          <w:color w:val="0000FF"/>
          <w:sz w:val="24"/>
        </w:rPr>
        <w:t>2030][</w:t>
      </w:r>
      <w:r>
        <w:rPr>
          <w:rFonts w:ascii="Times New Roman;Times;serif" w:hAnsi="Times New Roman;Times;serif"/>
          <w:b/>
          <w:sz w:val="24"/>
        </w:rPr>
        <w:t xml:space="preserve">Incremental] </w:t>
      </w:r>
      <w:r>
        <w:rPr>
          <w:rFonts w:ascii="Times New Roman;Times;serif" w:hAnsi="Times New Roman;Times;serif"/>
          <w:sz w:val="24"/>
        </w:rPr>
        <w:t>Term Loan Commitments as in effect on the Effective Date and the Loans, if any, owing to the Assignor on the Effective Date.</w:t>
      </w:r>
    </w:p>
    <w:p>
      <w:pPr>
        <w:pStyle w:val="TextBody"/>
        <w:bidi w:val="0"/>
        <w:spacing w:before="200" w:after="0"/>
        <w:ind w:left="720" w:right="0" w:hanging="0"/>
        <w:jc w:val="both"/>
        <w:rPr>
          <w:rFonts w:ascii="Times New Roman;Times;serif" w:hAnsi="Times New Roman;Times;serif"/>
          <w:sz w:val="24"/>
        </w:rPr>
      </w:pPr>
      <w:r>
        <w:rPr>
          <w:rFonts w:ascii="Times New Roman;Times;serif" w:hAnsi="Times New Roman;Times;serif"/>
          <w:sz w:val="24"/>
        </w:rPr>
        <w:t>2.The Assignor (i) represents and warrants that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any Subsidiary or the performance or observance by the Borrower or any Subsidiary of any of their respective obligations under the Credit Agreement or any other instrument or document furnished pursuant thereto.</w:t>
      </w:r>
    </w:p>
    <w:p>
      <w:pPr>
        <w:pStyle w:val="TextBody"/>
        <w:bidi w:val="0"/>
        <w:spacing w:before="200" w:after="0"/>
        <w:ind w:left="720" w:right="0" w:hanging="0"/>
        <w:jc w:val="both"/>
        <w:rPr>
          <w:rFonts w:ascii="Times New Roman;Times;serif" w:hAnsi="Times New Roman;Times;serif"/>
          <w:sz w:val="24"/>
        </w:rPr>
      </w:pPr>
      <w:r>
        <w:rPr>
          <w:rFonts w:ascii="Times New Roman;Times;serif" w:hAnsi="Times New Roman;Times;serif"/>
          <w:sz w:val="24"/>
        </w:rPr>
        <w:t xml:space="preserve">3.The Assignee (i) confirms that it has received a copy of the Credit Agreement, together with copies of the most recent financial statements delivered to the Lenders pursuant to Section 8.5(b) and (c) thereof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Administrative Agent on its behalf and to exercise such powers under the Credit Agreement and the other Loan Documents as are delegated to the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and (v) specifies as its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lending office (and address for notices) the offices set forth on its Administrative Questionnaire.</w:t>
      </w:r>
    </w:p>
    <w:p>
      <w:pPr>
        <w:pStyle w:val="TextBody"/>
        <w:bidi w:val="0"/>
        <w:spacing w:before="200" w:after="0"/>
        <w:ind w:left="720" w:right="0" w:hanging="0"/>
        <w:jc w:val="both"/>
        <w:rPr>
          <w:rFonts w:ascii="Times New Roman;Times;serif" w:hAnsi="Times New Roman;Times;serif"/>
          <w:sz w:val="24"/>
        </w:rPr>
      </w:pPr>
      <w:r>
        <w:rPr>
          <w:rFonts w:ascii="Times New Roman;Times;serif" w:hAnsi="Times New Roman;Times;serif"/>
          <w:sz w:val="24"/>
        </w:rPr>
        <w:t>4.As consideration for the assignment and sale contemplated in Annex I hereof, the Assignee shall pay to the Assignor on the Effective Date in Federal funds the amount agreed upon between them.  Each of the Assignor and the Assignee hereby agrees that if it receives any amount under the Credit Agreement which is for the account of the other party hereto, it shall receive the same for the account of such other party to the extent of such other party’s interest therein and shall promptly pay the same to such other party.</w:t>
      </w:r>
    </w:p>
    <w:p>
      <w:pPr>
        <w:pStyle w:val="TextBody"/>
        <w:bidi w:val="0"/>
        <w:spacing w:before="200" w:after="0"/>
        <w:ind w:left="720" w:right="0" w:hanging="0"/>
        <w:jc w:val="both"/>
        <w:rPr>
          <w:rFonts w:ascii="Times New Roman;Times;serif" w:hAnsi="Times New Roman;Times;serif"/>
          <w:sz w:val="24"/>
        </w:rPr>
      </w:pPr>
      <w:r>
        <w:rPr>
          <w:rFonts w:ascii="Times New Roman;Times;serif" w:hAnsi="Times New Roman;Times;serif"/>
          <w:sz w:val="24"/>
        </w:rPr>
        <w:t xml:space="preserve">5.The effective date for this Assignment and Acceptance shall be </w:t>
      </w:r>
      <w:r>
        <w:rPr>
          <w:rFonts w:ascii="Times New Roman;Times;serif" w:hAnsi="Times New Roman;Times;serif"/>
          <w:sz w:val="24"/>
          <w:u w:val="single"/>
        </w:rPr>
        <w:t>___________</w:t>
      </w:r>
      <w:r>
        <w:rPr>
          <w:rFonts w:ascii="Times New Roman;Times;serif" w:hAnsi="Times New Roman;Times;serif"/>
          <w:sz w:val="24"/>
        </w:rPr>
        <w:t xml:space="preserve"> (the “Effective Date”).  Following the execution of this Assignment and Acceptance, it will be delivered to the Administrative Agent for acceptance and recording by the Administrative Agent and, if required, the Borrower.</w:t>
      </w:r>
    </w:p>
    <w:p>
      <w:pPr>
        <w:pStyle w:val="TextBody"/>
        <w:bidi w:val="0"/>
        <w:spacing w:before="200" w:after="0"/>
        <w:ind w:left="720" w:right="0" w:hanging="0"/>
        <w:jc w:val="both"/>
        <w:rPr>
          <w:rFonts w:ascii="Times New Roman;Times;serif" w:hAnsi="Times New Roman;Times;serif"/>
          <w:sz w:val="24"/>
        </w:rPr>
      </w:pPr>
      <w:r>
        <w:rPr>
          <w:rFonts w:ascii="Times New Roman;Times;serif" w:hAnsi="Times New Roman;Times;serif"/>
          <w:sz w:val="24"/>
        </w:rPr>
        <w:t>6.Upon such acceptance and recording,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pStyle w:val="TextBody"/>
        <w:bidi w:val="0"/>
        <w:spacing w:before="200" w:after="0"/>
        <w:ind w:left="720" w:right="0" w:hanging="0"/>
        <w:jc w:val="both"/>
        <w:rPr>
          <w:rFonts w:ascii="Times New Roman;Times;serif" w:hAnsi="Times New Roman;Times;serif"/>
          <w:sz w:val="24"/>
        </w:rPr>
      </w:pPr>
      <w:r>
        <w:rPr>
          <w:rFonts w:ascii="Times New Roman;Times;serif" w:hAnsi="Times New Roman;Times;serif"/>
          <w:sz w:val="24"/>
        </w:rPr>
        <w:t>7.Upon such acceptance and recording, from and after the Effective Date, the Administrative Agent shall make all payments under the Credit Agreement in respect of the interest assigned hereby (including, without limitation, all payments of principal and interest with respect thereto) to the Assignee.  The Assignor and Assignee shall make all appropriate adjustments in payments under the Credit Agreement for periods prior to the Effective Date directly between themselves.</w:t>
      </w:r>
    </w:p>
    <w:p>
      <w:pPr>
        <w:pStyle w:val="TextBody"/>
        <w:bidi w:val="0"/>
        <w:spacing w:lineRule="atLeast" w:line="280" w:before="0" w:after="0"/>
        <w:ind w:left="0" w:right="0" w:hanging="0"/>
        <w:jc w:val="center"/>
        <w:rPr>
          <w:rFonts w:ascii="Times" w:hAnsi="Times"/>
          <w:sz w:val="24"/>
        </w:rPr>
      </w:pPr>
      <w:r>
        <w:rPr>
          <w:rFonts w:ascii="Times" w:hAnsi="Times"/>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8.This Assignment and Acceptance shall be governed by, and construed in accordance with, the internal laws of the State of New York.</w:t>
      </w:r>
    </w:p>
    <w:p>
      <w:pPr>
        <w:pStyle w:val="TextBody"/>
        <w:bidi w:val="0"/>
        <w:spacing w:before="280" w:after="240"/>
        <w:ind w:left="4680" w:right="0" w:hanging="0"/>
        <w:jc w:val="left"/>
        <w:rPr>
          <w:rFonts w:ascii="Times New Roman;Times;serif" w:hAnsi="Times New Roman;Times;serif"/>
          <w:smallCaps/>
          <w:sz w:val="24"/>
        </w:rPr>
      </w:pPr>
      <w:r>
        <w:rPr>
          <w:rFonts w:ascii="Times New Roman;Times;serif" w:hAnsi="Times New Roman;Times;serif"/>
          <w:smallCaps/>
          <w:sz w:val="24"/>
        </w:rPr>
        <w:t>[Assignor Lender]</w:t>
      </w:r>
    </w:p>
    <w:p>
      <w:pPr>
        <w:pStyle w:val="TextBody"/>
        <w:bidi w:val="0"/>
        <w:spacing w:before="0" w:after="0"/>
        <w:ind w:left="4680" w:right="0" w:hanging="0"/>
        <w:jc w:val="left"/>
        <w:rPr>
          <w:rFonts w:ascii="Times New Roman;Times;serif" w:hAnsi="Times New Roman;Times;serif"/>
          <w:sz w:val="24"/>
        </w:rPr>
      </w:pPr>
      <w:r>
        <w:rPr>
          <w:rFonts w:ascii="Times New Roman;Times;serif" w:hAnsi="Times New Roman;Times;serif"/>
          <w:sz w:val="24"/>
        </w:rPr>
        <w:t>By___________________________</w:t>
      </w:r>
    </w:p>
    <w:p>
      <w:pPr>
        <w:pStyle w:val="TextBody"/>
        <w:bidi w:val="0"/>
        <w:spacing w:before="0" w:after="0"/>
        <w:ind w:left="4680" w:right="0" w:hanging="0"/>
        <w:jc w:val="left"/>
        <w:rPr>
          <w:rFonts w:ascii="Times New Roman;Times;serif" w:hAnsi="Times New Roman;Times;serif"/>
          <w:sz w:val="24"/>
        </w:rPr>
      </w:pPr>
      <w:r>
        <w:rPr>
          <w:rFonts w:ascii="Times New Roman;Times;serif" w:hAnsi="Times New Roman;Times;serif"/>
          <w:sz w:val="24"/>
        </w:rPr>
        <w:t>Name_____________________</w:t>
      </w:r>
    </w:p>
    <w:p>
      <w:pPr>
        <w:pStyle w:val="TextBody"/>
        <w:bidi w:val="0"/>
        <w:spacing w:before="0" w:after="0"/>
        <w:ind w:left="4680" w:right="0" w:hanging="0"/>
        <w:jc w:val="left"/>
        <w:rPr>
          <w:rFonts w:ascii="Times New Roman;Times;serif" w:hAnsi="Times New Roman;Times;serif"/>
          <w:sz w:val="24"/>
        </w:rPr>
      </w:pPr>
      <w:r>
        <w:rPr>
          <w:rFonts w:ascii="Times New Roman;Times;serif" w:hAnsi="Times New Roman;Times;serif"/>
          <w:sz w:val="24"/>
        </w:rPr>
        <w:t>Title_____________________</w:t>
      </w:r>
    </w:p>
    <w:p>
      <w:pPr>
        <w:pStyle w:val="TextBody"/>
        <w:bidi w:val="0"/>
        <w:spacing w:before="280" w:after="0"/>
        <w:ind w:left="4680" w:right="0" w:hanging="0"/>
        <w:jc w:val="left"/>
        <w:rPr>
          <w:rFonts w:ascii="Times New Roman;Times;serif" w:hAnsi="Times New Roman;Times;serif"/>
          <w:smallCaps/>
          <w:sz w:val="24"/>
        </w:rPr>
      </w:pPr>
      <w:r>
        <w:rPr>
          <w:rFonts w:ascii="Times New Roman;Times;serif" w:hAnsi="Times New Roman;Times;serif"/>
          <w:smallCaps/>
          <w:sz w:val="24"/>
        </w:rPr>
        <w:t>[Assignee Lender]</w:t>
      </w:r>
    </w:p>
    <w:p>
      <w:pPr>
        <w:pStyle w:val="TextBody"/>
        <w:bidi w:val="0"/>
        <w:spacing w:before="240" w:after="0"/>
        <w:ind w:left="3960" w:right="0" w:firstLine="720"/>
        <w:jc w:val="left"/>
        <w:rPr>
          <w:rFonts w:ascii="Times New Roman;Times;serif" w:hAnsi="Times New Roman;Times;serif"/>
          <w:sz w:val="24"/>
        </w:rPr>
      </w:pPr>
      <w:r>
        <w:rPr>
          <w:rFonts w:ascii="Times New Roman;Times;serif" w:hAnsi="Times New Roman;Times;serif"/>
          <w:sz w:val="24"/>
        </w:rPr>
        <w:t>By_____________________________</w:t>
        <w:br/>
        <w:t>Name____________________________</w:t>
        <w:br/>
        <w:t>Title____________________________</w:t>
      </w:r>
    </w:p>
    <w:p>
      <w:pPr>
        <w:pStyle w:val="TextBody"/>
        <w:pBdr/>
        <w:bidi w:val="0"/>
        <w:spacing w:before="280" w:after="0"/>
        <w:ind w:left="0" w:right="0" w:hanging="4954"/>
        <w:jc w:val="left"/>
        <w:rPr>
          <w:rFonts w:ascii="Times New Roman;Times;serif" w:hAnsi="Times New Roman;Times;serif"/>
          <w:sz w:val="24"/>
        </w:rPr>
      </w:pPr>
      <w:r>
        <w:rPr>
          <w:rFonts w:ascii="Times New Roman;Times;serif" w:hAnsi="Times New Roman;Times;serif"/>
          <w:sz w:val="24"/>
        </w:rPr>
        <w:t>Accepted and consented this</w:t>
      </w:r>
    </w:p>
    <w:p>
      <w:pPr>
        <w:pStyle w:val="TextBody"/>
        <w:pBdr/>
        <w:bidi w:val="0"/>
        <w:spacing w:before="0" w:after="0"/>
        <w:ind w:left="0" w:right="0" w:hanging="4950"/>
        <w:jc w:val="left"/>
        <w:rPr>
          <w:rFonts w:ascii="Times New Roman;Times;serif" w:hAnsi="Times New Roman;Times;serif"/>
          <w:sz w:val="24"/>
        </w:rPr>
      </w:pPr>
      <w:r>
        <w:rPr>
          <w:rFonts w:ascii="Times New Roman;Times;serif" w:hAnsi="Times New Roman;Times;serif"/>
          <w:sz w:val="24"/>
        </w:rPr>
        <w:t>____ day of _____________</w:t>
      </w:r>
    </w:p>
    <w:p>
      <w:pPr>
        <w:pStyle w:val="TextBody"/>
        <w:pBdr/>
        <w:bidi w:val="0"/>
        <w:spacing w:before="320" w:after="0"/>
        <w:ind w:left="0" w:right="0" w:hanging="4954"/>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By</w:t>
      </w:r>
      <w:r>
        <w:rPr>
          <w:rFonts w:ascii="Times New Roman;Times;serif" w:hAnsi="Times New Roman;Times;serif"/>
          <w:sz w:val="24"/>
        </w:rPr>
        <w:t>_____________________________</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extBody"/>
        <w:pBdr/>
        <w:bidi w:val="0"/>
        <w:spacing w:before="280" w:after="0"/>
        <w:ind w:left="0" w:right="4500" w:hanging="180"/>
        <w:jc w:val="left"/>
        <w:rPr>
          <w:rFonts w:ascii="Times New Roman;Times;serif" w:hAnsi="Times New Roman;Times;serif"/>
          <w:sz w:val="24"/>
        </w:rPr>
      </w:pPr>
      <w:r>
        <w:rPr>
          <w:rFonts w:ascii="Times New Roman;Times;serif" w:hAnsi="Times New Roman;Times;serif"/>
          <w:sz w:val="24"/>
        </w:rPr>
        <w:t>Accepted and consented to by the Administrative Agent this ___ day of _________</w:t>
      </w:r>
    </w:p>
    <w:p>
      <w:pPr>
        <w:pStyle w:val="TextBody"/>
        <w:pBdr/>
        <w:bidi w:val="0"/>
        <w:spacing w:before="280" w:after="0"/>
        <w:ind w:left="0" w:right="4500" w:hanging="180"/>
        <w:jc w:val="left"/>
        <w:rPr>
          <w:rFonts w:ascii="Times New Roman;Times;serif" w:hAnsi="Times New Roman;Times;serif"/>
          <w:sz w:val="24"/>
        </w:rPr>
      </w:pPr>
      <w:r>
        <w:rPr>
          <w:rFonts w:ascii="Times New Roman;Times;serif" w:hAnsi="Times New Roman;Times;serif"/>
          <w:smallCaps/>
          <w:sz w:val="24"/>
        </w:rPr>
        <w:t xml:space="preserve">KeyBank National Association, </w:t>
      </w:r>
      <w:r>
        <w:rPr>
          <w:rFonts w:ascii="Times New Roman;Times;serif" w:hAnsi="Times New Roman;Times;serif"/>
          <w:sz w:val="24"/>
        </w:rPr>
        <w:t xml:space="preserve">as Administrative Agent </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By</w:t>
      </w:r>
      <w:r>
        <w:rPr>
          <w:rFonts w:ascii="Times New Roman;Times;serif" w:hAnsi="Times New Roman;Times;serif"/>
          <w:sz w:val="24"/>
        </w:rPr>
        <w:t>_____________________________</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0"/>
        <w:ind w:left="0" w:right="0" w:hanging="0"/>
        <w:jc w:val="left"/>
        <w:rPr/>
      </w:pPr>
      <w:r>
        <w:rPr/>
        <w:t>​</w:t>
      </w:r>
    </w:p>
    <w:p>
      <w:pPr>
        <w:pStyle w:val="TextBody"/>
        <w:bidi w:val="0"/>
        <w:spacing w:lineRule="atLeast" w:line="280" w:before="0" w:after="0"/>
        <w:ind w:left="0" w:right="0" w:hanging="0"/>
        <w:jc w:val="center"/>
        <w:rPr>
          <w:rFonts w:ascii="Times" w:hAnsi="Times"/>
          <w:sz w:val="24"/>
        </w:rPr>
      </w:pPr>
      <w:r>
        <w:rPr>
          <w:rFonts w:ascii="Times" w:hAnsi="Times"/>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I</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to Assignment and Acceptance</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assignee hereby purchases and assumes from the assignor the following interest in and to all of the Assignor’s rights and obligations under the Credit Agreement as of the effective date.</w:t>
      </w:r>
    </w:p>
    <w:tbl>
      <w:tblPr>
        <w:tblW w:w="10205" w:type="dxa"/>
        <w:jc w:val="left"/>
        <w:tblInd w:w="0" w:type="dxa"/>
        <w:tblLayout w:type="fixed"/>
        <w:tblCellMar>
          <w:top w:w="0" w:type="dxa"/>
          <w:left w:w="0" w:type="dxa"/>
          <w:bottom w:w="0" w:type="dxa"/>
          <w:right w:w="0" w:type="dxa"/>
        </w:tblCellMar>
      </w:tblPr>
      <w:tblGrid>
        <w:gridCol w:w="2675"/>
        <w:gridCol w:w="2500"/>
        <w:gridCol w:w="2487"/>
        <w:gridCol w:w="2543"/>
      </w:tblGrid>
      <w:tr>
        <w:trPr/>
        <w:tc>
          <w:tcPr>
            <w:tcW w:w="2675"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Facility Assigned</w:t>
            </w:r>
          </w:p>
        </w:tc>
        <w:tc>
          <w:tcPr>
            <w:tcW w:w="2500"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mallCaps/>
                <w:sz w:val="24"/>
              </w:rPr>
              <w:t>Aggregate</w:t>
              <w:br/>
            </w:r>
            <w:r>
              <w:rPr>
                <w:rFonts w:ascii="Times New Roman;Times;serif" w:hAnsi="Times New Roman;Times;serif"/>
                <w:b/>
                <w:smallCaps/>
                <w:sz w:val="24"/>
              </w:rPr>
              <w:t>[2029</w:t>
            </w:r>
            <w:bookmarkStart w:id="2652" w:name="_cp_change_517"/>
            <w:bookmarkEnd w:id="2652"/>
            <w:r>
              <w:rPr>
                <w:rFonts w:ascii="Times New Roman;Times;serif" w:hAnsi="Times New Roman;Times;serif"/>
                <w:b/>
                <w:smallCaps/>
                <w:color w:val="0000FF"/>
                <w:sz w:val="24"/>
              </w:rPr>
              <w:t>][2030</w:t>
            </w:r>
            <w:r>
              <w:rPr>
                <w:rFonts w:ascii="Times New Roman;Times;serif" w:hAnsi="Times New Roman;Times;serif"/>
                <w:b/>
                <w:smallCaps/>
                <w:sz w:val="24"/>
              </w:rPr>
              <w:t xml:space="preserve">][Incremental] </w:t>
            </w:r>
            <w:r>
              <w:rPr>
                <w:rFonts w:ascii="Times New Roman;Times;serif" w:hAnsi="Times New Roman;Times;serif"/>
                <w:smallCaps/>
                <w:sz w:val="24"/>
              </w:rPr>
              <w:t>Commitment/Loans</w:t>
              <w:br/>
              <w:t>for All Lenders</w:t>
            </w:r>
          </w:p>
        </w:tc>
        <w:tc>
          <w:tcPr>
            <w:tcW w:w="2487"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mallCaps/>
                <w:sz w:val="24"/>
              </w:rPr>
              <w:t>Amount of</w:t>
              <w:br/>
            </w:r>
            <w:r>
              <w:rPr>
                <w:rFonts w:ascii="Times New Roman;Times;serif" w:hAnsi="Times New Roman;Times;serif"/>
                <w:b/>
                <w:smallCaps/>
                <w:sz w:val="24"/>
              </w:rPr>
              <w:t>[2029</w:t>
            </w:r>
            <w:bookmarkStart w:id="2653" w:name="_cp_change_518"/>
            <w:bookmarkEnd w:id="2653"/>
            <w:r>
              <w:rPr>
                <w:rFonts w:ascii="Times New Roman;Times;serif" w:hAnsi="Times New Roman;Times;serif"/>
                <w:b/>
                <w:smallCaps/>
                <w:color w:val="0000FF"/>
                <w:sz w:val="24"/>
              </w:rPr>
              <w:t>][2030</w:t>
            </w:r>
            <w:r>
              <w:rPr>
                <w:rFonts w:ascii="Times New Roman;Times;serif" w:hAnsi="Times New Roman;Times;serif"/>
                <w:b/>
                <w:smallCaps/>
                <w:sz w:val="24"/>
              </w:rPr>
              <w:t>][Incremental]</w:t>
            </w:r>
            <w:r>
              <w:rPr>
                <w:rFonts w:ascii="Times New Roman;Times;serif" w:hAnsi="Times New Roman;Times;serif"/>
                <w:smallCaps/>
                <w:sz w:val="24"/>
              </w:rPr>
              <w:t>Commitment/Loans</w:t>
              <w:br/>
              <w:t>Assigned</w:t>
            </w:r>
          </w:p>
        </w:tc>
        <w:tc>
          <w:tcPr>
            <w:tcW w:w="2543"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mallCaps/>
                <w:sz w:val="24"/>
              </w:rPr>
              <w:t>Percentage Assigned</w:t>
              <w:br/>
              <w:t xml:space="preserve">of </w:t>
            </w:r>
            <w:r>
              <w:rPr>
                <w:rFonts w:ascii="Times New Roman;Times;serif" w:hAnsi="Times New Roman;Times;serif"/>
                <w:b/>
                <w:smallCaps/>
                <w:sz w:val="24"/>
              </w:rPr>
              <w:t>[2029][</w:t>
            </w:r>
            <w:bookmarkStart w:id="2654" w:name="_cp_change_519"/>
            <w:bookmarkEnd w:id="2654"/>
            <w:r>
              <w:rPr>
                <w:rFonts w:ascii="Times New Roman;Times;serif" w:hAnsi="Times New Roman;Times;serif"/>
                <w:b/>
                <w:smallCaps/>
                <w:color w:val="0000FF"/>
                <w:sz w:val="24"/>
              </w:rPr>
              <w:t>2030][</w:t>
            </w:r>
            <w:r>
              <w:rPr>
                <w:rFonts w:ascii="Times New Roman;Times;serif" w:hAnsi="Times New Roman;Times;serif"/>
                <w:b/>
                <w:smallCaps/>
                <w:sz w:val="24"/>
              </w:rPr>
              <w:t>Incremental]</w:t>
            </w:r>
            <w:r>
              <w:rPr>
                <w:rFonts w:ascii="Times New Roman;Times;serif" w:hAnsi="Times New Roman;Times;serif"/>
                <w:smallCaps/>
                <w:sz w:val="24"/>
              </w:rPr>
              <w:t>Commitment/Loans</w:t>
            </w:r>
          </w:p>
        </w:tc>
      </w:tr>
      <w:tr>
        <w:trPr/>
        <w:tc>
          <w:tcPr>
            <w:tcW w:w="2675" w:type="dxa"/>
            <w:tcBorders/>
            <w:vAlign w:val="center"/>
          </w:tcPr>
          <w:p>
            <w:pPr>
              <w:pStyle w:val="TableContents"/>
              <w:bidi w:val="0"/>
              <w:spacing w:before="280" w:after="0"/>
              <w:ind w:left="0" w:right="0" w:hanging="0"/>
              <w:jc w:val="left"/>
              <w:rPr>
                <w:rFonts w:ascii="Times New Roman;Times;serif" w:hAnsi="Times New Roman;Times;serif"/>
                <w:sz w:val="24"/>
              </w:rPr>
            </w:pPr>
            <w:bookmarkStart w:id="2655" w:name="_Hlk65781363"/>
            <w:bookmarkEnd w:id="2655"/>
            <w:r>
              <w:rPr>
                <w:rFonts w:ascii="Times New Roman;Times;serif" w:hAnsi="Times New Roman;Times;serif"/>
                <w:b/>
                <w:sz w:val="24"/>
              </w:rPr>
              <w:t>[2029</w:t>
            </w:r>
            <w:bookmarkStart w:id="2656" w:name="_cp_change_520"/>
            <w:bookmarkEnd w:id="2656"/>
            <w:r>
              <w:rPr>
                <w:rFonts w:ascii="Times New Roman;Times;serif" w:hAnsi="Times New Roman;Times;serif"/>
                <w:b/>
                <w:color w:val="0000FF"/>
                <w:sz w:val="24"/>
              </w:rPr>
              <w:t>][2030</w:t>
            </w:r>
            <w:r>
              <w:rPr>
                <w:rFonts w:ascii="Times New Roman;Times;serif" w:hAnsi="Times New Roman;Times;serif"/>
                <w:b/>
                <w:sz w:val="24"/>
              </w:rPr>
              <w:t>][Incremental]</w:t>
            </w:r>
            <w:r>
              <w:rPr>
                <w:rFonts w:ascii="Times New Roman;Times;serif" w:hAnsi="Times New Roman;Times;serif"/>
                <w:sz w:val="24"/>
              </w:rPr>
              <w:t xml:space="preserve"> Term Loan [Incremental Revolving Loan]</w:t>
            </w:r>
          </w:p>
        </w:tc>
        <w:tc>
          <w:tcPr>
            <w:tcW w:w="2500" w:type="dxa"/>
            <w:tcBorders/>
            <w:vAlign w:val="center"/>
          </w:tcPr>
          <w:p>
            <w:pPr>
              <w:pStyle w:val="TableContents"/>
              <w:bidi w:val="0"/>
              <w:spacing w:before="280" w:after="0"/>
              <w:ind w:left="0" w:right="0" w:hanging="0"/>
              <w:jc w:val="center"/>
              <w:rPr>
                <w:rFonts w:ascii="Times New Roman;Times;serif" w:hAnsi="Times New Roman;Times;serif"/>
                <w:caps w:val="false"/>
                <w:smallCaps w:val="false"/>
                <w:sz w:val="24"/>
              </w:rPr>
            </w:pPr>
            <w:r>
              <w:rPr>
                <w:rFonts w:ascii="Times New Roman;Times;serif" w:hAnsi="Times New Roman;Times;serif"/>
                <w:caps w:val="false"/>
                <w:smallCaps w:val="false"/>
                <w:sz w:val="24"/>
              </w:rPr>
              <w:t>$____________</w:t>
            </w:r>
          </w:p>
        </w:tc>
        <w:tc>
          <w:tcPr>
            <w:tcW w:w="2487"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$____________</w:t>
            </w:r>
          </w:p>
        </w:tc>
        <w:tc>
          <w:tcPr>
            <w:tcW w:w="2543"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$____________</w:t>
            </w:r>
          </w:p>
        </w:tc>
      </w:tr>
    </w:tbl>
    <w:p>
      <w:pPr>
        <w:pStyle w:val="TextBody"/>
        <w:bidi w:val="0"/>
        <w:spacing w:before="0" w:after="0"/>
        <w:ind w:left="0" w:right="0" w:hanging="0"/>
        <w:jc w:val="left"/>
        <w:rPr/>
      </w:pPr>
      <w:r>
        <w:rPr/>
        <w:t>​</w:t>
      </w:r>
    </w:p>
    <w:p>
      <w:pPr>
        <w:pStyle w:val="TextBody"/>
        <w:bidi w:val="0"/>
        <w:spacing w:lineRule="atLeast" w:line="280" w:before="0" w:after="0"/>
        <w:ind w:left="0" w:right="0" w:hanging="0"/>
        <w:jc w:val="center"/>
        <w:rPr>
          <w:rFonts w:ascii="Times" w:hAnsi="Times"/>
          <w:sz w:val="24"/>
        </w:rPr>
      </w:pPr>
      <w:r>
        <w:rPr>
          <w:rFonts w:ascii="Times" w:hAnsi="Times"/>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G</w:t>
      </w:r>
    </w:p>
    <w:p>
      <w:pPr>
        <w:pStyle w:val="TextBody"/>
        <w:bidi w:val="0"/>
        <w:spacing w:before="28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Additional Guarantor Supplement</w:t>
      </w:r>
    </w:p>
    <w:p>
      <w:pPr>
        <w:pStyle w:val="TextBody"/>
        <w:bidi w:val="0"/>
        <w:spacing w:before="280" w:after="0"/>
        <w:ind w:left="0" w:right="0" w:firstLine="720"/>
        <w:jc w:val="right"/>
        <w:rPr>
          <w:rFonts w:ascii="Times New Roman;Times;serif" w:hAnsi="Times New Roman;Times;serif"/>
          <w:sz w:val="24"/>
        </w:rPr>
      </w:pPr>
      <w:r>
        <w:rPr>
          <w:rFonts w:ascii="Times New Roman;Times;serif" w:hAnsi="Times New Roman;Times;serif"/>
          <w:sz w:val="24"/>
        </w:rPr>
        <w:t>______________, ___</w:t>
      </w:r>
    </w:p>
    <w:p>
      <w:pPr>
        <w:pStyle w:val="TextBody"/>
        <w:bidi w:val="0"/>
        <w:spacing w:before="140" w:after="0"/>
        <w:ind w:left="0" w:right="4320" w:hanging="0"/>
        <w:jc w:val="both"/>
        <w:rPr>
          <w:rFonts w:ascii="Times New Roman;Times;serif" w:hAnsi="Times New Roman;Times;serif"/>
          <w:sz w:val="24"/>
        </w:rPr>
      </w:pPr>
      <w:r>
        <w:rPr>
          <w:rFonts w:ascii="Times New Roman;Times;serif" w:hAnsi="Times New Roman;Times;serif"/>
          <w:sz w:val="24"/>
        </w:rPr>
        <w:t>KeyBank National Association,</w:t>
      </w:r>
      <w:r>
        <w:rPr>
          <w:rFonts w:ascii="Times New Roman;Times;serif" w:hAnsi="Times New Roman;Times;serif"/>
          <w:smallCaps/>
          <w:sz w:val="24"/>
        </w:rPr>
        <w:t xml:space="preserve"> </w:t>
      </w:r>
      <w:r>
        <w:rPr>
          <w:rFonts w:ascii="Times New Roman;Times;serif" w:hAnsi="Times New Roman;Times;serif"/>
          <w:sz w:val="24"/>
        </w:rPr>
        <w:t>as Administrative Agent for the Lenders named in the Credit Agreement dated as of September 30, 2024, among CTO Realty Growth, Inc., as the Borrower, the Guarantors signatories thereto, the Lenders from time to time party thereto, and the Administrative Agent (the “Credit Agreement”)</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Ladies and Gentlemen:</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Reference is made to the Credit Agreement described above.  Terms not defined herein which are defined in the Credit Agreement shall have for the purposes hereof the meaning provided therein.</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 xml:space="preserve">The undersigned, </w:t>
      </w:r>
      <w:r>
        <w:rPr>
          <w:rFonts w:ascii="Times New Roman;Times;serif" w:hAnsi="Times New Roman;Times;serif"/>
          <w:b/>
          <w:sz w:val="24"/>
        </w:rPr>
        <w:t>[name of Subsidiary Guarantor]</w:t>
      </w:r>
      <w:r>
        <w:rPr>
          <w:rFonts w:ascii="Times New Roman;Times;serif" w:hAnsi="Times New Roman;Times;serif"/>
          <w:sz w:val="24"/>
        </w:rPr>
        <w:t xml:space="preserve">, a </w:t>
      </w:r>
      <w:r>
        <w:rPr>
          <w:rFonts w:ascii="Times New Roman;Times;serif" w:hAnsi="Times New Roman;Times;serif"/>
          <w:b/>
          <w:sz w:val="24"/>
        </w:rPr>
        <w:t>[jurisdiction of incorporation or organization]</w:t>
      </w:r>
      <w:r>
        <w:rPr>
          <w:rFonts w:ascii="Times New Roman;Times;serif" w:hAnsi="Times New Roman;Times;serif"/>
          <w:sz w:val="24"/>
        </w:rPr>
        <w:t xml:space="preserve"> hereby elects to be a “Guarantor” for all purposes of the Credit Agreement, effective from the date hereof.  The undersigned confirms that the representations and warranties set forth in Section 6 of the Credit Agreement are true and correct as to the undersigned as of the date hereof and the undersigned shall comply with each of the covenants set forth in Section 8 of the Credit Agreement applicable to it.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Without limiting the generality of the foregoing, the undersigned hereby agrees to perform all the obligations of a Guarantor under, and to be bound in all respects by the terms of, the Credit Agreement, including, without limitation, Section 13 thereof, to the same extent and with the same force and effect as if the undersigned were a signatory party thereto.</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undersigned acknowledges that this Agreement shall be effective upon its execution and delivery by the undersigned to the Administrative Agent, and it shall not be necessary for the Administrative Agent or any Lender, or any of their Affiliates entitled to the benefits hereof, to execute this Agreement or any other acceptance hereof.  This Agreement shall be construed in accordance with and governed by the internal laws of the State of New York.</w:t>
      </w:r>
    </w:p>
    <w:p>
      <w:pPr>
        <w:pStyle w:val="TextBody"/>
        <w:bidi w:val="0"/>
        <w:spacing w:before="240" w:after="0"/>
        <w:ind w:left="5040" w:right="0" w:hanging="0"/>
        <w:jc w:val="left"/>
        <w:rPr>
          <w:rFonts w:ascii="Times New Roman;Times;serif" w:hAnsi="Times New Roman;Times;serif"/>
          <w:sz w:val="24"/>
        </w:rPr>
      </w:pPr>
      <w:r>
        <w:rPr>
          <w:rFonts w:ascii="Times New Roman;Times;serif" w:hAnsi="Times New Roman;Times;serif"/>
          <w:sz w:val="24"/>
        </w:rPr>
        <w:t>Very truly yours,</w:t>
      </w:r>
    </w:p>
    <w:p>
      <w:pPr>
        <w:pStyle w:val="TextBody"/>
        <w:bidi w:val="0"/>
        <w:spacing w:before="160" w:after="240"/>
        <w:ind w:left="5040" w:right="0" w:hanging="0"/>
        <w:jc w:val="left"/>
        <w:rPr>
          <w:rFonts w:ascii="Times New Roman;Times;serif" w:hAnsi="Times New Roman;Times;serif"/>
          <w:smallCaps/>
          <w:sz w:val="24"/>
        </w:rPr>
      </w:pPr>
      <w:r>
        <w:rPr>
          <w:rFonts w:ascii="Times New Roman;Times;serif" w:hAnsi="Times New Roman;Times;serif"/>
          <w:smallCaps/>
          <w:sz w:val="24"/>
        </w:rPr>
        <w:t>[Name of Subsidiary Guarantor]</w:t>
      </w:r>
    </w:p>
    <w:p>
      <w:pPr>
        <w:pStyle w:val="TextBody"/>
        <w:bidi w:val="0"/>
        <w:spacing w:before="0" w:after="0"/>
        <w:ind w:left="4320" w:right="0" w:firstLine="720"/>
        <w:jc w:val="left"/>
        <w:rPr>
          <w:rFonts w:ascii="Times New Roman;Times;serif" w:hAnsi="Times New Roman;Times;serif"/>
          <w:sz w:val="24"/>
        </w:rPr>
      </w:pPr>
      <w:r>
        <w:rPr>
          <w:rFonts w:ascii="Times New Roman;Times;serif" w:hAnsi="Times New Roman;Times;serif"/>
          <w:sz w:val="24"/>
        </w:rPr>
        <w:t>By___________________________</w:t>
      </w:r>
    </w:p>
    <w:p>
      <w:pPr>
        <w:pStyle w:val="TextBody"/>
        <w:bidi w:val="0"/>
        <w:spacing w:before="0" w:after="0"/>
        <w:ind w:left="5040" w:right="0" w:hanging="0"/>
        <w:jc w:val="left"/>
        <w:rPr>
          <w:rFonts w:ascii="Times New Roman;Times;serif" w:hAnsi="Times New Roman;Times;serif"/>
          <w:sz w:val="24"/>
        </w:rPr>
      </w:pPr>
      <w:r>
        <w:rPr>
          <w:rFonts w:ascii="Times New Roman;Times;serif" w:hAnsi="Times New Roman;Times;serif"/>
          <w:sz w:val="24"/>
        </w:rPr>
        <w:t>Name________________________</w:t>
      </w:r>
    </w:p>
    <w:p>
      <w:pPr>
        <w:pStyle w:val="TextBody"/>
        <w:bidi w:val="0"/>
        <w:spacing w:before="0" w:after="0"/>
        <w:ind w:left="5040" w:right="0" w:hanging="0"/>
        <w:jc w:val="left"/>
        <w:rPr>
          <w:rFonts w:ascii="Times New Roman;Times;serif" w:hAnsi="Times New Roman;Times;serif"/>
          <w:sz w:val="24"/>
        </w:rPr>
      </w:pPr>
      <w:r>
        <w:rPr>
          <w:rFonts w:ascii="Times New Roman;Times;serif" w:hAnsi="Times New Roman;Times;serif"/>
          <w:sz w:val="24"/>
        </w:rPr>
        <w:t>Title________________________</w:t>
      </w:r>
    </w:p>
    <w:p>
      <w:pPr>
        <w:pStyle w:val="TextBody"/>
        <w:bidi w:val="0"/>
        <w:spacing w:before="280" w:after="283"/>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H</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Commitment Increase Request</w:t>
      </w:r>
    </w:p>
    <w:p>
      <w:pPr>
        <w:pStyle w:val="TextBody"/>
        <w:bidi w:val="0"/>
        <w:spacing w:before="360" w:after="640"/>
        <w:ind w:left="0" w:right="0" w:hanging="0"/>
        <w:jc w:val="center"/>
        <w:rPr>
          <w:rFonts w:ascii="Times New Roman;Times;serif" w:hAnsi="Times New Roman;Times;serif"/>
          <w:sz w:val="24"/>
        </w:rPr>
      </w:pPr>
      <w:r>
        <w:rPr>
          <w:rFonts w:ascii="Times New Roman;Times;serif" w:hAnsi="Times New Roman;Times;serif"/>
          <w:sz w:val="24"/>
        </w:rPr>
        <w:t>_______________, ____</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280" w:after="0"/>
              <w:jc w:val="both"/>
              <w:rPr>
                <w:rFonts w:ascii="Times New Roman;Times;serif" w:hAnsi="Times New Roman;Times;serif"/>
                <w:sz w:val="24"/>
              </w:rPr>
            </w:pPr>
            <w:r>
              <w:rPr>
                <w:rFonts w:ascii="Times New Roman;Times;serif" w:hAnsi="Times New Roman;Times;serif"/>
                <w:sz w:val="24"/>
              </w:rPr>
              <w:t>To:</w:t>
            </w:r>
          </w:p>
        </w:tc>
        <w:tc>
          <w:tcPr>
            <w:tcW w:w="9901" w:type="dxa"/>
            <w:tcBorders/>
            <w:vAlign w:val="center"/>
          </w:tcPr>
          <w:p>
            <w:pPr>
              <w:pStyle w:val="TableContents"/>
              <w:bidi w:val="0"/>
              <w:spacing w:before="280" w:after="0"/>
              <w:jc w:val="both"/>
              <w:rPr>
                <w:rFonts w:ascii="Times New Roman;Times;serif" w:hAnsi="Times New Roman;Times;serif"/>
                <w:sz w:val="24"/>
              </w:rPr>
            </w:pPr>
            <w:r>
              <w:rPr>
                <w:rFonts w:ascii="Times New Roman;Times;serif" w:hAnsi="Times New Roman;Times;serif"/>
                <w:sz w:val="24"/>
              </w:rPr>
              <w:t>KeyBank National Association, as Administrative Agent for the Lenders parties to the Credit Agreement dated as of September 30, 2024 (as extended, renewed, amended or restated from time to time, the “Credit Agreement”), among CTO Realty Growth, Inc., the Guarantors which are signatories thereto, certain Lenders parties thereto, and KeyBank National Association, as Administrative Agent</w:t>
            </w:r>
          </w:p>
        </w:tc>
      </w:tr>
    </w:tbl>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Ladies and Gentlemen:</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 xml:space="preserve">The undersigned, CTO Realty Growth, Inc. (the “Borrower”) hereby refers to the Credit Agreement and requests that the Administrative Agent consent to an increase in the aggregate Commitments (the “Commitment Increase”), in accordance with Section 1.15 of the Credit Agreement, to be effected by </w:t>
      </w:r>
      <w:r>
        <w:rPr>
          <w:rFonts w:ascii="Times New Roman;Times;serif" w:hAnsi="Times New Roman;Times;serif"/>
          <w:b/>
          <w:sz w:val="24"/>
        </w:rPr>
        <w:t>[an increase in the Commitment of [name of existing Lender]] [the addition of [name of new Lender] (the “New Lender”) as a Lender under the terms of the Credit Agreement]</w:t>
      </w:r>
      <w:r>
        <w:rPr>
          <w:rFonts w:ascii="Times New Roman;Times;serif" w:hAnsi="Times New Roman;Times;serif"/>
          <w:sz w:val="24"/>
        </w:rPr>
        <w:t>.  Capitalized terms used herein without definition shall have the same meanings herein as such terms have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 xml:space="preserve">After giving effect to such Commitment Increase, the Commitment of the </w:t>
      </w:r>
      <w:r>
        <w:rPr>
          <w:rFonts w:ascii="Times New Roman;Times;serif" w:hAnsi="Times New Roman;Times;serif"/>
          <w:b/>
          <w:sz w:val="24"/>
        </w:rPr>
        <w:t xml:space="preserve">[Lender] [New Lender] </w:t>
      </w:r>
      <w:r>
        <w:rPr>
          <w:rFonts w:ascii="Times New Roman;Times;serif" w:hAnsi="Times New Roman;Times;serif"/>
          <w:sz w:val="24"/>
        </w:rPr>
        <w:t>shall be $_____________.</w:t>
      </w:r>
    </w:p>
    <w:p>
      <w:pPr>
        <w:pStyle w:val="TextBody"/>
        <w:bidi w:val="0"/>
        <w:spacing w:before="280" w:after="0"/>
        <w:ind w:left="0" w:right="0" w:firstLine="720"/>
        <w:jc w:val="center"/>
        <w:rPr>
          <w:rFonts w:ascii="Times New Roman;Times;serif" w:hAnsi="Times New Roman;Times;serif"/>
          <w:b/>
          <w:sz w:val="24"/>
        </w:rPr>
      </w:pPr>
      <w:r>
        <w:rPr>
          <w:rFonts w:ascii="Times New Roman;Times;serif" w:hAnsi="Times New Roman;Times;serif"/>
          <w:b/>
          <w:sz w:val="24"/>
        </w:rPr>
        <w:t>[Include paragraphs 1-4 for a New Lender]</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1.The New Lender hereby confirms that it has received a copy of the Loan Documents and the exhibits related thereto, together with copies of the documents which were required to be delivered under the Credit Agreement as a condition to the making of the Term Loans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Loan Document or with respect to the legality, validity, sufficiency or enforceability of the Credit Agreement or any other Loan Document or the value of any security therefor.</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2.Except as otherwise provided in the Credit Agreement, effective as of the date of acceptance hereof by the Administrative Agent, the New Lender (i) shall be deemed automatically to have become a party to the Credit Agreement and have all the rights and obligations of a “Lender” under the Credit Agreement as if it were an original signatory thereto and (ii) agrees to be bound by the terms and conditions set forth in the Credit Agreement as if it were an original signatory thereto.</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3.The New Lender shall deliver to the Administrative Agent an Administrative Questionnaire and shall have executed an Incremental Amendment.</w:t>
      </w:r>
    </w:p>
    <w:p>
      <w:pPr>
        <w:pStyle w:val="TextBody"/>
        <w:bidi w:val="0"/>
        <w:spacing w:before="280" w:after="0"/>
        <w:ind w:left="0" w:right="0" w:hanging="0"/>
        <w:jc w:val="both"/>
        <w:rPr/>
      </w:pPr>
      <w:r>
        <w:rPr>
          <w:rFonts w:ascii="Times New Roman;Times;serif" w:hAnsi="Times New Roman;Times;serif"/>
          <w:b/>
          <w:sz w:val="24"/>
        </w:rPr>
        <w:t>[4.The New Lender has delivered, if appropriate, to the Borrower and the Administrative Agent (or is delivering to the Borrower and the Administrative Agent concurrently herewith) the tax forms referred to in [Section 12.1] of the Credit Agreement.]</w:t>
      </w:r>
      <w:hyperlink w:anchor="footnote-4">
        <w:r>
          <w:rPr>
            <w:rStyle w:val="InternetLink"/>
            <w:rFonts w:ascii="Symbol" w:hAnsi="Symbol"/>
            <w:b w:val="false"/>
            <w:sz w:val="20"/>
          </w:rPr>
          <w:t>*</w:t>
        </w:r>
      </w:hyperlink>
    </w:p>
    <w:p>
      <w:pPr>
        <w:pStyle w:val="TextBody"/>
        <w:bidi w:val="0"/>
        <w:spacing w:before="160" w:after="0"/>
        <w:ind w:left="0" w:right="0" w:firstLine="720"/>
        <w:jc w:val="both"/>
        <w:rPr>
          <w:rFonts w:ascii="Times New Roman;Times;serif" w:hAnsi="Times New Roman;Times;serif"/>
          <w:smallCaps/>
          <w:sz w:val="24"/>
        </w:rPr>
      </w:pPr>
      <w:r>
        <w:rPr>
          <w:rFonts w:ascii="Times New Roman;Times;serif" w:hAnsi="Times New Roman;Times;serif"/>
          <w:smallCaps/>
          <w:sz w:val="24"/>
        </w:rPr>
        <w:t>This Agreement shall be deemed to be a contractual obligation under, and shall be governed by and construed in accordance with, the internal laws of the state of New York.</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Commitment Increase shall be effective when the executed (x) Incremental Amendment, (y) consent of the Administrative Agent is received or otherwise in accordance with Section 1.15 of the Credit Agreement, but not in any case prior to ___________________, ____.  It shall be a condition to the effectiveness of the Commitment Increase that all expenses referred to in Section 1.15 of the Credit Agreement shall have been paid.</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Borrower hereby certifies that no Default or Event of Default has occurred and is continuing.</w:t>
      </w:r>
    </w:p>
    <w:p>
      <w:pPr>
        <w:pStyle w:val="TextBody"/>
        <w:pBdr/>
        <w:bidi w:val="0"/>
        <w:spacing w:lineRule="atLeast" w:line="240" w:before="0" w:after="240"/>
        <w:ind w:left="0" w:right="0" w:hanging="180"/>
        <w:jc w:val="both"/>
        <w:rPr>
          <w:rFonts w:ascii="Times New Roman;Times;serif" w:hAnsi="Times New Roman;Times;serif"/>
          <w:sz w:val="20"/>
        </w:rPr>
      </w:pPr>
      <w:bookmarkStart w:id="2657" w:name="footnote-4"/>
      <w:bookmarkEnd w:id="2657"/>
      <w:r>
        <w:rPr>
          <w:rFonts w:ascii="Symbol" w:hAnsi="Symbol"/>
          <w:sz w:val="20"/>
        </w:rPr>
        <w:t>*</w:t>
      </w:r>
      <w:r>
        <w:rPr>
          <w:rFonts w:ascii="Times New Roman;Times;serif" w:hAnsi="Times New Roman;Times;serif"/>
          <w:sz w:val="20"/>
        </w:rPr>
        <w:t xml:space="preserve"> Insert bracketed paragraph if New Lender is organized under the law of a jurisdiction other than the United States of America or a state thereof.</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Please indicate the Administrative Agent’s consent to such Commitment Increase by signing the enclosed copy of this letter in the space provided below.</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Very truly yours,</w:t>
      </w:r>
    </w:p>
    <w:p>
      <w:pPr>
        <w:pStyle w:val="TextBody"/>
        <w:pBdr/>
        <w:bidi w:val="0"/>
        <w:spacing w:before="0" w:after="0"/>
        <w:ind w:left="4680" w:right="0" w:hanging="230"/>
        <w:jc w:val="left"/>
        <w:rPr>
          <w:smallCaps/>
        </w:rPr>
      </w:pPr>
      <w:r>
        <w:rPr>
          <w:smallCaps/>
        </w:rPr>
        <w:t>​</w:t>
      </w:r>
    </w:p>
    <w:p>
      <w:pPr>
        <w:pStyle w:val="TextBody"/>
        <w:bidi w:val="0"/>
        <w:spacing w:before="0" w:after="0"/>
        <w:ind w:left="3960" w:right="0" w:firstLine="720"/>
        <w:jc w:val="left"/>
        <w:rPr>
          <w:rFonts w:ascii="Times New Roman;Times;serif" w:hAnsi="Times New Roman;Times;serif"/>
          <w:sz w:val="24"/>
        </w:rPr>
      </w:pPr>
      <w:r>
        <w:rPr>
          <w:rFonts w:ascii="Times New Roman;Times;serif" w:hAnsi="Times New Roman;Times;serif"/>
          <w:sz w:val="24"/>
        </w:rPr>
        <w:t>CTO Realty Growth, Inc.</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b/>
          <w:sz w:val="24"/>
        </w:rPr>
        <w:t>[</w:t>
      </w:r>
      <w:r>
        <w:rPr>
          <w:rFonts w:ascii="Times New Roman;Times;serif" w:hAnsi="Times New Roman;Times;serif"/>
          <w:b/>
          <w:smallCaps/>
          <w:sz w:val="24"/>
        </w:rPr>
        <w:t>New or existing Lender Increasing Commitments]</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0"/>
        <w:ind w:left="0" w:right="0" w:hanging="0"/>
        <w:jc w:val="left"/>
        <w:rPr/>
      </w:pPr>
      <w:r>
        <w:rPr/>
        <w:t>​</w:t>
      </w:r>
    </w:p>
    <w:p>
      <w:pPr>
        <w:pStyle w:val="TextBody"/>
        <w:bidi w:val="0"/>
        <w:spacing w:before="0" w:after="0"/>
        <w:ind w:left="0" w:right="5670" w:hanging="0"/>
        <w:jc w:val="left"/>
        <w:rPr>
          <w:rFonts w:ascii="Times New Roman;Times;serif" w:hAnsi="Times New Roman;Times;serif"/>
          <w:sz w:val="24"/>
        </w:rPr>
      </w:pPr>
      <w:r>
        <w:rPr>
          <w:rFonts w:ascii="Times New Roman;Times;serif" w:hAnsi="Times New Roman;Times;serif"/>
          <w:sz w:val="24"/>
        </w:rPr>
        <w:t>The undersigned hereby consents on this __ day of _____________, _____ to the above-requested Commitment Increase.</w:t>
      </w:r>
    </w:p>
    <w:p>
      <w:pPr>
        <w:pStyle w:val="TextBody"/>
        <w:bidi w:val="0"/>
        <w:spacing w:before="400" w:after="500"/>
        <w:ind w:left="0" w:right="0" w:hanging="0"/>
        <w:jc w:val="left"/>
        <w:rPr>
          <w:rFonts w:ascii="Times New Roman;Times;serif" w:hAnsi="Times New Roman;Times;serif"/>
          <w:sz w:val="24"/>
        </w:rPr>
      </w:pPr>
      <w:r>
        <w:rPr>
          <w:rFonts w:ascii="Times New Roman;Times;serif" w:hAnsi="Times New Roman;Times;serif"/>
          <w:smallCaps/>
          <w:sz w:val="24"/>
        </w:rPr>
        <w:t>KeyBank National Association,</w:t>
        <w:br/>
      </w:r>
      <w:r>
        <w:rPr>
          <w:rFonts w:ascii="Times New Roman;Times;serif" w:hAnsi="Times New Roman;Times;serif"/>
          <w:sz w:val="24"/>
        </w:rPr>
        <w:t>as Administrative Agent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extBody"/>
        <w:pBdr/>
        <w:bidi w:val="0"/>
        <w:spacing w:before="0" w:after="0"/>
        <w:ind w:left="0" w:right="0" w:hanging="36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I</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Borrowing Base Certificate</w:t>
      </w:r>
    </w:p>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To:</w:t>
            </w:r>
          </w:p>
        </w:tc>
        <w:tc>
          <w:tcPr>
            <w:tcW w:w="9869"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KeyBank National Association, as Administrative Agent under, and the Lenders party to, the Credit Agreement described below.</w:t>
            </w:r>
          </w:p>
        </w:tc>
      </w:tr>
    </w:tbl>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Pursuant to the terms of the Credit Agreement dated as of September 30, 2024, as amended, among us (the “Credit Agreement”), we submit this Borrowing Base Certificate to you and certify that the calculation of the Borrowing Base set forth below and on any Exhibits to this Certificate is true, correct and complete as of the Borrowing Base Determination Date.</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A.Borrowing Base Determination Date: __________________ ____, 20___.</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B.The Borrowing Base and compliance as of the Borrowing Base Determination Date is calculated as:</w:t>
      </w:r>
    </w:p>
    <w:tbl>
      <w:tblPr>
        <w:tblW w:w="10205" w:type="dxa"/>
        <w:jc w:val="left"/>
        <w:tblInd w:w="0" w:type="dxa"/>
        <w:tblLayout w:type="fixed"/>
        <w:tblCellMar>
          <w:top w:w="0" w:type="dxa"/>
          <w:left w:w="0" w:type="dxa"/>
          <w:bottom w:w="0" w:type="dxa"/>
          <w:right w:w="0" w:type="dxa"/>
        </w:tblCellMar>
      </w:tblPr>
      <w:tblGrid>
        <w:gridCol w:w="8299"/>
        <w:gridCol w:w="1906"/>
      </w:tblGrid>
      <w:tr>
        <w:trPr/>
        <w:tc>
          <w:tcPr>
            <w:tcW w:w="8299" w:type="dxa"/>
            <w:tcBorders/>
            <w:vAlign w:val="center"/>
          </w:tcPr>
          <w:p>
            <w:pPr>
              <w:pStyle w:val="TableContents"/>
              <w:pBdr/>
              <w:bidi w:val="0"/>
              <w:spacing w:before="240" w:after="140"/>
              <w:ind w:left="0" w:right="0" w:hanging="0"/>
              <w:jc w:val="left"/>
              <w:rPr/>
            </w:pPr>
            <w:r>
              <w:rPr>
                <w:rFonts w:ascii="Times New Roman;Times;serif" w:hAnsi="Times New Roman;Times;serif"/>
                <w:b w:val="false"/>
                <w:i w:val="false"/>
                <w:smallCaps/>
                <w:sz w:val="24"/>
              </w:rPr>
              <w:t>1.</w:t>
            </w:r>
            <w:r>
              <w:rPr>
                <w:rFonts w:ascii="Times New Roman;Times;serif" w:hAnsi="Times New Roman;Times;serif"/>
                <w:sz w:val="24"/>
              </w:rPr>
              <w:t>[60%][65%]</w:t>
            </w:r>
            <w:hyperlink w:anchor="footnote-5">
              <w:r>
                <w:rPr>
                  <w:rStyle w:val="InternetLink"/>
                  <w:rFonts w:ascii="Times" w:hAnsi="Times"/>
                  <w:sz w:val="20"/>
                </w:rPr>
                <w:t>3</w:t>
              </w:r>
            </w:hyperlink>
            <w:r>
              <w:rPr>
                <w:rFonts w:ascii="Times New Roman;Times;serif" w:hAnsi="Times New Roman;Times;serif"/>
                <w:sz w:val="24"/>
              </w:rPr>
              <w:t xml:space="preserve"> of the Borrowing Base Value as calculated on Exhibit A hereto</w:t>
            </w:r>
          </w:p>
        </w:tc>
        <w:tc>
          <w:tcPr>
            <w:tcW w:w="1906" w:type="dxa"/>
            <w:tcBorders/>
            <w:vAlign w:val="center"/>
          </w:tcPr>
          <w:p>
            <w:pPr>
              <w:pStyle w:val="TableContents"/>
              <w:bidi w:val="0"/>
              <w:spacing w:before="240" w:after="140"/>
              <w:ind w:left="0" w:right="0" w:hanging="0"/>
              <w:jc w:val="left"/>
              <w:rPr>
                <w:rFonts w:ascii="Times New Roman;Times;serif" w:hAnsi="Times New Roman;Times;serif"/>
                <w:sz w:val="24"/>
              </w:rPr>
            </w:pPr>
            <w:r>
              <w:rPr>
                <w:rFonts w:ascii="Times New Roman;Times;serif" w:hAnsi="Times New Roman;Times;serif"/>
                <w:sz w:val="24"/>
              </w:rPr>
              <w:t>$_________________</w:t>
            </w:r>
          </w:p>
        </w:tc>
      </w:tr>
      <w:tr>
        <w:trPr/>
        <w:tc>
          <w:tcPr>
            <w:tcW w:w="8299" w:type="dxa"/>
            <w:tcBorders/>
            <w:vAlign w:val="center"/>
          </w:tcPr>
          <w:p>
            <w:pPr>
              <w:pStyle w:val="TableContents"/>
              <w:pBdr/>
              <w:bidi w:val="0"/>
              <w:spacing w:before="0" w:after="140"/>
              <w:ind w:left="0" w:right="0" w:hanging="0"/>
              <w:jc w:val="left"/>
              <w:rPr>
                <w:rFonts w:ascii="Times New Roman;Times;serif" w:hAnsi="Times New Roman;Times;serif"/>
                <w:sz w:val="24"/>
              </w:rPr>
            </w:pPr>
            <w:r>
              <w:rPr>
                <w:rFonts w:ascii="Times New Roman;Times;serif" w:hAnsi="Times New Roman;Times;serif"/>
                <w:b w:val="false"/>
                <w:i w:val="false"/>
                <w:smallCaps/>
                <w:sz w:val="24"/>
              </w:rPr>
              <w:t>2.</w:t>
            </w:r>
            <w:r>
              <w:rPr>
                <w:rFonts w:ascii="Times New Roman;Times;serif" w:hAnsi="Times New Roman;Times;serif"/>
                <w:sz w:val="24"/>
              </w:rPr>
              <w:t>Debt Service Coverage Amount as calculated on Exhibit B hereto</w:t>
            </w:r>
          </w:p>
        </w:tc>
        <w:tc>
          <w:tcPr>
            <w:tcW w:w="1906" w:type="dxa"/>
            <w:tcBorders/>
            <w:vAlign w:val="center"/>
          </w:tcPr>
          <w:p>
            <w:pPr>
              <w:pStyle w:val="TableContents"/>
              <w:bidi w:val="0"/>
              <w:spacing w:before="0" w:after="140"/>
              <w:ind w:left="0" w:right="0" w:hanging="0"/>
              <w:jc w:val="left"/>
              <w:rPr>
                <w:rFonts w:ascii="Times New Roman;Times;serif" w:hAnsi="Times New Roman;Times;serif"/>
                <w:sz w:val="24"/>
              </w:rPr>
            </w:pPr>
            <w:r>
              <w:rPr>
                <w:rFonts w:ascii="Times New Roman;Times;serif" w:hAnsi="Times New Roman;Times;serif"/>
                <w:sz w:val="24"/>
              </w:rPr>
              <w:t>$_________________</w:t>
            </w:r>
          </w:p>
        </w:tc>
      </w:tr>
      <w:tr>
        <w:trPr/>
        <w:tc>
          <w:tcPr>
            <w:tcW w:w="8299" w:type="dxa"/>
            <w:tcBorders/>
            <w:vAlign w:val="center"/>
          </w:tcPr>
          <w:p>
            <w:pPr>
              <w:pStyle w:val="TableContents"/>
              <w:pBdr/>
              <w:bidi w:val="0"/>
              <w:spacing w:before="0" w:after="140"/>
              <w:ind w:left="0" w:right="0" w:hanging="0"/>
              <w:jc w:val="left"/>
              <w:rPr>
                <w:rFonts w:ascii="Times New Roman;Times;serif" w:hAnsi="Times New Roman;Times;serif"/>
                <w:sz w:val="24"/>
              </w:rPr>
            </w:pPr>
            <w:r>
              <w:rPr>
                <w:rFonts w:ascii="Times New Roman;Times;serif" w:hAnsi="Times New Roman;Times;serif"/>
                <w:b w:val="false"/>
                <w:i w:val="false"/>
                <w:smallCaps/>
                <w:sz w:val="24"/>
              </w:rPr>
              <w:t>3.</w:t>
            </w:r>
            <w:r>
              <w:rPr>
                <w:rFonts w:ascii="Times New Roman;Times;serif" w:hAnsi="Times New Roman;Times;serif"/>
                <w:sz w:val="24"/>
              </w:rPr>
              <w:t>The lesser of Line 1 and Line 2</w:t>
            </w:r>
          </w:p>
        </w:tc>
        <w:tc>
          <w:tcPr>
            <w:tcW w:w="1906" w:type="dxa"/>
            <w:tcBorders/>
            <w:vAlign w:val="center"/>
          </w:tcPr>
          <w:p>
            <w:pPr>
              <w:pStyle w:val="TableContents"/>
              <w:bidi w:val="0"/>
              <w:spacing w:before="0" w:after="140"/>
              <w:ind w:left="0" w:right="0" w:hanging="0"/>
              <w:jc w:val="left"/>
              <w:rPr>
                <w:rFonts w:ascii="Times New Roman;Times;serif" w:hAnsi="Times New Roman;Times;serif"/>
                <w:sz w:val="24"/>
              </w:rPr>
            </w:pPr>
            <w:r>
              <w:rPr>
                <w:rFonts w:ascii="Times New Roman;Times;serif" w:hAnsi="Times New Roman;Times;serif"/>
                <w:sz w:val="24"/>
              </w:rPr>
              <w:t>$_________________</w:t>
            </w:r>
          </w:p>
        </w:tc>
      </w:tr>
      <w:tr>
        <w:trPr/>
        <w:tc>
          <w:tcPr>
            <w:tcW w:w="8299" w:type="dxa"/>
            <w:tcBorders/>
            <w:vAlign w:val="center"/>
          </w:tcPr>
          <w:p>
            <w:pPr>
              <w:pStyle w:val="TableContents"/>
              <w:pBdr/>
              <w:bidi w:val="0"/>
              <w:spacing w:before="0" w:after="1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4.</w:t>
            </w:r>
            <w:r>
              <w:rPr>
                <w:rFonts w:ascii="Times New Roman;Times;serif" w:hAnsi="Times New Roman;Times;serif"/>
                <w:sz w:val="24"/>
              </w:rPr>
              <w:t>Other Unsecured Indebtedness (other than the Obligations and including the Convertible Senior Notes)</w:t>
            </w:r>
          </w:p>
        </w:tc>
        <w:tc>
          <w:tcPr>
            <w:tcW w:w="1906" w:type="dxa"/>
            <w:tcBorders/>
            <w:vAlign w:val="center"/>
          </w:tcPr>
          <w:p>
            <w:pPr>
              <w:pStyle w:val="TableContents"/>
              <w:bidi w:val="0"/>
              <w:spacing w:before="0" w:after="140"/>
              <w:ind w:left="0" w:right="0" w:hanging="0"/>
              <w:jc w:val="left"/>
              <w:rPr>
                <w:rFonts w:ascii="Times New Roman;Times;serif" w:hAnsi="Times New Roman;Times;serif"/>
                <w:sz w:val="24"/>
              </w:rPr>
            </w:pPr>
            <w:r>
              <w:rPr>
                <w:rFonts w:ascii="Times New Roman;Times;serif" w:hAnsi="Times New Roman;Times;serif"/>
                <w:sz w:val="24"/>
              </w:rPr>
              <w:t>$_________________</w:t>
            </w:r>
          </w:p>
        </w:tc>
      </w:tr>
      <w:tr>
        <w:trPr/>
        <w:tc>
          <w:tcPr>
            <w:tcW w:w="8299" w:type="dxa"/>
            <w:tcBorders/>
            <w:vAlign w:val="center"/>
          </w:tcPr>
          <w:p>
            <w:pPr>
              <w:pStyle w:val="TableContents"/>
              <w:pBdr/>
              <w:bidi w:val="0"/>
              <w:spacing w:before="0" w:after="1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5.</w:t>
            </w:r>
            <w:r>
              <w:rPr>
                <w:rFonts w:ascii="Times New Roman;Times;serif" w:hAnsi="Times New Roman;Times;serif"/>
                <w:sz w:val="24"/>
              </w:rPr>
              <w:t>Line 3 minus Line 4 (the “Borrowing Base”)</w:t>
            </w:r>
          </w:p>
        </w:tc>
        <w:tc>
          <w:tcPr>
            <w:tcW w:w="1906" w:type="dxa"/>
            <w:tcBorders/>
            <w:vAlign w:val="center"/>
          </w:tcPr>
          <w:p>
            <w:pPr>
              <w:pStyle w:val="TableContents"/>
              <w:bidi w:val="0"/>
              <w:spacing w:before="0" w:after="140"/>
              <w:ind w:left="0" w:right="0" w:hanging="0"/>
              <w:jc w:val="left"/>
              <w:rPr>
                <w:rFonts w:ascii="Times New Roman;Times;serif" w:hAnsi="Times New Roman;Times;serif"/>
                <w:sz w:val="24"/>
              </w:rPr>
            </w:pPr>
            <w:r>
              <w:rPr>
                <w:rFonts w:ascii="Times New Roman;Times;serif" w:hAnsi="Times New Roman;Times;serif"/>
                <w:sz w:val="24"/>
              </w:rPr>
              <w:t>$_________________</w:t>
            </w:r>
          </w:p>
        </w:tc>
      </w:tr>
      <w:tr>
        <w:trPr/>
        <w:tc>
          <w:tcPr>
            <w:tcW w:w="8299" w:type="dxa"/>
            <w:tcBorders/>
            <w:vAlign w:val="center"/>
          </w:tcPr>
          <w:p>
            <w:pPr>
              <w:pStyle w:val="TableContents"/>
              <w:pBdr/>
              <w:bidi w:val="0"/>
              <w:spacing w:before="0" w:after="1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6.</w:t>
            </w:r>
            <w:r>
              <w:rPr>
                <w:rFonts w:ascii="Times New Roman;Times;serif" w:hAnsi="Times New Roman;Times;serif"/>
                <w:sz w:val="24"/>
              </w:rPr>
              <w:t>Aggregate Obligations outstanding</w:t>
            </w:r>
          </w:p>
        </w:tc>
        <w:tc>
          <w:tcPr>
            <w:tcW w:w="1906" w:type="dxa"/>
            <w:tcBorders/>
            <w:vAlign w:val="center"/>
          </w:tcPr>
          <w:p>
            <w:pPr>
              <w:pStyle w:val="TableContents"/>
              <w:bidi w:val="0"/>
              <w:spacing w:before="0" w:after="140"/>
              <w:ind w:left="10" w:right="0" w:hanging="0"/>
              <w:jc w:val="left"/>
              <w:rPr>
                <w:rFonts w:ascii="Times New Roman;Times;serif" w:hAnsi="Times New Roman;Times;serif"/>
                <w:sz w:val="24"/>
              </w:rPr>
            </w:pPr>
            <w:r>
              <w:rPr>
                <w:rFonts w:ascii="Times New Roman;Times;serif" w:hAnsi="Times New Roman;Times;serif"/>
                <w:sz w:val="24"/>
              </w:rPr>
              <w:t>$_________________</w:t>
            </w:r>
          </w:p>
        </w:tc>
      </w:tr>
    </w:tbl>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foregoing certifications, together with the computations set forth in Schedule I hereto are made and delivered this ______ day of __________________ 20___.</w:t>
      </w:r>
    </w:p>
    <w:p>
      <w:pPr>
        <w:pStyle w:val="TextBody"/>
        <w:bidi w:val="0"/>
        <w:spacing w:before="240" w:after="0"/>
        <w:ind w:left="0" w:right="0" w:hanging="0"/>
        <w:jc w:val="left"/>
        <w:rPr/>
      </w:pPr>
      <w:r>
        <w:rPr/>
        <w:t>​</w:t>
      </w:r>
    </w:p>
    <w:p>
      <w:pPr>
        <w:pStyle w:val="TextBody"/>
        <w:bidi w:val="0"/>
        <w:spacing w:before="240" w:after="0"/>
        <w:ind w:left="0" w:right="0" w:hanging="0"/>
        <w:jc w:val="left"/>
        <w:rPr/>
      </w:pPr>
      <w:r>
        <w:rPr/>
        <w:t>​</w:t>
      </w:r>
    </w:p>
    <w:p>
      <w:pPr>
        <w:pStyle w:val="TextBody"/>
        <w:bidi w:val="0"/>
        <w:spacing w:before="240" w:after="0"/>
        <w:ind w:left="0" w:right="0" w:hanging="0"/>
        <w:jc w:val="left"/>
        <w:rPr/>
      </w:pPr>
      <w:r>
        <w:rPr/>
        <w:t>​</w:t>
      </w:r>
    </w:p>
    <w:p>
      <w:pPr>
        <w:pStyle w:val="TextBody"/>
        <w:bidi w:val="0"/>
        <w:spacing w:before="240" w:after="0"/>
        <w:ind w:left="4680" w:right="0" w:hanging="0"/>
        <w:jc w:val="left"/>
        <w:rPr>
          <w:rFonts w:ascii="Times New Roman;Times;serif" w:hAnsi="Times New Roman;Times;serif"/>
          <w:sz w:val="24"/>
        </w:rPr>
      </w:pPr>
      <w:r>
        <w:rPr>
          <w:rFonts w:ascii="Times New Roman;Times;serif" w:hAnsi="Times New Roman;Times;serif"/>
          <w:sz w:val="24"/>
        </w:rPr>
        <w:t>CTO Realty Growth, Inc.</w:t>
      </w:r>
    </w:p>
    <w:p>
      <w:pPr>
        <w:pStyle w:val="TextBody"/>
        <w:bidi w:val="0"/>
        <w:spacing w:lineRule="auto" w:line="285" w:before="0" w:after="240"/>
        <w:ind w:left="0" w:right="0" w:hanging="0"/>
        <w:jc w:val="both"/>
        <w:rPr>
          <w:rFonts w:ascii="Times New Roman;Times;serif" w:hAnsi="Times New Roman;Times;serif"/>
          <w:sz w:val="16"/>
        </w:rPr>
      </w:pPr>
      <w:bookmarkStart w:id="2658" w:name="footnote-5"/>
      <w:bookmarkEnd w:id="2658"/>
      <w:r>
        <w:rPr>
          <w:rFonts w:ascii="Times" w:hAnsi="Times"/>
          <w:sz w:val="16"/>
        </w:rPr>
        <w:t>3</w:t>
      </w:r>
      <w:r>
        <w:rPr>
          <w:rFonts w:ascii="Times New Roman;Times;serif" w:hAnsi="Times New Roman;Times;serif"/>
          <w:sz w:val="16"/>
        </w:rPr>
        <w:t xml:space="preserve"> Leverage Ratio Increase Period.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A to Borrowing Base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 xml:space="preserve">of CTO Realty Growth, Inc. </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Exhibit A is attached to the Borrowing Base Certificate of CTO Realty Growth, Inc. for the Borrowing Base Determination Date of ___________ ____, 20___ and delivered to KeyBank National Association, as Administrative Agent, and the Lenders party to the Credit Agreement dated September 30, 2024, as amended, referred to therein.  The undersigned hereby certifies that the following is a true, correct and complete calculation of Borrowing Base Value as of the Borrowing Base Determination Date set forth above:</w:t>
      </w:r>
    </w:p>
    <w:p>
      <w:pPr>
        <w:pStyle w:val="TextBody"/>
        <w:bidi w:val="0"/>
        <w:spacing w:before="280" w:after="0"/>
        <w:ind w:left="0" w:right="0" w:firstLine="720"/>
        <w:jc w:val="both"/>
        <w:rPr>
          <w:rFonts w:ascii="Times New Roman;Times;serif" w:hAnsi="Times New Roman;Times;serif"/>
          <w:b/>
          <w:sz w:val="24"/>
        </w:rPr>
      </w:pPr>
      <w:r>
        <w:rPr>
          <w:rFonts w:ascii="Times New Roman;Times;serif" w:hAnsi="Times New Roman;Times;serif"/>
          <w:b/>
          <w:sz w:val="24"/>
        </w:rPr>
        <w:t>[Insert Calculation or attach Schedule with exclusions for concentration limits]</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Borrowing Base Value of all Eligible Properties:$__________</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Borrowing Base Requirements: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26"/>
        <w:gridCol w:w="979"/>
      </w:tblGrid>
      <w:tr>
        <w:trPr/>
        <w:tc>
          <w:tcPr>
            <w:tcW w:w="922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Number of Borrowing Base Real Property Assets</w:t>
            </w:r>
          </w:p>
        </w:tc>
        <w:tc>
          <w:tcPr>
            <w:tcW w:w="979" w:type="dxa"/>
            <w:tcBorders/>
            <w:vAlign w:val="center"/>
          </w:tcPr>
          <w:p>
            <w:pPr>
              <w:pStyle w:val="TableContents"/>
              <w:bidi w:val="0"/>
              <w:spacing w:before="280" w:after="283"/>
              <w:ind w:left="0" w:right="0" w:hanging="0"/>
              <w:jc w:val="center"/>
              <w:rPr/>
            </w:pPr>
            <w:r>
              <w:rPr/>
              <w:t>​</w:t>
            </w:r>
          </w:p>
        </w:tc>
      </w:tr>
      <w:tr>
        <w:trPr/>
        <w:tc>
          <w:tcPr>
            <w:tcW w:w="922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number of Borrowing Base Real Property Assets with leaseable area of not less than 25,000 sq ft each</w:t>
            </w:r>
          </w:p>
        </w:tc>
        <w:tc>
          <w:tcPr>
            <w:tcW w:w="979"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922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A1 shall not be less than 15</w:t>
            </w:r>
          </w:p>
        </w:tc>
        <w:tc>
          <w:tcPr>
            <w:tcW w:w="979" w:type="dxa"/>
            <w:tcBorders/>
            <w:vAlign w:val="center"/>
          </w:tcPr>
          <w:p>
            <w:pPr>
              <w:pStyle w:val="TableContents"/>
              <w:bidi w:val="0"/>
              <w:spacing w:before="280" w:after="283"/>
              <w:ind w:left="0" w:right="0" w:hanging="0"/>
              <w:jc w:val="center"/>
              <w:rPr/>
            </w:pPr>
            <w:r>
              <w:rPr/>
              <w:t>​</w:t>
            </w:r>
          </w:p>
        </w:tc>
      </w:tr>
      <w:tr>
        <w:trPr/>
        <w:tc>
          <w:tcPr>
            <w:tcW w:w="922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979"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9226"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B.</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Borrowing Base Value</w:t>
            </w:r>
          </w:p>
        </w:tc>
        <w:tc>
          <w:tcPr>
            <w:tcW w:w="979" w:type="dxa"/>
            <w:tcBorders/>
            <w:vAlign w:val="center"/>
          </w:tcPr>
          <w:p>
            <w:pPr>
              <w:pStyle w:val="TableContents"/>
              <w:bidi w:val="0"/>
              <w:spacing w:before="280" w:after="283"/>
              <w:ind w:left="0" w:right="0" w:hanging="0"/>
              <w:jc w:val="center"/>
              <w:rPr/>
            </w:pPr>
            <w:r>
              <w:rPr/>
              <w:t>​</w:t>
            </w:r>
          </w:p>
        </w:tc>
      </w:tr>
      <w:tr>
        <w:trPr/>
        <w:tc>
          <w:tcPr>
            <w:tcW w:w="922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Borrowing Base Value</w:t>
            </w:r>
          </w:p>
        </w:tc>
        <w:tc>
          <w:tcPr>
            <w:tcW w:w="979"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922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B1 shall not be less than $400,000,000</w:t>
            </w:r>
          </w:p>
        </w:tc>
        <w:tc>
          <w:tcPr>
            <w:tcW w:w="979" w:type="dxa"/>
            <w:tcBorders/>
            <w:vAlign w:val="center"/>
          </w:tcPr>
          <w:p>
            <w:pPr>
              <w:pStyle w:val="TableContents"/>
              <w:bidi w:val="0"/>
              <w:spacing w:before="280" w:after="283"/>
              <w:ind w:left="0" w:right="0" w:hanging="0"/>
              <w:jc w:val="center"/>
              <w:rPr/>
            </w:pPr>
            <w:r>
              <w:rPr/>
              <w:t>​</w:t>
            </w:r>
          </w:p>
        </w:tc>
      </w:tr>
      <w:tr>
        <w:trPr/>
        <w:tc>
          <w:tcPr>
            <w:tcW w:w="922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979"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9226"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C.</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Non-Retail Properties</w:t>
            </w:r>
          </w:p>
        </w:tc>
        <w:tc>
          <w:tcPr>
            <w:tcW w:w="979" w:type="dxa"/>
            <w:tcBorders/>
            <w:vAlign w:val="center"/>
          </w:tcPr>
          <w:p>
            <w:pPr>
              <w:pStyle w:val="TableContents"/>
              <w:bidi w:val="0"/>
              <w:spacing w:before="280" w:after="0"/>
              <w:ind w:left="0" w:right="0" w:hanging="0"/>
              <w:jc w:val="center"/>
              <w:rPr/>
            </w:pPr>
            <w:r>
              <w:rPr/>
              <w:t>​</w:t>
            </w:r>
          </w:p>
        </w:tc>
      </w:tr>
      <w:tr>
        <w:trPr/>
        <w:tc>
          <w:tcPr>
            <w:tcW w:w="922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Borrowing Base Value attributable to properties that are not retail, Retail Mixed-Use Properties or office properties</w:t>
            </w:r>
          </w:p>
        </w:tc>
        <w:tc>
          <w:tcPr>
            <w:tcW w:w="979"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___________%</w:t>
            </w:r>
          </w:p>
        </w:tc>
      </w:tr>
      <w:tr>
        <w:trPr/>
        <w:tc>
          <w:tcPr>
            <w:tcW w:w="922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C1 shall not be greater than 15%</w:t>
            </w:r>
          </w:p>
        </w:tc>
        <w:tc>
          <w:tcPr>
            <w:tcW w:w="979" w:type="dxa"/>
            <w:tcBorders/>
            <w:vAlign w:val="center"/>
          </w:tcPr>
          <w:p>
            <w:pPr>
              <w:pStyle w:val="TableContents"/>
              <w:bidi w:val="0"/>
              <w:spacing w:before="280" w:after="283"/>
              <w:ind w:left="0" w:right="0" w:hanging="0"/>
              <w:jc w:val="center"/>
              <w:rPr/>
            </w:pPr>
            <w:r>
              <w:rPr/>
              <w:t>​</w:t>
            </w:r>
          </w:p>
        </w:tc>
      </w:tr>
      <w:tr>
        <w:trPr/>
        <w:tc>
          <w:tcPr>
            <w:tcW w:w="922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979"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9226"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D.</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Individual Borrowing Base Real Property Asset Value</w:t>
            </w:r>
          </w:p>
        </w:tc>
        <w:tc>
          <w:tcPr>
            <w:tcW w:w="979" w:type="dxa"/>
            <w:tcBorders/>
            <w:vAlign w:val="center"/>
          </w:tcPr>
          <w:p>
            <w:pPr>
              <w:pStyle w:val="TableContents"/>
              <w:bidi w:val="0"/>
              <w:spacing w:before="280" w:after="0"/>
              <w:ind w:left="0" w:right="0" w:hanging="0"/>
              <w:jc w:val="center"/>
              <w:rPr/>
            </w:pPr>
            <w:r>
              <w:rPr/>
              <w:t>​</w:t>
            </w:r>
          </w:p>
        </w:tc>
      </w:tr>
      <w:tr>
        <w:trPr/>
        <w:tc>
          <w:tcPr>
            <w:tcW w:w="922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The Percentage of Borrowing Base Value of each Borrowing Base Real Property Asset is set forth [above or on the attached Schedule] and the largest Borrowing Base Value or any Borrowing Base Real Property Asset is </w:t>
            </w:r>
          </w:p>
        </w:tc>
        <w:tc>
          <w:tcPr>
            <w:tcW w:w="979" w:type="dxa"/>
            <w:tcBorders/>
            <w:vAlign w:val="center"/>
          </w:tcPr>
          <w:p>
            <w:pPr>
              <w:pStyle w:val="TableContents"/>
              <w:bidi w:val="0"/>
              <w:spacing w:before="280" w:after="283"/>
              <w:ind w:left="0" w:right="0" w:hanging="0"/>
              <w:jc w:val="center"/>
              <w:rPr/>
            </w:pPr>
            <w:r>
              <w:rPr/>
              <w:t>​</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55"/>
        <w:gridCol w:w="750"/>
      </w:tblGrid>
      <w:tr>
        <w:trPr/>
        <w:tc>
          <w:tcPr>
            <w:tcW w:w="9455"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$___________ for the ___________ Borrowing Base Real Property Asset.</w:t>
            </w:r>
          </w:p>
        </w:tc>
        <w:tc>
          <w:tcPr>
            <w:tcW w:w="750" w:type="dxa"/>
            <w:tcBorders/>
            <w:vAlign w:val="center"/>
          </w:tcPr>
          <w:p>
            <w:pPr>
              <w:pStyle w:val="TableContents"/>
              <w:bidi w:val="0"/>
              <w:spacing w:before="0" w:after="283"/>
              <w:ind w:left="0" w:right="0" w:hanging="0"/>
              <w:jc w:val="left"/>
              <w:rPr>
                <w:sz w:val="4"/>
                <w:szCs w:val="4"/>
              </w:rPr>
            </w:pPr>
            <w:r>
              <w:rPr>
                <w:sz w:val="4"/>
                <w:szCs w:val="4"/>
              </w:rPr>
            </w:r>
          </w:p>
        </w:tc>
      </w:tr>
      <w:tr>
        <w:trPr/>
        <w:tc>
          <w:tcPr>
            <w:tcW w:w="945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No Borrowing Base Real Property Asset comprises more than 20% of Borrowing Base Value</w:t>
            </w:r>
          </w:p>
        </w:tc>
        <w:tc>
          <w:tcPr>
            <w:tcW w:w="750" w:type="dxa"/>
            <w:tcBorders/>
            <w:vAlign w:val="center"/>
          </w:tcPr>
          <w:p>
            <w:pPr>
              <w:pStyle w:val="TableContents"/>
              <w:bidi w:val="0"/>
              <w:spacing w:before="280" w:after="283"/>
              <w:ind w:left="0" w:right="0" w:hanging="0"/>
              <w:jc w:val="center"/>
              <w:rPr/>
            </w:pPr>
            <w:r>
              <w:rPr/>
              <w:t>​</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50" w:type="dxa"/>
            <w:tcBorders/>
            <w:vAlign w:val="center"/>
          </w:tcPr>
          <w:p>
            <w:pPr>
              <w:pStyle w:val="TableContents"/>
              <w:bidi w:val="0"/>
              <w:spacing w:before="140" w:after="0"/>
              <w:ind w:left="0" w:right="0" w:hanging="0"/>
              <w:jc w:val="center"/>
              <w:rPr/>
            </w:pPr>
            <w:r>
              <w:rPr>
                <w:rFonts w:ascii="Times New Roman;Times;serif" w:hAnsi="Times New Roman;Times;serif"/>
                <w:sz w:val="24"/>
              </w:rPr>
              <w:t>yes/no</w:t>
            </w:r>
            <w:hyperlink w:anchor="footnote-6">
              <w:r>
                <w:rPr>
                  <w:rStyle w:val="InternetLink"/>
                  <w:rFonts w:ascii="Times" w:hAnsi="Times"/>
                  <w:sz w:val="20"/>
                </w:rPr>
                <w:t>4</w:t>
              </w:r>
            </w:hyperlink>
          </w:p>
        </w:tc>
      </w:tr>
      <w:tr>
        <w:trPr/>
        <w:tc>
          <w:tcPr>
            <w:tcW w:w="9455" w:type="dxa"/>
            <w:tcBorders/>
            <w:vAlign w:val="center"/>
          </w:tcPr>
          <w:p>
            <w:pPr>
              <w:pStyle w:val="TableContents"/>
              <w:bidi w:val="0"/>
              <w:spacing w:before="280" w:after="0"/>
              <w:jc w:val="left"/>
              <w:rPr>
                <w:rFonts w:ascii="Times New Roman;Times;serif" w:hAnsi="Times New Roman;Times;serif"/>
                <w:sz w:val="24"/>
              </w:rPr>
            </w:pPr>
            <w:bookmarkStart w:id="2659" w:name="_Hlk23764177"/>
            <w:bookmarkEnd w:id="2659"/>
            <w:r>
              <w:rPr>
                <w:rFonts w:ascii="Times New Roman;Times;serif" w:hAnsi="Times New Roman;Times;serif"/>
                <w:sz w:val="24"/>
              </w:rPr>
              <w:t>E.</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Occupancy Rate</w:t>
            </w:r>
          </w:p>
        </w:tc>
        <w:tc>
          <w:tcPr>
            <w:tcW w:w="750" w:type="dxa"/>
            <w:tcBorders/>
            <w:vAlign w:val="center"/>
          </w:tcPr>
          <w:p>
            <w:pPr>
              <w:pStyle w:val="TableContents"/>
              <w:pBdr/>
              <w:bidi w:val="0"/>
              <w:spacing w:before="280" w:after="0"/>
              <w:ind w:left="0" w:right="0" w:hanging="0"/>
              <w:jc w:val="left"/>
              <w:rPr/>
            </w:pPr>
            <w:r>
              <w:rPr/>
              <w:t>​</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Weighted average Occupancy Rate of Borrowing Base Real Property Assets</w:t>
            </w:r>
          </w:p>
        </w:tc>
        <w:tc>
          <w:tcPr>
            <w:tcW w:w="75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E1 shall not be less than 85%</w:t>
            </w:r>
          </w:p>
        </w:tc>
        <w:tc>
          <w:tcPr>
            <w:tcW w:w="750" w:type="dxa"/>
            <w:tcBorders/>
            <w:vAlign w:val="center"/>
          </w:tcPr>
          <w:p>
            <w:pPr>
              <w:pStyle w:val="TableContents"/>
              <w:bidi w:val="0"/>
              <w:spacing w:before="280" w:after="283"/>
              <w:ind w:left="0" w:right="0" w:hanging="0"/>
              <w:jc w:val="center"/>
              <w:rPr/>
            </w:pPr>
            <w:r>
              <w:rPr/>
              <w:t>​</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5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945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F.</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MSA</w:t>
            </w:r>
          </w:p>
        </w:tc>
        <w:tc>
          <w:tcPr>
            <w:tcW w:w="750" w:type="dxa"/>
            <w:tcBorders/>
            <w:vAlign w:val="center"/>
          </w:tcPr>
          <w:p>
            <w:pPr>
              <w:pStyle w:val="TableContents"/>
              <w:pBdr/>
              <w:bidi w:val="0"/>
              <w:spacing w:before="280" w:after="0"/>
              <w:ind w:left="0" w:right="0" w:hanging="0"/>
              <w:jc w:val="left"/>
              <w:rPr/>
            </w:pPr>
            <w:r>
              <w:rPr/>
              <w:t>​</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Percentage of the Borrowing Base Value comprised of Borrowing Base Real Property Assets located in the same MSA</w:t>
            </w:r>
          </w:p>
        </w:tc>
        <w:tc>
          <w:tcPr>
            <w:tcW w:w="75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pPr>
            <w:r>
              <w:rPr>
                <w:rFonts w:ascii="Times New Roman;Times;serif" w:hAnsi="Times New Roman;Times;serif"/>
                <w:sz w:val="24"/>
              </w:rPr>
              <w:t>Line F1 shall be not greater than [40%][35%]</w:t>
            </w:r>
            <w:hyperlink w:anchor="footnote-7">
              <w:r>
                <w:rPr>
                  <w:rStyle w:val="InternetLink"/>
                  <w:rFonts w:ascii="Times" w:hAnsi="Times"/>
                  <w:sz w:val="20"/>
                </w:rPr>
                <w:t>5</w:t>
              </w:r>
            </w:hyperlink>
          </w:p>
        </w:tc>
        <w:tc>
          <w:tcPr>
            <w:tcW w:w="750" w:type="dxa"/>
            <w:tcBorders/>
            <w:vAlign w:val="center"/>
          </w:tcPr>
          <w:p>
            <w:pPr>
              <w:pStyle w:val="TableContents"/>
              <w:bidi w:val="0"/>
              <w:spacing w:before="280" w:after="283"/>
              <w:ind w:left="0" w:right="0" w:hanging="0"/>
              <w:jc w:val="center"/>
              <w:rPr/>
            </w:pPr>
            <w:r>
              <w:rPr/>
              <w:t>​</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5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945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G.</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Non-Major MSA</w:t>
            </w:r>
          </w:p>
        </w:tc>
        <w:tc>
          <w:tcPr>
            <w:tcW w:w="750" w:type="dxa"/>
            <w:tcBorders/>
            <w:vAlign w:val="center"/>
          </w:tcPr>
          <w:p>
            <w:pPr>
              <w:pStyle w:val="TableContents"/>
              <w:pBdr/>
              <w:bidi w:val="0"/>
              <w:spacing w:before="280" w:after="0"/>
              <w:ind w:left="0" w:right="0" w:hanging="0"/>
              <w:jc w:val="left"/>
              <w:rPr/>
            </w:pPr>
            <w:r>
              <w:rPr/>
              <w:t>​</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Percentage of the Borrowing Base Value comprised of Borrowing Base Real Property Assets located in the same Non-Major Target MSA</w:t>
            </w:r>
          </w:p>
        </w:tc>
        <w:tc>
          <w:tcPr>
            <w:tcW w:w="75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G1 shall be not greater than 25%</w:t>
            </w:r>
          </w:p>
        </w:tc>
        <w:tc>
          <w:tcPr>
            <w:tcW w:w="750" w:type="dxa"/>
            <w:tcBorders/>
            <w:vAlign w:val="center"/>
          </w:tcPr>
          <w:p>
            <w:pPr>
              <w:pStyle w:val="TableContents"/>
              <w:bidi w:val="0"/>
              <w:spacing w:before="280" w:after="283"/>
              <w:ind w:left="0" w:right="0" w:hanging="0"/>
              <w:jc w:val="center"/>
              <w:rPr/>
            </w:pPr>
            <w:r>
              <w:rPr/>
              <w:t>​</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5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945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H.</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Leasehold Interests</w:t>
            </w:r>
          </w:p>
        </w:tc>
        <w:tc>
          <w:tcPr>
            <w:tcW w:w="750" w:type="dxa"/>
            <w:tcBorders/>
            <w:vAlign w:val="center"/>
          </w:tcPr>
          <w:p>
            <w:pPr>
              <w:pStyle w:val="TableContents"/>
              <w:pBdr/>
              <w:bidi w:val="0"/>
              <w:spacing w:before="280" w:after="0"/>
              <w:ind w:left="0" w:right="0" w:hanging="0"/>
              <w:jc w:val="left"/>
              <w:rPr/>
            </w:pPr>
            <w:r>
              <w:rPr/>
              <w:t>​</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Percentage of the Borrowing Base Value attributable to Borrowing Base Real Property Assets constituting Eligible Leasehold Assets</w:t>
            </w:r>
          </w:p>
        </w:tc>
        <w:tc>
          <w:tcPr>
            <w:tcW w:w="75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H1 shall be not greater than 15%</w:t>
            </w:r>
          </w:p>
        </w:tc>
        <w:tc>
          <w:tcPr>
            <w:tcW w:w="750" w:type="dxa"/>
            <w:tcBorders/>
            <w:vAlign w:val="center"/>
          </w:tcPr>
          <w:p>
            <w:pPr>
              <w:pStyle w:val="TableContents"/>
              <w:bidi w:val="0"/>
              <w:spacing w:before="280" w:after="283"/>
              <w:ind w:left="0" w:right="0" w:hanging="0"/>
              <w:jc w:val="center"/>
              <w:rPr/>
            </w:pPr>
            <w:r>
              <w:rPr/>
              <w:t>​</w:t>
            </w:r>
          </w:p>
        </w:tc>
      </w:tr>
      <w:tr>
        <w:trPr/>
        <w:tc>
          <w:tcPr>
            <w:tcW w:w="945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5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bl>
    <w:p>
      <w:pPr>
        <w:pStyle w:val="TextBody"/>
        <w:bidi w:val="0"/>
        <w:spacing w:lineRule="atLeast" w:line="240" w:before="0" w:after="240"/>
        <w:ind w:left="0" w:right="0" w:hanging="0"/>
        <w:jc w:val="both"/>
        <w:rPr>
          <w:rFonts w:ascii="Times New Roman;Times;serif" w:hAnsi="Times New Roman;Times;serif"/>
          <w:sz w:val="20"/>
        </w:rPr>
      </w:pPr>
      <w:bookmarkStart w:id="2660" w:name="footnote-6"/>
      <w:bookmarkEnd w:id="2660"/>
      <w:r>
        <w:rPr>
          <w:rFonts w:ascii="Times" w:hAnsi="Times"/>
          <w:sz w:val="20"/>
        </w:rPr>
        <w:t>4</w:t>
      </w:r>
      <w:r>
        <w:rPr>
          <w:rFonts w:ascii="Times New Roman;Times;serif" w:hAnsi="Times New Roman;Times;serif"/>
          <w:sz w:val="20"/>
        </w:rPr>
        <w:t xml:space="preserve"> If applicable, the calculation of Borrowing Base Value includes an adjustment to exclude that portion of the Property NOI or book value of any Eligible Properties attributable to any Eligible Properties to the extent it exceeds the 20% concentration limit.</w:t>
      </w:r>
    </w:p>
    <w:p>
      <w:pPr>
        <w:pStyle w:val="TextBody"/>
        <w:pBdr/>
        <w:bidi w:val="0"/>
        <w:spacing w:lineRule="atLeast" w:line="240" w:before="0" w:after="240"/>
        <w:ind w:left="0" w:right="0" w:hanging="720"/>
        <w:jc w:val="both"/>
        <w:rPr>
          <w:rFonts w:ascii="Times New Roman;Times;serif" w:hAnsi="Times New Roman;Times;serif"/>
          <w:sz w:val="20"/>
        </w:rPr>
      </w:pPr>
      <w:bookmarkStart w:id="2661" w:name="footnote-7"/>
      <w:bookmarkEnd w:id="2661"/>
      <w:r>
        <w:rPr>
          <w:rFonts w:ascii="Times" w:hAnsi="Times"/>
          <w:sz w:val="20"/>
        </w:rPr>
        <w:t>5</w:t>
      </w:r>
      <w:r>
        <w:rPr>
          <w:rFonts w:ascii="Times New Roman;Times;serif" w:hAnsi="Times New Roman;Times;serif"/>
          <w:sz w:val="20"/>
        </w:rPr>
        <w:t xml:space="preserve"> 40% limit reduces to 35% as of September 30, 2025</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pBdr/>
              <w:bidi w:val="0"/>
              <w:spacing w:before="140" w:after="0"/>
              <w:ind w:left="0" w:right="0" w:hanging="0"/>
              <w:jc w:val="left"/>
              <w:rPr/>
            </w:pPr>
            <w:r>
              <w:rPr/>
              <w:t>​</w:t>
            </w:r>
          </w:p>
        </w:tc>
        <w:tc>
          <w:tcPr>
            <w:tcW w:w="154" w:type="dxa"/>
            <w:tcBorders/>
            <w:vAlign w:val="center"/>
          </w:tcPr>
          <w:p>
            <w:pPr>
              <w:pStyle w:val="TableContents"/>
              <w:bidi w:val="0"/>
              <w:spacing w:before="280" w:after="283"/>
              <w:ind w:left="0" w:right="0" w:hanging="0"/>
              <w:jc w:val="center"/>
              <w:rPr/>
            </w:pPr>
            <w:r>
              <w:rPr/>
              <w:t>​</w:t>
            </w:r>
          </w:p>
        </w:tc>
      </w:tr>
    </w:tbl>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9515"/>
        <w:gridCol w:w="690"/>
      </w:tblGrid>
      <w:tr>
        <w:trPr/>
        <w:tc>
          <w:tcPr>
            <w:tcW w:w="9515"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I.</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Mortgage Receivables and PINE Common Equity</w:t>
            </w:r>
          </w:p>
        </w:tc>
        <w:tc>
          <w:tcPr>
            <w:tcW w:w="690" w:type="dxa"/>
            <w:tcBorders/>
            <w:vAlign w:val="center"/>
          </w:tcPr>
          <w:p>
            <w:pPr>
              <w:pStyle w:val="TableContents"/>
              <w:pBdr/>
              <w:bidi w:val="0"/>
              <w:spacing w:before="280" w:after="0"/>
              <w:ind w:left="0" w:right="0" w:hanging="0"/>
              <w:jc w:val="left"/>
              <w:rPr/>
            </w:pPr>
            <w:r>
              <w:rPr/>
              <w:t>​</w:t>
            </w:r>
          </w:p>
        </w:tc>
      </w:tr>
      <w:tr>
        <w:trPr/>
        <w:tc>
          <w:tcPr>
            <w:tcW w:w="951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Percentage of the Borrowing Base Value attributable to Borrowing Base Mortgage Receivables and Borrowing Base PINE Common Equity</w:t>
            </w:r>
          </w:p>
        </w:tc>
        <w:tc>
          <w:tcPr>
            <w:tcW w:w="69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w:t>
            </w:r>
          </w:p>
        </w:tc>
      </w:tr>
      <w:tr>
        <w:trPr/>
        <w:tc>
          <w:tcPr>
            <w:tcW w:w="951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I1 shall be not greater than 10%</w:t>
            </w:r>
          </w:p>
        </w:tc>
        <w:tc>
          <w:tcPr>
            <w:tcW w:w="690" w:type="dxa"/>
            <w:tcBorders/>
            <w:vAlign w:val="center"/>
          </w:tcPr>
          <w:p>
            <w:pPr>
              <w:pStyle w:val="TableContents"/>
              <w:bidi w:val="0"/>
              <w:spacing w:before="280" w:after="283"/>
              <w:ind w:left="0" w:right="0" w:hanging="0"/>
              <w:jc w:val="center"/>
              <w:rPr/>
            </w:pPr>
            <w:r>
              <w:rPr/>
              <w:t>​</w:t>
            </w:r>
          </w:p>
        </w:tc>
      </w:tr>
      <w:tr>
        <w:trPr/>
        <w:tc>
          <w:tcPr>
            <w:tcW w:w="951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9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r>
        <w:trPr/>
        <w:tc>
          <w:tcPr>
            <w:tcW w:w="9515"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J.</w:t>
            </w:r>
            <w:r>
              <w:rPr>
                <w:rFonts w:ascii="Times New Roman;Times;serif" w:hAnsi="Times New Roman;Times;serif"/>
                <w:sz w:val="24"/>
                <w:u w:val="single"/>
              </w:rPr>
              <w:t>PINE Common Equity</w:t>
            </w:r>
          </w:p>
        </w:tc>
        <w:tc>
          <w:tcPr>
            <w:tcW w:w="690" w:type="dxa"/>
            <w:tcBorders/>
            <w:vAlign w:val="center"/>
          </w:tcPr>
          <w:p>
            <w:pPr>
              <w:pStyle w:val="TableContents"/>
              <w:pBdr/>
              <w:bidi w:val="0"/>
              <w:spacing w:before="280" w:after="0"/>
              <w:ind w:left="0" w:right="0" w:hanging="0"/>
              <w:jc w:val="left"/>
              <w:rPr/>
            </w:pPr>
            <w:r>
              <w:rPr/>
              <w:t>​</w:t>
            </w:r>
          </w:p>
        </w:tc>
      </w:tr>
      <w:tr>
        <w:trPr/>
        <w:tc>
          <w:tcPr>
            <w:tcW w:w="951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Percentage of the Borrowing Base Value attributable to Borrowing Base PINE Common Equity</w:t>
            </w:r>
          </w:p>
        </w:tc>
        <w:tc>
          <w:tcPr>
            <w:tcW w:w="69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__%</w:t>
            </w:r>
          </w:p>
        </w:tc>
      </w:tr>
      <w:tr>
        <w:trPr/>
        <w:tc>
          <w:tcPr>
            <w:tcW w:w="951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J1 shall be not greater than 5%</w:t>
            </w:r>
          </w:p>
        </w:tc>
        <w:tc>
          <w:tcPr>
            <w:tcW w:w="690" w:type="dxa"/>
            <w:tcBorders/>
            <w:vAlign w:val="center"/>
          </w:tcPr>
          <w:p>
            <w:pPr>
              <w:pStyle w:val="TableContents"/>
              <w:bidi w:val="0"/>
              <w:spacing w:before="280" w:after="283"/>
              <w:ind w:left="0" w:right="0" w:hanging="0"/>
              <w:jc w:val="center"/>
              <w:rPr/>
            </w:pPr>
            <w:r>
              <w:rPr/>
              <w:t>​</w:t>
            </w:r>
          </w:p>
        </w:tc>
      </w:tr>
      <w:tr>
        <w:trPr/>
        <w:tc>
          <w:tcPr>
            <w:tcW w:w="951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90" w:type="dxa"/>
            <w:tcBorders/>
            <w:vAlign w:val="center"/>
          </w:tcPr>
          <w:p>
            <w:pPr>
              <w:pStyle w:val="TableContents"/>
              <w:bidi w:val="0"/>
              <w:spacing w:before="140" w:after="0"/>
              <w:ind w:left="0" w:right="0" w:hanging="0"/>
              <w:jc w:val="center"/>
              <w:rPr>
                <w:rFonts w:ascii="Times New Roman;Times;serif" w:hAnsi="Times New Roman;Times;serif"/>
                <w:sz w:val="24"/>
              </w:rPr>
            </w:pPr>
            <w:r>
              <w:rPr>
                <w:rFonts w:ascii="Times New Roman;Times;serif" w:hAnsi="Times New Roman;Times;serif"/>
                <w:sz w:val="24"/>
              </w:rPr>
              <w:t>yes/no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B to Borrowing Base Certificate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CTO Realty Growth, Inc.</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Exhibit B is attached to the Borrowing Base Certificate of CTO Realty Growth, Inc. for the Borrowing Base Determination Date of __________ ___, 20__ and delivered to KeyBank National Association, as Administrative Agent, and the Lenders party to the Credit Agreement dated September 30, 2024, as amended, referred to therein.  The undersigned hereby certifies that the following is a true, correct and complete calculation of Debt Service Coverage Amount as of the Borrowing Base Determination Date set forth above:</w:t>
      </w:r>
    </w:p>
    <w:p>
      <w:pPr>
        <w:pStyle w:val="TextBody"/>
        <w:bidi w:val="0"/>
        <w:spacing w:before="0" w:after="0"/>
        <w:ind w:left="0" w:right="0" w:hanging="0"/>
        <w:jc w:val="left"/>
        <w:rPr>
          <w:smallCaps/>
        </w:rPr>
      </w:pPr>
      <w:r>
        <w:rPr>
          <w:smallCaps/>
        </w:rPr>
        <w:t>​</w:t>
      </w:r>
    </w:p>
    <w:tbl>
      <w:tblPr>
        <w:tblW w:w="6692" w:type="dxa"/>
        <w:jc w:val="left"/>
        <w:tblInd w:w="0" w:type="dxa"/>
        <w:tblLayout w:type="fixed"/>
        <w:tblCellMar>
          <w:top w:w="28" w:type="dxa"/>
          <w:left w:w="103" w:type="dxa"/>
          <w:bottom w:w="28" w:type="dxa"/>
          <w:right w:w="103" w:type="dxa"/>
        </w:tblCellMar>
      </w:tblPr>
      <w:tblGrid>
        <w:gridCol w:w="1816"/>
        <w:gridCol w:w="4876"/>
      </w:tblGrid>
      <w:tr>
        <w:trPr/>
        <w:tc>
          <w:tcPr>
            <w:tcW w:w="18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24"/>
                <w:u w:val="single"/>
              </w:rPr>
            </w:pPr>
            <w:r>
              <w:rPr>
                <w:rFonts w:ascii="Times New Roman;Times;serif" w:hAnsi="Times New Roman;Times;serif"/>
                <w:smallCaps/>
                <w:sz w:val="24"/>
                <w:u w:val="single"/>
              </w:rPr>
              <w:t>Eligible Assets</w:t>
            </w:r>
          </w:p>
        </w:tc>
        <w:tc>
          <w:tcPr>
            <w:tcW w:w="48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24"/>
                <w:u w:val="single"/>
              </w:rPr>
            </w:pPr>
            <w:r>
              <w:rPr>
                <w:rFonts w:ascii="Times New Roman;Times;serif" w:hAnsi="Times New Roman;Times;serif"/>
                <w:smallCaps/>
                <w:sz w:val="24"/>
                <w:u w:val="single"/>
              </w:rPr>
              <w:t>Debt Service Coverage Amount</w:t>
            </w:r>
          </w:p>
          <w:p>
            <w:pPr>
              <w:pStyle w:val="TableContents"/>
              <w:bidi w:val="0"/>
              <w:spacing w:before="0" w:after="0"/>
              <w:ind w:left="0" w:right="0" w:hanging="0"/>
              <w:jc w:val="left"/>
              <w:rPr>
                <w:rFonts w:ascii="Times New Roman;Times;serif" w:hAnsi="Times New Roman;Times;serif"/>
                <w:smallCaps/>
                <w:sz w:val="24"/>
                <w:u w:val="single"/>
              </w:rPr>
            </w:pPr>
            <w:r>
              <w:rPr>
                <w:rFonts w:ascii="Times New Roman;Times;serif" w:hAnsi="Times New Roman;Times;serif"/>
                <w:smallCaps/>
                <w:sz w:val="24"/>
                <w:u w:val="single"/>
              </w:rPr>
              <w:t>as Calculated on Annex I to this Exhibit B</w:t>
            </w:r>
          </w:p>
        </w:tc>
      </w:tr>
      <w:tr>
        <w:trPr/>
        <w:tc>
          <w:tcPr>
            <w:tcW w:w="18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48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$__________</w:t>
            </w:r>
          </w:p>
        </w:tc>
      </w:tr>
      <w:tr>
        <w:trPr/>
        <w:tc>
          <w:tcPr>
            <w:tcW w:w="18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48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$__________</w:t>
            </w:r>
          </w:p>
        </w:tc>
      </w:tr>
      <w:tr>
        <w:trPr/>
        <w:tc>
          <w:tcPr>
            <w:tcW w:w="18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48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$__________</w:t>
            </w:r>
          </w:p>
        </w:tc>
      </w:tr>
      <w:tr>
        <w:trPr/>
        <w:tc>
          <w:tcPr>
            <w:tcW w:w="18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48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$__________</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Total Debt Service Coverage Amount of all Eligible Assets:$__________</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Annex I to Exhibit B to Borrowing Base Certificate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CTO Realty Growth, Inc.</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sz w:val="24"/>
        </w:rPr>
        <w:t>[The Borrower to Insert Calculation of Debt Service Coverage Amount for each Eligible Asset with concentration limit exclusions]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4"/>
        </w:rPr>
      </w:pPr>
      <w:bookmarkStart w:id="2662" w:name="_Hlk207368188"/>
      <w:bookmarkEnd w:id="2662"/>
      <w:r>
        <w:rPr>
          <w:rFonts w:ascii="Times New Roman;Times;serif" w:hAnsi="Times New Roman;Times;serif"/>
          <w:b/>
          <w:sz w:val="24"/>
        </w:rPr>
        <w:t>Schedule</w:t>
      </w:r>
      <w:r>
        <w:rPr>
          <w:rFonts w:ascii="Times New Roman;Times;serif" w:hAnsi="Times New Roman;Times;serif"/>
          <w:sz w:val="24"/>
        </w:rPr>
        <w:t xml:space="preserve"> </w:t>
      </w:r>
      <w:r>
        <w:rPr>
          <w:rFonts w:ascii="Times New Roman;Times;serif" w:hAnsi="Times New Roman;Times;serif"/>
          <w:b/>
          <w:sz w:val="24"/>
        </w:rPr>
        <w:t>I</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b/>
          <w:sz w:val="24"/>
        </w:rPr>
        <w:t>Commitments</w:t>
      </w:r>
      <w:bookmarkStart w:id="2663" w:name="_cp_change_521"/>
      <w:bookmarkEnd w:id="2663"/>
      <w:r>
        <w:rPr>
          <w:rFonts w:ascii="Times New Roman;Times;serif" w:hAnsi="Times New Roman;Times;serif"/>
          <w:color w:val="0000FF"/>
          <w:sz w:val="24"/>
        </w:rPr>
        <w:t xml:space="preserve"> </w:t>
      </w:r>
      <w:r>
        <w:rPr>
          <w:rFonts w:ascii="Times New Roman;Times;serif" w:hAnsi="Times New Roman;Times;serif"/>
          <w:b/>
          <w:color w:val="0000FF"/>
          <w:sz w:val="24"/>
        </w:rPr>
        <w:t>and Applicable Percentages</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 xml:space="preserve">as of </w:t>
      </w:r>
      <w:bookmarkStart w:id="2664" w:name="_cp_change_522"/>
      <w:bookmarkEnd w:id="2664"/>
      <w:r>
        <w:rPr>
          <w:rFonts w:ascii="Times New Roman;Times;serif" w:hAnsi="Times New Roman;Times;serif"/>
          <w:b/>
          <w:smallCaps/>
          <w:color w:val="FF0000"/>
          <w:sz w:val="24"/>
        </w:rPr>
        <w:t>Closing</w:t>
      </w:r>
      <w:bookmarkStart w:id="2665" w:name="_cp_change_523"/>
      <w:bookmarkEnd w:id="2665"/>
      <w:r>
        <w:rPr>
          <w:rFonts w:ascii="Times New Roman;Times;serif" w:hAnsi="Times New Roman;Times;serif"/>
          <w:b/>
          <w:smallCaps/>
          <w:color w:val="0000FF"/>
          <w:sz w:val="24"/>
        </w:rPr>
        <w:t>Second Amendment Effective</w:t>
      </w:r>
      <w:r>
        <w:rPr>
          <w:rFonts w:ascii="Times New Roman;Times;serif" w:hAnsi="Times New Roman;Times;serif"/>
          <w:b/>
          <w:smallCaps/>
          <w:sz w:val="24"/>
        </w:rPr>
        <w:t xml:space="preserve"> Date</w:t>
      </w:r>
    </w:p>
    <w:p>
      <w:pPr>
        <w:pStyle w:val="TextBody"/>
        <w:bidi w:val="0"/>
        <w:spacing w:before="0" w:after="0"/>
        <w:ind w:left="0" w:right="0" w:hanging="0"/>
        <w:jc w:val="left"/>
        <w:rPr/>
      </w:pPr>
      <w:r>
        <w:rPr/>
        <w:t>​</w:t>
      </w:r>
    </w:p>
    <w:tbl>
      <w:tblPr>
        <w:tblW w:w="10205" w:type="dxa"/>
        <w:jc w:val="center"/>
        <w:tblInd w:w="0" w:type="dxa"/>
        <w:tblLayout w:type="fixed"/>
        <w:tblCellMar>
          <w:top w:w="28" w:type="dxa"/>
          <w:left w:w="75" w:type="dxa"/>
          <w:bottom w:w="28" w:type="dxa"/>
          <w:right w:w="75" w:type="dxa"/>
        </w:tblCellMar>
      </w:tblPr>
      <w:tblGrid>
        <w:gridCol w:w="1487"/>
        <w:gridCol w:w="1766"/>
        <w:gridCol w:w="2133"/>
        <w:gridCol w:w="2640"/>
        <w:gridCol w:w="2179"/>
      </w:tblGrid>
      <w:tr>
        <w:trPr/>
        <w:tc>
          <w:tcPr>
            <w:tcW w:w="148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40" w:after="120"/>
              <w:ind w:left="0" w:right="0" w:hanging="0"/>
              <w:jc w:val="center"/>
              <w:rPr>
                <w:rFonts w:ascii="Times New Roman;Times;serif" w:hAnsi="Times New Roman;Times;serif"/>
                <w:b/>
                <w:smallCaps/>
                <w:sz w:val="24"/>
              </w:rPr>
            </w:pPr>
            <w:r>
              <w:rPr>
                <w:rFonts w:ascii="Times New Roman;Times;serif" w:hAnsi="Times New Roman;Times;serif"/>
                <w:b/>
                <w:smallCaps/>
                <w:sz w:val="24"/>
              </w:rPr>
              <w:t>Name of Lender</w:t>
            </w:r>
          </w:p>
        </w:tc>
        <w:tc>
          <w:tcPr>
            <w:tcW w:w="1766"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240" w:after="120"/>
              <w:ind w:left="0" w:right="0" w:hanging="0"/>
              <w:jc w:val="center"/>
              <w:rPr>
                <w:rFonts w:ascii="Times New Roman;Times;serif" w:hAnsi="Times New Roman;Times;serif"/>
                <w:b/>
                <w:smallCaps/>
                <w:color w:val="0000FF"/>
                <w:sz w:val="24"/>
              </w:rPr>
            </w:pPr>
            <w:bookmarkStart w:id="2666" w:name="_cp_change_526"/>
            <w:bookmarkEnd w:id="2666"/>
            <w:r>
              <w:rPr>
                <w:rFonts w:ascii="Times New Roman;Times;serif" w:hAnsi="Times New Roman;Times;serif"/>
                <w:b/>
                <w:smallCaps/>
                <w:color w:val="0000FF"/>
                <w:sz w:val="24"/>
              </w:rPr>
              <w:t>2029 Term Loan Commitment</w:t>
            </w:r>
          </w:p>
        </w:tc>
        <w:tc>
          <w:tcPr>
            <w:tcW w:w="2133"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240" w:after="120"/>
              <w:ind w:left="0" w:right="0" w:hanging="0"/>
              <w:jc w:val="center"/>
              <w:rPr>
                <w:rFonts w:ascii="Times New Roman;Times;serif" w:hAnsi="Times New Roman;Times;serif"/>
                <w:b/>
                <w:smallCaps/>
                <w:color w:val="0000FF"/>
                <w:sz w:val="24"/>
              </w:rPr>
            </w:pPr>
            <w:bookmarkStart w:id="2667" w:name="_cp_change_529"/>
            <w:bookmarkEnd w:id="2667"/>
            <w:r>
              <w:rPr>
                <w:rFonts w:ascii="Times New Roman;Times;serif" w:hAnsi="Times New Roman;Times;serif"/>
                <w:b/>
                <w:smallCaps/>
                <w:color w:val="0000FF"/>
                <w:sz w:val="24"/>
              </w:rPr>
              <w:t>2029 Term Loan Commitment Percentage</w:t>
            </w:r>
          </w:p>
        </w:tc>
        <w:tc>
          <w:tcPr>
            <w:tcW w:w="26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40" w:after="120"/>
              <w:ind w:left="0" w:right="0" w:hanging="0"/>
              <w:jc w:val="center"/>
              <w:rPr>
                <w:rFonts w:ascii="Times New Roman;Times;serif" w:hAnsi="Times New Roman;Times;serif"/>
                <w:sz w:val="24"/>
              </w:rPr>
            </w:pPr>
            <w:bookmarkStart w:id="2668" w:name="_cp_change_530"/>
            <w:bookmarkEnd w:id="2668"/>
            <w:r>
              <w:rPr>
                <w:rFonts w:ascii="Times New Roman;Times;serif" w:hAnsi="Times New Roman;Times;serif"/>
                <w:b/>
                <w:smallCaps/>
                <w:color w:val="FF0000"/>
                <w:sz w:val="24"/>
              </w:rPr>
              <w:t>2029</w:t>
            </w:r>
            <w:bookmarkStart w:id="2669" w:name="_cp_change_531"/>
            <w:bookmarkEnd w:id="2669"/>
            <w:r>
              <w:rPr>
                <w:rFonts w:ascii="Times New Roman;Times;serif" w:hAnsi="Times New Roman;Times;serif"/>
                <w:b/>
                <w:smallCaps/>
                <w:color w:val="0000FF"/>
                <w:sz w:val="24"/>
              </w:rPr>
              <w:t>2030</w:t>
            </w:r>
            <w:r>
              <w:rPr>
                <w:rFonts w:ascii="Times New Roman;Times;serif" w:hAnsi="Times New Roman;Times;serif"/>
                <w:smallCaps/>
                <w:sz w:val="24"/>
              </w:rPr>
              <w:t xml:space="preserve"> </w:t>
            </w:r>
            <w:r>
              <w:rPr>
                <w:rFonts w:ascii="Times New Roman;Times;serif" w:hAnsi="Times New Roman;Times;serif"/>
                <w:b/>
                <w:smallCaps/>
                <w:sz w:val="24"/>
              </w:rPr>
              <w:t>Term Loan Commitment</w:t>
            </w:r>
          </w:p>
        </w:tc>
        <w:tc>
          <w:tcPr>
            <w:tcW w:w="217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240" w:after="120"/>
              <w:ind w:left="0" w:right="0" w:hanging="0"/>
              <w:jc w:val="center"/>
              <w:rPr>
                <w:rFonts w:ascii="Times New Roman;Times;serif" w:hAnsi="Times New Roman;Times;serif"/>
                <w:b/>
                <w:smallCaps/>
                <w:color w:val="0000FF"/>
                <w:sz w:val="24"/>
              </w:rPr>
            </w:pPr>
            <w:bookmarkStart w:id="2670" w:name="_cp_change_534"/>
            <w:bookmarkEnd w:id="2670"/>
            <w:r>
              <w:rPr>
                <w:rFonts w:ascii="Times New Roman;Times;serif" w:hAnsi="Times New Roman;Times;serif"/>
                <w:b/>
                <w:smallCaps/>
                <w:color w:val="0000FF"/>
                <w:sz w:val="24"/>
              </w:rPr>
              <w:t>2030 Term Loan Commitment Percentage</w:t>
            </w:r>
          </w:p>
        </w:tc>
      </w:tr>
      <w:tr>
        <w:trPr/>
        <w:tc>
          <w:tcPr>
            <w:tcW w:w="148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KeyBank National Association</w:t>
            </w:r>
          </w:p>
        </w:tc>
        <w:tc>
          <w:tcPr>
            <w:tcW w:w="1766"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71" w:name="_cp_change_537"/>
            <w:bookmarkEnd w:id="2671"/>
            <w:r>
              <w:rPr>
                <w:rFonts w:ascii="Times New Roman;Times;serif" w:hAnsi="Times New Roman;Times;serif"/>
                <w:color w:val="0000FF"/>
                <w:sz w:val="24"/>
                <w:u w:val="single"/>
              </w:rPr>
              <w:t xml:space="preserve">$37,500,000 </w:t>
            </w:r>
          </w:p>
        </w:tc>
        <w:tc>
          <w:tcPr>
            <w:tcW w:w="2133"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72" w:name="_cp_change_540"/>
            <w:bookmarkEnd w:id="2672"/>
            <w:r>
              <w:rPr>
                <w:rFonts w:ascii="Times New Roman;Times;serif" w:hAnsi="Times New Roman;Times;serif"/>
                <w:color w:val="0000FF"/>
                <w:sz w:val="24"/>
                <w:u w:val="single"/>
              </w:rPr>
              <w:t>30.000000000000%</w:t>
            </w:r>
          </w:p>
        </w:tc>
        <w:tc>
          <w:tcPr>
            <w:tcW w:w="26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bookmarkStart w:id="2673" w:name="_cp_change_541"/>
            <w:bookmarkEnd w:id="2673"/>
            <w:r>
              <w:rPr>
                <w:rFonts w:ascii="Times New Roman;Times;serif" w:hAnsi="Times New Roman;Times;serif"/>
                <w:color w:val="FF0000"/>
                <w:sz w:val="24"/>
              </w:rPr>
              <w:t>30,000,000</w:t>
            </w:r>
            <w:bookmarkStart w:id="2674" w:name="_cp_change_542"/>
            <w:bookmarkEnd w:id="2674"/>
            <w:r>
              <w:rPr>
                <w:rFonts w:ascii="Times New Roman;Times;serif" w:hAnsi="Times New Roman;Times;serif"/>
                <w:color w:val="0000FF"/>
                <w:sz w:val="24"/>
                <w:u w:val="single"/>
              </w:rPr>
              <w:t>25,000,000</w:t>
            </w:r>
            <w:r>
              <w:rPr>
                <w:rFonts w:ascii="Times New Roman;Times;serif" w:hAnsi="Times New Roman;Times;serif"/>
                <w:sz w:val="24"/>
              </w:rPr>
              <w:t xml:space="preserve"> </w:t>
            </w:r>
          </w:p>
        </w:tc>
        <w:tc>
          <w:tcPr>
            <w:tcW w:w="217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75" w:name="_cp_change_545"/>
            <w:bookmarkEnd w:id="2675"/>
            <w:r>
              <w:rPr>
                <w:rFonts w:ascii="Times New Roman;Times;serif" w:hAnsi="Times New Roman;Times;serif"/>
                <w:color w:val="0000FF"/>
                <w:sz w:val="24"/>
                <w:u w:val="single"/>
              </w:rPr>
              <w:t>20.000000000000%</w:t>
            </w:r>
          </w:p>
        </w:tc>
      </w:tr>
      <w:tr>
        <w:trPr/>
        <w:tc>
          <w:tcPr>
            <w:tcW w:w="148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PNC Bank, National Association</w:t>
            </w:r>
          </w:p>
        </w:tc>
        <w:tc>
          <w:tcPr>
            <w:tcW w:w="1766"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76" w:name="_cp_change_548"/>
            <w:bookmarkEnd w:id="2676"/>
            <w:r>
              <w:rPr>
                <w:rFonts w:ascii="Times New Roman;Times;serif" w:hAnsi="Times New Roman;Times;serif"/>
                <w:color w:val="0000FF"/>
                <w:sz w:val="24"/>
                <w:u w:val="single"/>
              </w:rPr>
              <w:t xml:space="preserve">$31,250,000 </w:t>
            </w:r>
          </w:p>
        </w:tc>
        <w:tc>
          <w:tcPr>
            <w:tcW w:w="2133"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77" w:name="_cp_change_551"/>
            <w:bookmarkEnd w:id="2677"/>
            <w:r>
              <w:rPr>
                <w:rFonts w:ascii="Times New Roman;Times;serif" w:hAnsi="Times New Roman;Times;serif"/>
                <w:color w:val="0000FF"/>
                <w:sz w:val="24"/>
                <w:u w:val="single"/>
              </w:rPr>
              <w:t>25.000000000000%</w:t>
            </w:r>
          </w:p>
        </w:tc>
        <w:tc>
          <w:tcPr>
            <w:tcW w:w="26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bookmarkStart w:id="2678" w:name="_cp_change_552"/>
            <w:bookmarkEnd w:id="2678"/>
            <w:r>
              <w:rPr>
                <w:rFonts w:ascii="Times New Roman;Times;serif" w:hAnsi="Times New Roman;Times;serif"/>
                <w:color w:val="FF0000"/>
                <w:sz w:val="24"/>
              </w:rPr>
              <w:t>25,000,000</w:t>
            </w:r>
            <w:bookmarkStart w:id="2679" w:name="_cp_change_553"/>
            <w:bookmarkEnd w:id="2679"/>
            <w:r>
              <w:rPr>
                <w:rFonts w:ascii="Times New Roman;Times;serif" w:hAnsi="Times New Roman;Times;serif"/>
                <w:color w:val="0000FF"/>
                <w:sz w:val="24"/>
                <w:u w:val="single"/>
              </w:rPr>
              <w:t>20,000,000</w:t>
            </w:r>
            <w:r>
              <w:rPr>
                <w:rFonts w:ascii="Times New Roman;Times;serif" w:hAnsi="Times New Roman;Times;serif"/>
                <w:sz w:val="24"/>
              </w:rPr>
              <w:t xml:space="preserve"> </w:t>
            </w:r>
          </w:p>
        </w:tc>
        <w:tc>
          <w:tcPr>
            <w:tcW w:w="217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80" w:name="_cp_change_556"/>
            <w:bookmarkEnd w:id="2680"/>
            <w:r>
              <w:rPr>
                <w:rFonts w:ascii="Times New Roman;Times;serif" w:hAnsi="Times New Roman;Times;serif"/>
                <w:color w:val="0000FF"/>
                <w:sz w:val="24"/>
                <w:u w:val="single"/>
              </w:rPr>
              <w:t>16.000000000000%</w:t>
            </w:r>
          </w:p>
        </w:tc>
      </w:tr>
      <w:tr>
        <w:trPr/>
        <w:tc>
          <w:tcPr>
            <w:tcW w:w="148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Regions Bank</w:t>
            </w:r>
          </w:p>
        </w:tc>
        <w:tc>
          <w:tcPr>
            <w:tcW w:w="1766"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81" w:name="_cp_change_559"/>
            <w:bookmarkEnd w:id="2681"/>
            <w:r>
              <w:rPr>
                <w:rFonts w:ascii="Times New Roman;Times;serif" w:hAnsi="Times New Roman;Times;serif"/>
                <w:color w:val="0000FF"/>
                <w:sz w:val="24"/>
                <w:u w:val="single"/>
              </w:rPr>
              <w:t xml:space="preserve">$31,250,000 </w:t>
            </w:r>
          </w:p>
        </w:tc>
        <w:tc>
          <w:tcPr>
            <w:tcW w:w="2133"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82" w:name="_cp_change_562"/>
            <w:bookmarkEnd w:id="2682"/>
            <w:r>
              <w:rPr>
                <w:rFonts w:ascii="Times New Roman;Times;serif" w:hAnsi="Times New Roman;Times;serif"/>
                <w:color w:val="0000FF"/>
                <w:sz w:val="24"/>
                <w:u w:val="single"/>
              </w:rPr>
              <w:t>25.000000000000%</w:t>
            </w:r>
          </w:p>
        </w:tc>
        <w:tc>
          <w:tcPr>
            <w:tcW w:w="26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bookmarkStart w:id="2683" w:name="_cp_change_563"/>
            <w:bookmarkEnd w:id="2683"/>
            <w:r>
              <w:rPr>
                <w:rFonts w:ascii="Times New Roman;Times;serif" w:hAnsi="Times New Roman;Times;serif"/>
                <w:color w:val="FF0000"/>
                <w:sz w:val="24"/>
              </w:rPr>
              <w:t>25,000,000</w:t>
            </w:r>
            <w:bookmarkStart w:id="2684" w:name="_cp_change_564"/>
            <w:bookmarkEnd w:id="2684"/>
            <w:r>
              <w:rPr>
                <w:rFonts w:ascii="Times New Roman;Times;serif" w:hAnsi="Times New Roman;Times;serif"/>
                <w:color w:val="0000FF"/>
                <w:sz w:val="24"/>
                <w:u w:val="single"/>
              </w:rPr>
              <w:t>20,000,000</w:t>
            </w:r>
            <w:r>
              <w:rPr>
                <w:rFonts w:ascii="Times New Roman;Times;serif" w:hAnsi="Times New Roman;Times;serif"/>
                <w:sz w:val="24"/>
              </w:rPr>
              <w:t xml:space="preserve"> </w:t>
            </w:r>
          </w:p>
        </w:tc>
        <w:tc>
          <w:tcPr>
            <w:tcW w:w="217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85" w:name="_cp_change_567"/>
            <w:bookmarkEnd w:id="2685"/>
            <w:r>
              <w:rPr>
                <w:rFonts w:ascii="Times New Roman;Times;serif" w:hAnsi="Times New Roman;Times;serif"/>
                <w:color w:val="0000FF"/>
                <w:sz w:val="24"/>
                <w:u w:val="single"/>
              </w:rPr>
              <w:t>16.000000000000%</w:t>
            </w:r>
          </w:p>
        </w:tc>
      </w:tr>
      <w:tr>
        <w:trPr/>
        <w:tc>
          <w:tcPr>
            <w:tcW w:w="1487"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pBdr/>
              <w:bidi w:val="0"/>
              <w:spacing w:before="0" w:after="240"/>
              <w:ind w:left="0" w:right="0" w:hanging="0"/>
              <w:jc w:val="center"/>
              <w:rPr>
                <w:rFonts w:ascii="Times New Roman;Times;serif" w:hAnsi="Times New Roman;Times;serif"/>
                <w:color w:val="0000FF"/>
                <w:sz w:val="24"/>
                <w:u w:val="single"/>
              </w:rPr>
            </w:pPr>
            <w:bookmarkStart w:id="2686" w:name="_cp_change_578"/>
            <w:bookmarkEnd w:id="2686"/>
            <w:r>
              <w:rPr>
                <w:rFonts w:ascii="Times New Roman;Times;serif" w:hAnsi="Times New Roman;Times;serif"/>
                <w:color w:val="0000FF"/>
                <w:sz w:val="24"/>
                <w:u w:val="single"/>
              </w:rPr>
              <w:t>Truist Bank</w:t>
            </w:r>
          </w:p>
        </w:tc>
        <w:tc>
          <w:tcPr>
            <w:tcW w:w="1766"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$0</w:t>
            </w:r>
          </w:p>
        </w:tc>
        <w:tc>
          <w:tcPr>
            <w:tcW w:w="2133"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0%</w:t>
            </w:r>
          </w:p>
        </w:tc>
        <w:tc>
          <w:tcPr>
            <w:tcW w:w="2640"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 xml:space="preserve">$20,000,000 </w:t>
            </w:r>
          </w:p>
        </w:tc>
        <w:tc>
          <w:tcPr>
            <w:tcW w:w="217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16.000000000000%</w:t>
            </w:r>
          </w:p>
        </w:tc>
      </w:tr>
      <w:tr>
        <w:trPr/>
        <w:tc>
          <w:tcPr>
            <w:tcW w:w="1487"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Raymond James Bank</w:t>
            </w:r>
          </w:p>
        </w:tc>
        <w:tc>
          <w:tcPr>
            <w:tcW w:w="1766"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87" w:name="_cp_change_581"/>
            <w:bookmarkEnd w:id="2687"/>
            <w:r>
              <w:rPr>
                <w:rFonts w:ascii="Times New Roman;Times;serif" w:hAnsi="Times New Roman;Times;serif"/>
                <w:color w:val="0000FF"/>
                <w:sz w:val="24"/>
                <w:u w:val="single"/>
              </w:rPr>
              <w:t xml:space="preserve">$25,000,000 </w:t>
            </w:r>
          </w:p>
        </w:tc>
        <w:tc>
          <w:tcPr>
            <w:tcW w:w="2133"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88" w:name="_cp_change_584"/>
            <w:bookmarkEnd w:id="2688"/>
            <w:r>
              <w:rPr>
                <w:rFonts w:ascii="Times New Roman;Times;serif" w:hAnsi="Times New Roman;Times;serif"/>
                <w:color w:val="0000FF"/>
                <w:sz w:val="24"/>
                <w:u w:val="single"/>
              </w:rPr>
              <w:t>20.000000000000%</w:t>
            </w:r>
          </w:p>
        </w:tc>
        <w:tc>
          <w:tcPr>
            <w:tcW w:w="26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bookmarkStart w:id="2689" w:name="_cp_change_585"/>
            <w:bookmarkEnd w:id="2689"/>
            <w:r>
              <w:rPr>
                <w:rFonts w:ascii="Times New Roman;Times;serif" w:hAnsi="Times New Roman;Times;serif"/>
                <w:color w:val="FF0000"/>
                <w:sz w:val="24"/>
              </w:rPr>
              <w:t>20,000,000</w:t>
            </w:r>
            <w:bookmarkStart w:id="2690" w:name="_cp_change_586"/>
            <w:bookmarkEnd w:id="2690"/>
            <w:r>
              <w:rPr>
                <w:rFonts w:ascii="Times New Roman;Times;serif" w:hAnsi="Times New Roman;Times;serif"/>
                <w:color w:val="0000FF"/>
                <w:sz w:val="24"/>
                <w:u w:val="single"/>
              </w:rPr>
              <w:t>10,000,000</w:t>
            </w:r>
            <w:r>
              <w:rPr>
                <w:rFonts w:ascii="Times New Roman;Times;serif" w:hAnsi="Times New Roman;Times;serif"/>
                <w:sz w:val="24"/>
              </w:rPr>
              <w:t xml:space="preserve"> </w:t>
            </w:r>
          </w:p>
        </w:tc>
        <w:tc>
          <w:tcPr>
            <w:tcW w:w="217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bookmarkStart w:id="2691" w:name="_cp_change_589"/>
            <w:bookmarkEnd w:id="2691"/>
            <w:r>
              <w:rPr>
                <w:rFonts w:ascii="Times New Roman;Times;serif" w:hAnsi="Times New Roman;Times;serif"/>
                <w:color w:val="0000FF"/>
                <w:sz w:val="24"/>
                <w:u w:val="single"/>
              </w:rPr>
              <w:t>8.000000000000%</w:t>
            </w:r>
          </w:p>
        </w:tc>
      </w:tr>
      <w:tr>
        <w:trPr/>
        <w:tc>
          <w:tcPr>
            <w:tcW w:w="1487"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240"/>
              <w:ind w:left="0" w:right="0" w:hanging="0"/>
              <w:jc w:val="center"/>
              <w:rPr>
                <w:rFonts w:ascii="Times New Roman;Times;serif" w:hAnsi="Times New Roman;Times;serif"/>
                <w:color w:val="0000FF"/>
                <w:sz w:val="24"/>
                <w:u w:val="single"/>
              </w:rPr>
            </w:pPr>
            <w:bookmarkStart w:id="2692" w:name="_cp_change_600"/>
            <w:bookmarkEnd w:id="2692"/>
            <w:r>
              <w:rPr>
                <w:rFonts w:ascii="Times New Roman;Times;serif" w:hAnsi="Times New Roman;Times;serif"/>
                <w:color w:val="0000FF"/>
                <w:sz w:val="24"/>
                <w:u w:val="single"/>
              </w:rPr>
              <w:t>Synovus Bank</w:t>
            </w:r>
          </w:p>
        </w:tc>
        <w:tc>
          <w:tcPr>
            <w:tcW w:w="1766"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$0</w:t>
            </w:r>
          </w:p>
        </w:tc>
        <w:tc>
          <w:tcPr>
            <w:tcW w:w="2133"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0%</w:t>
            </w:r>
          </w:p>
        </w:tc>
        <w:tc>
          <w:tcPr>
            <w:tcW w:w="2640"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 xml:space="preserve">$15,000,000 </w:t>
            </w:r>
          </w:p>
        </w:tc>
        <w:tc>
          <w:tcPr>
            <w:tcW w:w="217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12.000000000000%</w:t>
            </w:r>
          </w:p>
        </w:tc>
      </w:tr>
      <w:tr>
        <w:trPr/>
        <w:tc>
          <w:tcPr>
            <w:tcW w:w="1487"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240"/>
              <w:ind w:left="0" w:right="0" w:hanging="0"/>
              <w:jc w:val="center"/>
              <w:rPr>
                <w:rFonts w:ascii="Times New Roman;Times;serif" w:hAnsi="Times New Roman;Times;serif"/>
                <w:color w:val="0000FF"/>
                <w:sz w:val="24"/>
                <w:u w:val="single"/>
              </w:rPr>
            </w:pPr>
            <w:bookmarkStart w:id="2693" w:name="_cp_change_611"/>
            <w:bookmarkEnd w:id="2693"/>
            <w:r>
              <w:rPr>
                <w:rFonts w:ascii="Times New Roman;Times;serif" w:hAnsi="Times New Roman;Times;serif"/>
                <w:color w:val="0000FF"/>
                <w:sz w:val="24"/>
                <w:u w:val="single"/>
              </w:rPr>
              <w:t>Wells Fargo Bank, National Association</w:t>
            </w:r>
          </w:p>
        </w:tc>
        <w:tc>
          <w:tcPr>
            <w:tcW w:w="1766"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$0</w:t>
            </w:r>
          </w:p>
        </w:tc>
        <w:tc>
          <w:tcPr>
            <w:tcW w:w="2133"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0%</w:t>
            </w:r>
          </w:p>
        </w:tc>
        <w:tc>
          <w:tcPr>
            <w:tcW w:w="2640"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 xml:space="preserve">$15,000,000 </w:t>
            </w:r>
          </w:p>
        </w:tc>
        <w:tc>
          <w:tcPr>
            <w:tcW w:w="217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12.000000000000%</w:t>
            </w:r>
          </w:p>
        </w:tc>
      </w:tr>
      <w:tr>
        <w:trPr/>
        <w:tc>
          <w:tcPr>
            <w:tcW w:w="148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Total</w:t>
            </w:r>
          </w:p>
        </w:tc>
        <w:tc>
          <w:tcPr>
            <w:tcW w:w="1766"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b/>
                <w:color w:val="0000FF"/>
                <w:sz w:val="24"/>
              </w:rPr>
            </w:pPr>
            <w:bookmarkStart w:id="2694" w:name="_cp_change_614"/>
            <w:bookmarkEnd w:id="2694"/>
            <w:r>
              <w:rPr>
                <w:rFonts w:ascii="Times New Roman;Times;serif" w:hAnsi="Times New Roman;Times;serif"/>
                <w:b/>
                <w:color w:val="0000FF"/>
                <w:sz w:val="24"/>
              </w:rPr>
              <w:t>$125,000,000</w:t>
            </w:r>
          </w:p>
        </w:tc>
        <w:tc>
          <w:tcPr>
            <w:tcW w:w="2133"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0" w:hanging="0"/>
              <w:jc w:val="center"/>
              <w:rPr>
                <w:rFonts w:ascii="Times New Roman;Times;serif" w:hAnsi="Times New Roman;Times;serif"/>
                <w:b/>
                <w:color w:val="0000FF"/>
                <w:sz w:val="24"/>
              </w:rPr>
            </w:pPr>
            <w:bookmarkStart w:id="2695" w:name="_cp_change_617"/>
            <w:bookmarkEnd w:id="2695"/>
            <w:r>
              <w:rPr>
                <w:rFonts w:ascii="Times New Roman;Times;serif" w:hAnsi="Times New Roman;Times;serif"/>
                <w:b/>
                <w:color w:val="0000FF"/>
                <w:sz w:val="24"/>
              </w:rPr>
              <w:t>100%</w:t>
            </w:r>
          </w:p>
        </w:tc>
        <w:tc>
          <w:tcPr>
            <w:tcW w:w="26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w:t>
            </w:r>
            <w:bookmarkStart w:id="2696" w:name="_cp_change_618"/>
            <w:bookmarkEnd w:id="2696"/>
            <w:r>
              <w:rPr>
                <w:rFonts w:ascii="Times New Roman;Times;serif" w:hAnsi="Times New Roman;Times;serif"/>
                <w:b/>
                <w:color w:val="FF0000"/>
                <w:sz w:val="24"/>
              </w:rPr>
              <w:t>100,000,000</w:t>
            </w:r>
            <w:bookmarkStart w:id="2697" w:name="_cp_change_619"/>
            <w:bookmarkEnd w:id="2697"/>
            <w:r>
              <w:rPr>
                <w:rFonts w:ascii="Times New Roman;Times;serif" w:hAnsi="Times New Roman;Times;serif"/>
                <w:b/>
                <w:color w:val="0000FF"/>
                <w:sz w:val="24"/>
              </w:rPr>
              <w:t>125,000,000</w:t>
            </w:r>
          </w:p>
        </w:tc>
        <w:tc>
          <w:tcPr>
            <w:tcW w:w="217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before="0" w:after="0"/>
              <w:ind w:left="0" w:right="180" w:hanging="0"/>
              <w:jc w:val="center"/>
              <w:rPr>
                <w:rFonts w:ascii="Times New Roman;Times;serif" w:hAnsi="Times New Roman;Times;serif"/>
                <w:b/>
                <w:color w:val="0000FF"/>
                <w:sz w:val="24"/>
              </w:rPr>
            </w:pPr>
            <w:bookmarkStart w:id="2698" w:name="_cp_change_622"/>
            <w:bookmarkEnd w:id="2698"/>
            <w:r>
              <w:rPr>
                <w:rFonts w:ascii="Times New Roman;Times;serif" w:hAnsi="Times New Roman;Times;serif"/>
                <w:b/>
                <w:color w:val="0000FF"/>
                <w:sz w:val="24"/>
              </w:rPr>
              <w:t>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b/>
          <w:sz w:val="24"/>
        </w:rPr>
        <w:t>Schedule</w:t>
      </w:r>
      <w:r>
        <w:rPr>
          <w:rFonts w:ascii="Times New Roman;Times;serif" w:hAnsi="Times New Roman;Times;serif"/>
          <w:smallCaps/>
          <w:sz w:val="24"/>
        </w:rPr>
        <w:t xml:space="preserve"> </w:t>
      </w:r>
      <w:r>
        <w:rPr>
          <w:rFonts w:ascii="Times New Roman;Times;serif" w:hAnsi="Times New Roman;Times;serif"/>
          <w:b/>
          <w:smallCaps/>
          <w:sz w:val="24"/>
        </w:rPr>
        <w:t>1.1</w:t>
      </w:r>
    </w:p>
    <w:p>
      <w:pPr>
        <w:pStyle w:val="TextBody"/>
        <w:bidi w:val="0"/>
        <w:spacing w:lineRule="atLeast" w:line="280" w:before="0" w:after="0"/>
        <w:ind w:left="0" w:right="0" w:hanging="0"/>
        <w:jc w:val="center"/>
        <w:rPr>
          <w:rFonts w:ascii="Times New Roman;Times;serif" w:hAnsi="Times New Roman;Times;serif"/>
          <w:sz w:val="24"/>
        </w:rPr>
      </w:pPr>
      <w:bookmarkStart w:id="2699" w:name="_cp_change_623"/>
      <w:bookmarkEnd w:id="2699"/>
      <w:r>
        <w:rPr>
          <w:rFonts w:ascii="Times" w:hAnsi="Times"/>
          <w:b/>
          <w:smallCaps/>
          <w:color w:val="FF0000"/>
          <w:sz w:val="24"/>
        </w:rPr>
        <w:t>First</w:t>
      </w:r>
      <w:bookmarkStart w:id="2700" w:name="_cp_change_624"/>
      <w:bookmarkEnd w:id="2700"/>
      <w:r>
        <w:rPr>
          <w:rFonts w:ascii="Times" w:hAnsi="Times"/>
          <w:b/>
          <w:smallCaps/>
          <w:color w:val="0000FF"/>
          <w:sz w:val="24"/>
        </w:rPr>
        <w:t>Second</w:t>
      </w:r>
      <w:r>
        <w:rPr>
          <w:rFonts w:ascii="Times New Roman;Times;serif" w:hAnsi="Times New Roman;Times;serif"/>
          <w:smallCaps/>
          <w:sz w:val="24"/>
        </w:rPr>
        <w:t xml:space="preserve"> </w:t>
      </w:r>
      <w:r>
        <w:rPr>
          <w:rFonts w:ascii="Times" w:hAnsi="Times"/>
          <w:b/>
          <w:smallCaps/>
          <w:sz w:val="24"/>
        </w:rPr>
        <w:t>Amendment Effective Date Borrowing Base Assets</w:t>
      </w:r>
    </w:p>
    <w:p>
      <w:pPr>
        <w:pStyle w:val="TextBody"/>
        <w:bidi w:val="0"/>
        <w:spacing w:lineRule="atLeast" w:line="280" w:before="280" w:after="0"/>
        <w:ind w:left="0" w:right="0" w:firstLine="720"/>
        <w:jc w:val="both"/>
        <w:rPr>
          <w:rFonts w:ascii="Times" w:hAnsi="Times"/>
          <w:sz w:val="24"/>
        </w:rPr>
      </w:pPr>
      <w:r>
        <w:rPr>
          <w:rFonts w:ascii="Times" w:hAnsi="Times"/>
          <w:sz w:val="24"/>
        </w:rPr>
        <w:t>Part I – Borrowing Base Real Property Assets</w:t>
      </w:r>
    </w:p>
    <w:p>
      <w:pPr>
        <w:pStyle w:val="TextBody"/>
        <w:bidi w:val="0"/>
        <w:spacing w:lineRule="atLeast" w:line="280" w:before="0" w:after="0"/>
        <w:ind w:left="0" w:right="0" w:hanging="0"/>
        <w:jc w:val="left"/>
        <w:rPr>
          <w:smallCaps/>
        </w:rPr>
      </w:pPr>
      <w:r>
        <w:rPr>
          <w:smallCaps/>
        </w:rPr>
        <w:t>​</w:t>
      </w:r>
    </w:p>
    <w:tbl>
      <w:tblPr>
        <w:tblW w:w="10205" w:type="dxa"/>
        <w:jc w:val="left"/>
        <w:tblInd w:w="0" w:type="dxa"/>
        <w:tblLayout w:type="fixed"/>
        <w:tblCellMar>
          <w:top w:w="28" w:type="dxa"/>
          <w:left w:w="103" w:type="dxa"/>
          <w:bottom w:w="28" w:type="dxa"/>
          <w:right w:w="103" w:type="dxa"/>
        </w:tblCellMar>
      </w:tblPr>
      <w:tblGrid>
        <w:gridCol w:w="2173"/>
        <w:gridCol w:w="4639"/>
        <w:gridCol w:w="2093"/>
        <w:gridCol w:w="1300"/>
      </w:tblGrid>
      <w:tr>
        <w:trPr/>
        <w:tc>
          <w:tcPr>
            <w:tcW w:w="2173"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left"/>
              <w:rPr>
                <w:rFonts w:ascii="Times" w:hAnsi="Times"/>
                <w:b/>
                <w:smallCaps/>
                <w:sz w:val="24"/>
              </w:rPr>
            </w:pPr>
            <w:r>
              <w:rPr>
                <w:rFonts w:ascii="Times" w:hAnsi="Times"/>
                <w:b/>
                <w:smallCaps/>
                <w:sz w:val="24"/>
              </w:rPr>
              <w:t>Property or Tenant DBA</w:t>
            </w:r>
          </w:p>
        </w:tc>
        <w:tc>
          <w:tcPr>
            <w:tcW w:w="4639" w:type="dxa"/>
            <w:tcBorders>
              <w:top w:val="single" w:sz="2" w:space="0" w:color="000000"/>
              <w:left w:val="single" w:sz="2" w:space="0" w:color="000000"/>
              <w:bottom w:val="single" w:sz="18" w:space="0" w:color="000000"/>
              <w:right w:val="single" w:sz="2" w:space="0" w:color="000000"/>
            </w:tcBorders>
            <w:shd w:fill="E6E6FA" w:val="clear"/>
            <w:vAlign w:val="center"/>
          </w:tcPr>
          <w:p>
            <w:pPr>
              <w:pStyle w:val="TableHeading"/>
              <w:bidi w:val="0"/>
              <w:spacing w:lineRule="atLeast" w:line="280" w:before="0" w:after="0"/>
              <w:ind w:left="0" w:right="0" w:hanging="0"/>
              <w:jc w:val="center"/>
              <w:rPr>
                <w:rFonts w:ascii="Times" w:hAnsi="Times"/>
                <w:b/>
                <w:smallCaps/>
                <w:color w:val="0000FF"/>
                <w:sz w:val="24"/>
              </w:rPr>
            </w:pPr>
            <w:bookmarkStart w:id="2701" w:name="_cp_change_627"/>
            <w:bookmarkEnd w:id="2701"/>
            <w:r>
              <w:rPr>
                <w:rFonts w:ascii="Times" w:hAnsi="Times"/>
                <w:b/>
                <w:smallCaps/>
                <w:color w:val="0000FF"/>
                <w:sz w:val="24"/>
              </w:rPr>
              <w:t>Owner/ Guarantor</w:t>
            </w:r>
          </w:p>
        </w:tc>
        <w:tc>
          <w:tcPr>
            <w:tcW w:w="2093"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City, State</w:t>
            </w:r>
          </w:p>
        </w:tc>
        <w:tc>
          <w:tcPr>
            <w:tcW w:w="1300"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Square Feet</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bookmarkStart w:id="2702" w:name="_Hlk208931769"/>
            <w:bookmarkEnd w:id="2702"/>
            <w:r>
              <w:rPr>
                <w:rFonts w:ascii="Times" w:hAnsi="Times"/>
                <w:sz w:val="24"/>
              </w:rPr>
              <w:t>Crabby’s Oceanside</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03" w:name="_cp_change_630"/>
            <w:bookmarkEnd w:id="2703"/>
            <w:r>
              <w:rPr>
                <w:rFonts w:ascii="Times New Roman;Times;serif" w:hAnsi="Times New Roman;Times;serif"/>
                <w:color w:val="0000FF"/>
                <w:sz w:val="24"/>
                <w:u w:val="single"/>
              </w:rPr>
              <w:t>Daytona JV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Daytona Beach, Florida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5,780</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LandShark Bar &amp; Grill</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04" w:name="_cp_change_633"/>
            <w:bookmarkEnd w:id="2704"/>
            <w:r>
              <w:rPr>
                <w:rFonts w:ascii="Times New Roman;Times;serif" w:hAnsi="Times New Roman;Times;serif"/>
                <w:color w:val="0000FF"/>
                <w:sz w:val="24"/>
                <w:u w:val="single"/>
              </w:rPr>
              <w:t>Daytona JV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Daytona Beach, Florida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6,264</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Fidelity</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05" w:name="_cp_change_636"/>
            <w:bookmarkEnd w:id="2705"/>
            <w:r>
              <w:rPr>
                <w:rFonts w:ascii="Times New Roman;Times;serif" w:hAnsi="Times New Roman;Times;serif"/>
                <w:color w:val="0000FF"/>
                <w:sz w:val="24"/>
                <w:u w:val="single"/>
              </w:rPr>
              <w:t>CTO18 Albuquerque NM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Albuquerque, New Mexico</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210,067</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The Strand</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06" w:name="_cp_change_639"/>
            <w:bookmarkEnd w:id="2706"/>
            <w:r>
              <w:rPr>
                <w:rFonts w:ascii="Times New Roman;Times;serif" w:hAnsi="Times New Roman;Times;serif"/>
                <w:color w:val="0000FF"/>
                <w:sz w:val="24"/>
                <w:u w:val="single"/>
              </w:rPr>
              <w:t>CTO19 Strand Jax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Jacksonville, Florida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204,573</w:t>
            </w:r>
          </w:p>
        </w:tc>
      </w:tr>
      <w:tr>
        <w:trPr/>
        <w:tc>
          <w:tcPr>
            <w:tcW w:w="2173"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left"/>
              <w:rPr>
                <w:rFonts w:ascii="Times" w:hAnsi="Times"/>
                <w:color w:val="FF0000"/>
                <w:sz w:val="24"/>
              </w:rPr>
            </w:pPr>
            <w:bookmarkStart w:id="2707" w:name="_cp_change_640"/>
            <w:bookmarkEnd w:id="2707"/>
            <w:r>
              <w:rPr>
                <w:rFonts w:ascii="Times" w:hAnsi="Times"/>
                <w:color w:val="FF0000"/>
                <w:sz w:val="24"/>
              </w:rPr>
              <w:t>Crossroads Town Center</w:t>
            </w:r>
          </w:p>
        </w:tc>
        <w:tc>
          <w:tcPr>
            <w:tcW w:w="4639"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center"/>
              <w:rPr>
                <w:rFonts w:ascii="Times" w:hAnsi="Times"/>
                <w:color w:val="FF0000"/>
                <w:sz w:val="24"/>
              </w:rPr>
            </w:pPr>
            <w:r>
              <w:rPr>
                <w:rFonts w:ascii="Times" w:hAnsi="Times"/>
                <w:color w:val="FF0000"/>
                <w:sz w:val="24"/>
              </w:rPr>
              <w:t>Chandler, Arizona</w:t>
            </w:r>
          </w:p>
        </w:tc>
        <w:tc>
          <w:tcPr>
            <w:tcW w:w="3393" w:type="dxa"/>
            <w:gridSpan w:val="2"/>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center"/>
              <w:rPr>
                <w:rFonts w:ascii="Times" w:hAnsi="Times"/>
                <w:color w:val="FF0000"/>
                <w:sz w:val="24"/>
              </w:rPr>
            </w:pPr>
            <w:r>
              <w:rPr>
                <w:rFonts w:ascii="Times" w:hAnsi="Times"/>
                <w:color w:val="FF0000"/>
                <w:sz w:val="24"/>
              </w:rPr>
              <w:t>217,312</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Village Inn</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08" w:name="_cp_change_649"/>
            <w:bookmarkEnd w:id="2708"/>
            <w:r>
              <w:rPr>
                <w:rFonts w:ascii="Times New Roman;Times;serif" w:hAnsi="Times New Roman;Times;serif"/>
                <w:color w:val="0000FF"/>
                <w:sz w:val="24"/>
                <w:u w:val="single"/>
              </w:rPr>
              <w:t>CTO20 Crossroads AZ LLC; IGI20 Crossroads AZ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Chandler, Arizona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4,500</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Party City</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09" w:name="_cp_change_652"/>
            <w:bookmarkEnd w:id="2709"/>
            <w:r>
              <w:rPr>
                <w:rFonts w:ascii="Times New Roman;Times;serif" w:hAnsi="Times New Roman;Times;serif"/>
                <w:color w:val="0000FF"/>
                <w:sz w:val="24"/>
                <w:u w:val="single"/>
              </w:rPr>
              <w:t>CTO20 Crossroads AZ LLC; IGI20 Crossroads AZ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Chandler, Arizona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12,000</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Jimmy Johns &amp; BBQ Galore</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10" w:name="_cp_change_655"/>
            <w:bookmarkEnd w:id="2710"/>
            <w:r>
              <w:rPr>
                <w:rFonts w:ascii="Times New Roman;Times;serif" w:hAnsi="Times New Roman;Times;serif"/>
                <w:color w:val="0000FF"/>
                <w:sz w:val="24"/>
                <w:u w:val="single"/>
              </w:rPr>
              <w:t>CTO20 Crossroads AZ LLC; IGI20 Crossroads AZ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Chandler, Arizona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8,000</w:t>
            </w:r>
          </w:p>
        </w:tc>
      </w:tr>
      <w:tr>
        <w:trPr/>
        <w:tc>
          <w:tcPr>
            <w:tcW w:w="2173"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left"/>
              <w:rPr>
                <w:rFonts w:ascii="Times" w:hAnsi="Times"/>
                <w:color w:val="0000FF"/>
                <w:sz w:val="24"/>
                <w:u w:val="single"/>
              </w:rPr>
            </w:pPr>
            <w:bookmarkStart w:id="2711" w:name="_cp_change_664"/>
            <w:bookmarkEnd w:id="2711"/>
            <w:r>
              <w:rPr>
                <w:rFonts w:ascii="Times" w:hAnsi="Times"/>
                <w:color w:val="0000FF"/>
                <w:sz w:val="24"/>
                <w:u w:val="single"/>
              </w:rPr>
              <w:t>Crossroads Town Center</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CTO20 Crossroads AZ LLC; IGI20 Crossroads AZ LLC</w:t>
            </w:r>
          </w:p>
        </w:tc>
        <w:tc>
          <w:tcPr>
            <w:tcW w:w="2093"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Chandler, Arizona</w:t>
            </w:r>
          </w:p>
        </w:tc>
        <w:tc>
          <w:tcPr>
            <w:tcW w:w="1300"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217,312</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Ashford Lane</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12" w:name="_cp_change_667"/>
            <w:bookmarkEnd w:id="2712"/>
            <w:r>
              <w:rPr>
                <w:rFonts w:ascii="Times New Roman;Times;serif" w:hAnsi="Times New Roman;Times;serif"/>
                <w:color w:val="0000FF"/>
                <w:sz w:val="24"/>
                <w:u w:val="single"/>
              </w:rPr>
              <w:t>CTO20 Perimeter LLC; CTO20 Perimeter II LLC; CTO21 AL Outparcel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Atlanta, Georgia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277,408</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The Shops at Legacy</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13" w:name="_cp_change_670"/>
            <w:bookmarkEnd w:id="2713"/>
            <w:r>
              <w:rPr>
                <w:rFonts w:ascii="Times New Roman;Times;serif" w:hAnsi="Times New Roman;Times;serif"/>
                <w:color w:val="0000FF"/>
                <w:sz w:val="24"/>
                <w:u w:val="single"/>
              </w:rPr>
              <w:t>CTO21 Acquisitions II LLC; CTO Realty Growth, Inc.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Plano, Texas</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237,572</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Beaver Creek Crossing</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14" w:name="_cp_change_673"/>
            <w:bookmarkEnd w:id="2714"/>
            <w:r>
              <w:rPr>
                <w:rFonts w:ascii="Times New Roman;Times;serif" w:hAnsi="Times New Roman;Times;serif"/>
                <w:color w:val="0000FF"/>
                <w:sz w:val="24"/>
                <w:u w:val="single"/>
              </w:rPr>
              <w:t>CTO21 Apex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Apex, North Carolina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322,113</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369 N. New York Ave</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15" w:name="_cp_change_676"/>
            <w:bookmarkEnd w:id="2715"/>
            <w:r>
              <w:rPr>
                <w:rFonts w:ascii="Times New Roman;Times;serif" w:hAnsi="Times New Roman;Times;serif"/>
                <w:color w:val="0000FF"/>
                <w:sz w:val="24"/>
                <w:u w:val="single"/>
              </w:rPr>
              <w:t>CTO Realty Growth, Inc.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Winter Park, Florida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27,948</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The Exchange at Gwinnett</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16" w:name="_cp_change_679"/>
            <w:bookmarkEnd w:id="2716"/>
            <w:r>
              <w:rPr>
                <w:rFonts w:ascii="Times New Roman;Times;serif" w:hAnsi="Times New Roman;Times;serif"/>
                <w:color w:val="0000FF"/>
                <w:sz w:val="24"/>
                <w:u w:val="single"/>
              </w:rPr>
              <w:t>CTO21 Buford 1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Buford, Georgia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93,366</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Madison Yards</w:t>
            </w:r>
          </w:p>
        </w:tc>
        <w:tc>
          <w:tcPr>
            <w:tcW w:w="4639"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17" w:name="_cp_change_682"/>
            <w:bookmarkEnd w:id="2717"/>
            <w:r>
              <w:rPr>
                <w:rFonts w:ascii="Times New Roman;Times;serif" w:hAnsi="Times New Roman;Times;serif"/>
                <w:color w:val="0000FF"/>
                <w:sz w:val="24"/>
                <w:u w:val="single"/>
              </w:rPr>
              <w:t>CTO22 Madison Yards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Atlanta, Georgia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162,521</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1.1 - 1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28" w:type="dxa"/>
          <w:left w:w="103" w:type="dxa"/>
          <w:bottom w:w="28" w:type="dxa"/>
          <w:right w:w="103" w:type="dxa"/>
        </w:tblCellMar>
      </w:tblPr>
      <w:tblGrid>
        <w:gridCol w:w="2801"/>
        <w:gridCol w:w="3001"/>
        <w:gridCol w:w="2331"/>
        <w:gridCol w:w="2072"/>
      </w:tblGrid>
      <w:tr>
        <w:trPr/>
        <w:tc>
          <w:tcPr>
            <w:tcW w:w="2801"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left"/>
              <w:rPr>
                <w:rFonts w:ascii="Times" w:hAnsi="Times"/>
                <w:b/>
                <w:smallCaps/>
                <w:sz w:val="24"/>
              </w:rPr>
            </w:pPr>
            <w:r>
              <w:rPr>
                <w:rFonts w:ascii="Times" w:hAnsi="Times"/>
                <w:b/>
                <w:smallCaps/>
                <w:sz w:val="24"/>
              </w:rPr>
              <w:t>Property or Tenant DBA</w:t>
            </w:r>
          </w:p>
        </w:tc>
        <w:tc>
          <w:tcPr>
            <w:tcW w:w="3001" w:type="dxa"/>
            <w:tcBorders>
              <w:top w:val="single" w:sz="2" w:space="0" w:color="000000"/>
              <w:left w:val="single" w:sz="2" w:space="0" w:color="000000"/>
              <w:bottom w:val="single" w:sz="18" w:space="0" w:color="000000"/>
              <w:right w:val="single" w:sz="2" w:space="0" w:color="000000"/>
            </w:tcBorders>
            <w:shd w:fill="E6E6FA" w:val="clear"/>
            <w:vAlign w:val="center"/>
          </w:tcPr>
          <w:p>
            <w:pPr>
              <w:pStyle w:val="TableHeading"/>
              <w:bidi w:val="0"/>
              <w:spacing w:lineRule="atLeast" w:line="280" w:before="0" w:after="0"/>
              <w:ind w:left="0" w:right="0" w:hanging="0"/>
              <w:jc w:val="center"/>
              <w:rPr>
                <w:rFonts w:ascii="Times" w:hAnsi="Times"/>
                <w:b/>
                <w:smallCaps/>
                <w:color w:val="0000FF"/>
                <w:sz w:val="24"/>
              </w:rPr>
            </w:pPr>
            <w:bookmarkStart w:id="2718" w:name="_cp_change_6271"/>
            <w:bookmarkEnd w:id="2718"/>
            <w:r>
              <w:rPr>
                <w:rFonts w:ascii="Times" w:hAnsi="Times"/>
                <w:b/>
                <w:smallCaps/>
                <w:color w:val="0000FF"/>
                <w:sz w:val="24"/>
              </w:rPr>
              <w:t>Owner/ Guarantor</w:t>
            </w:r>
          </w:p>
        </w:tc>
        <w:tc>
          <w:tcPr>
            <w:tcW w:w="2331"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City, State</w:t>
            </w:r>
          </w:p>
        </w:tc>
        <w:tc>
          <w:tcPr>
            <w:tcW w:w="2072"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Square Feet</w:t>
            </w:r>
          </w:p>
        </w:tc>
      </w:tr>
      <w:tr>
        <w:trPr/>
        <w:tc>
          <w:tcPr>
            <w:tcW w:w="2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West Broad Village</w:t>
            </w:r>
          </w:p>
        </w:tc>
        <w:tc>
          <w:tcPr>
            <w:tcW w:w="30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19" w:name="_cp_change_685"/>
            <w:bookmarkEnd w:id="2719"/>
            <w:r>
              <w:rPr>
                <w:rFonts w:ascii="Times New Roman;Times;serif" w:hAnsi="Times New Roman;Times;serif"/>
                <w:color w:val="0000FF"/>
                <w:sz w:val="24"/>
                <w:u w:val="single"/>
              </w:rPr>
              <w:t>CTO22 Short Pump LLC</w:t>
            </w:r>
          </w:p>
        </w:tc>
        <w:tc>
          <w:tcPr>
            <w:tcW w:w="2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Richmond, Virginia</w:t>
            </w:r>
          </w:p>
        </w:tc>
        <w:tc>
          <w:tcPr>
            <w:tcW w:w="207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392,227</w:t>
            </w:r>
          </w:p>
        </w:tc>
      </w:tr>
      <w:tr>
        <w:trPr/>
        <w:tc>
          <w:tcPr>
            <w:tcW w:w="2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The Collection at Forsyth</w:t>
            </w:r>
          </w:p>
        </w:tc>
        <w:tc>
          <w:tcPr>
            <w:tcW w:w="30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20" w:name="_cp_change_688"/>
            <w:bookmarkEnd w:id="2720"/>
            <w:r>
              <w:rPr>
                <w:rFonts w:ascii="Times New Roman;Times;serif" w:hAnsi="Times New Roman;Times;serif"/>
                <w:color w:val="0000FF"/>
                <w:sz w:val="24"/>
                <w:u w:val="single"/>
              </w:rPr>
              <w:t>CTO22 Forsyth LLC</w:t>
            </w:r>
          </w:p>
        </w:tc>
        <w:tc>
          <w:tcPr>
            <w:tcW w:w="2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Cumming, Georgia</w:t>
            </w:r>
          </w:p>
        </w:tc>
        <w:tc>
          <w:tcPr>
            <w:tcW w:w="207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560,434</w:t>
            </w:r>
          </w:p>
        </w:tc>
      </w:tr>
      <w:tr>
        <w:trPr/>
        <w:tc>
          <w:tcPr>
            <w:tcW w:w="2801"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left"/>
              <w:rPr>
                <w:rFonts w:ascii="Times" w:hAnsi="Times"/>
                <w:color w:val="FF0000"/>
                <w:sz w:val="24"/>
              </w:rPr>
            </w:pPr>
            <w:bookmarkStart w:id="2721" w:name="_cp_change_689"/>
            <w:bookmarkEnd w:id="2721"/>
            <w:r>
              <w:rPr>
                <w:rFonts w:ascii="Times" w:hAnsi="Times"/>
                <w:color w:val="FF0000"/>
                <w:sz w:val="24"/>
              </w:rPr>
              <w:t>Stroud’s Barbeque &amp; Grill</w:t>
            </w:r>
          </w:p>
        </w:tc>
        <w:tc>
          <w:tcPr>
            <w:tcW w:w="3001"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center"/>
              <w:rPr>
                <w:rFonts w:ascii="Times" w:hAnsi="Times"/>
                <w:color w:val="FF0000"/>
                <w:sz w:val="24"/>
              </w:rPr>
            </w:pPr>
            <w:r>
              <w:rPr>
                <w:rFonts w:ascii="Times" w:hAnsi="Times"/>
                <w:color w:val="FF0000"/>
                <w:sz w:val="24"/>
              </w:rPr>
              <w:t>Daytona Beach, Florida</w:t>
            </w:r>
          </w:p>
        </w:tc>
        <w:tc>
          <w:tcPr>
            <w:tcW w:w="4403" w:type="dxa"/>
            <w:gridSpan w:val="2"/>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center"/>
              <w:rPr>
                <w:rFonts w:ascii="Times" w:hAnsi="Times"/>
                <w:color w:val="FF0000"/>
                <w:sz w:val="24"/>
              </w:rPr>
            </w:pPr>
            <w:r>
              <w:rPr>
                <w:rFonts w:ascii="Times" w:hAnsi="Times"/>
                <w:color w:val="FF0000"/>
                <w:sz w:val="24"/>
              </w:rPr>
              <w:t>3,381</w:t>
            </w:r>
          </w:p>
        </w:tc>
      </w:tr>
      <w:tr>
        <w:trPr/>
        <w:tc>
          <w:tcPr>
            <w:tcW w:w="2801"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left"/>
              <w:rPr>
                <w:rFonts w:ascii="Times" w:hAnsi="Times"/>
                <w:color w:val="FF0000"/>
                <w:sz w:val="24"/>
              </w:rPr>
            </w:pPr>
            <w:bookmarkStart w:id="2722" w:name="_cp_change_696"/>
            <w:bookmarkEnd w:id="2722"/>
            <w:r>
              <w:rPr>
                <w:rFonts w:ascii="Times" w:hAnsi="Times"/>
                <w:color w:val="FF0000"/>
                <w:sz w:val="24"/>
              </w:rPr>
              <w:t xml:space="preserve">Main Street Hospitality </w:t>
            </w:r>
          </w:p>
        </w:tc>
        <w:tc>
          <w:tcPr>
            <w:tcW w:w="3001"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center"/>
              <w:rPr>
                <w:rFonts w:ascii="Times" w:hAnsi="Times"/>
                <w:color w:val="FF0000"/>
                <w:sz w:val="24"/>
              </w:rPr>
            </w:pPr>
            <w:r>
              <w:rPr>
                <w:rFonts w:ascii="Times" w:hAnsi="Times"/>
                <w:color w:val="FF0000"/>
                <w:sz w:val="24"/>
              </w:rPr>
              <w:t>Daytona Beach, Florida</w:t>
            </w:r>
          </w:p>
        </w:tc>
        <w:tc>
          <w:tcPr>
            <w:tcW w:w="4403" w:type="dxa"/>
            <w:gridSpan w:val="2"/>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center"/>
              <w:rPr>
                <w:rFonts w:ascii="Times" w:hAnsi="Times"/>
                <w:color w:val="FF0000"/>
                <w:sz w:val="24"/>
              </w:rPr>
            </w:pPr>
            <w:r>
              <w:rPr>
                <w:rFonts w:ascii="Times" w:hAnsi="Times"/>
                <w:color w:val="FF0000"/>
                <w:sz w:val="24"/>
              </w:rPr>
              <w:t>26,002</w:t>
            </w:r>
          </w:p>
        </w:tc>
      </w:tr>
      <w:tr>
        <w:trPr/>
        <w:tc>
          <w:tcPr>
            <w:tcW w:w="2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Plaza at Rockwall</w:t>
            </w:r>
          </w:p>
        </w:tc>
        <w:tc>
          <w:tcPr>
            <w:tcW w:w="30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23" w:name="_cp_change_705"/>
            <w:bookmarkEnd w:id="2723"/>
            <w:r>
              <w:rPr>
                <w:rFonts w:ascii="Times New Roman;Times;serif" w:hAnsi="Times New Roman;Times;serif"/>
                <w:color w:val="0000FF"/>
                <w:sz w:val="24"/>
                <w:u w:val="single"/>
              </w:rPr>
              <w:t>CTO23 Rockwall LLC</w:t>
            </w:r>
          </w:p>
        </w:tc>
        <w:tc>
          <w:tcPr>
            <w:tcW w:w="2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Rockwall, Texas</w:t>
            </w:r>
          </w:p>
        </w:tc>
        <w:tc>
          <w:tcPr>
            <w:tcW w:w="207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446,521</w:t>
            </w:r>
          </w:p>
        </w:tc>
      </w:tr>
      <w:tr>
        <w:trPr/>
        <w:tc>
          <w:tcPr>
            <w:tcW w:w="2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Marketplace at Seminole</w:t>
            </w:r>
          </w:p>
        </w:tc>
        <w:tc>
          <w:tcPr>
            <w:tcW w:w="30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24" w:name="_cp_change_708"/>
            <w:bookmarkEnd w:id="2724"/>
            <w:r>
              <w:rPr>
                <w:rFonts w:ascii="Times New Roman;Times;serif" w:hAnsi="Times New Roman;Times;serif"/>
                <w:color w:val="0000FF"/>
                <w:sz w:val="24"/>
                <w:u w:val="single"/>
              </w:rPr>
              <w:t>CTO24 MSTC LLC</w:t>
            </w:r>
          </w:p>
        </w:tc>
        <w:tc>
          <w:tcPr>
            <w:tcW w:w="2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Sanford, Florida</w:t>
            </w:r>
          </w:p>
        </w:tc>
        <w:tc>
          <w:tcPr>
            <w:tcW w:w="207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318,649</w:t>
            </w:r>
          </w:p>
        </w:tc>
      </w:tr>
      <w:tr>
        <w:trPr/>
        <w:tc>
          <w:tcPr>
            <w:tcW w:w="2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New Roman;Times;serif" w:hAnsi="Times New Roman;Times;serif"/>
                <w:sz w:val="24"/>
              </w:rPr>
            </w:pPr>
            <w:r>
              <w:rPr>
                <w:rFonts w:ascii="Times" w:hAnsi="Times"/>
                <w:sz w:val="24"/>
              </w:rPr>
              <w:t>Carolina Pavilion</w:t>
            </w:r>
            <w:bookmarkStart w:id="2725" w:name="_cp_change_709"/>
            <w:bookmarkEnd w:id="2725"/>
            <w:r>
              <w:rPr>
                <w:rFonts w:ascii="Times" w:hAnsi="Times"/>
                <w:color w:val="FF0000"/>
                <w:sz w:val="24"/>
              </w:rPr>
              <w:t>*</w:t>
            </w:r>
          </w:p>
        </w:tc>
        <w:tc>
          <w:tcPr>
            <w:tcW w:w="30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26" w:name="_cp_change_712"/>
            <w:bookmarkEnd w:id="2726"/>
            <w:r>
              <w:rPr>
                <w:rFonts w:ascii="Times New Roman;Times;serif" w:hAnsi="Times New Roman;Times;serif"/>
                <w:color w:val="0000FF"/>
                <w:sz w:val="24"/>
                <w:u w:val="single"/>
              </w:rPr>
              <w:t>CTO24 Carolina LLC</w:t>
            </w:r>
          </w:p>
        </w:tc>
        <w:tc>
          <w:tcPr>
            <w:tcW w:w="2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Charlotte, North Carolina</w:t>
            </w:r>
          </w:p>
        </w:tc>
        <w:tc>
          <w:tcPr>
            <w:tcW w:w="207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 xml:space="preserve">690,877 </w:t>
            </w:r>
          </w:p>
        </w:tc>
      </w:tr>
      <w:tr>
        <w:trPr/>
        <w:tc>
          <w:tcPr>
            <w:tcW w:w="2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New Roman;Times;serif" w:hAnsi="Times New Roman;Times;serif"/>
                <w:sz w:val="24"/>
              </w:rPr>
            </w:pPr>
            <w:r>
              <w:rPr>
                <w:rFonts w:ascii="Times" w:hAnsi="Times"/>
                <w:sz w:val="24"/>
              </w:rPr>
              <w:t>Millenia Crossing</w:t>
            </w:r>
            <w:bookmarkStart w:id="2727" w:name="_cp_change_713"/>
            <w:bookmarkEnd w:id="2727"/>
            <w:r>
              <w:rPr>
                <w:rFonts w:ascii="Times" w:hAnsi="Times"/>
                <w:color w:val="FF0000"/>
                <w:sz w:val="24"/>
              </w:rPr>
              <w:t>*</w:t>
            </w:r>
          </w:p>
        </w:tc>
        <w:tc>
          <w:tcPr>
            <w:tcW w:w="30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28" w:name="_cp_change_716"/>
            <w:bookmarkEnd w:id="2728"/>
            <w:r>
              <w:rPr>
                <w:rFonts w:ascii="Times New Roman;Times;serif" w:hAnsi="Times New Roman;Times;serif"/>
                <w:color w:val="0000FF"/>
                <w:sz w:val="24"/>
                <w:u w:val="single"/>
              </w:rPr>
              <w:t>CTO24 Millenia LLC</w:t>
            </w:r>
          </w:p>
        </w:tc>
        <w:tc>
          <w:tcPr>
            <w:tcW w:w="2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Orlando, Florida</w:t>
            </w:r>
          </w:p>
        </w:tc>
        <w:tc>
          <w:tcPr>
            <w:tcW w:w="207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 xml:space="preserve">100,385 </w:t>
            </w:r>
          </w:p>
        </w:tc>
      </w:tr>
      <w:tr>
        <w:trPr/>
        <w:tc>
          <w:tcPr>
            <w:tcW w:w="2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New Roman;Times;serif" w:hAnsi="Times New Roman;Times;serif"/>
                <w:sz w:val="24"/>
              </w:rPr>
            </w:pPr>
            <w:r>
              <w:rPr>
                <w:rFonts w:ascii="Times" w:hAnsi="Times"/>
                <w:sz w:val="24"/>
              </w:rPr>
              <w:t>Lake Brandon Village</w:t>
            </w:r>
            <w:bookmarkStart w:id="2729" w:name="_cp_change_717"/>
            <w:bookmarkEnd w:id="2729"/>
            <w:r>
              <w:rPr>
                <w:rFonts w:ascii="Times" w:hAnsi="Times"/>
                <w:color w:val="FF0000"/>
                <w:sz w:val="24"/>
              </w:rPr>
              <w:t>*</w:t>
            </w:r>
          </w:p>
        </w:tc>
        <w:tc>
          <w:tcPr>
            <w:tcW w:w="30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bookmarkStart w:id="2730" w:name="_cp_change_720"/>
            <w:bookmarkEnd w:id="2730"/>
            <w:r>
              <w:rPr>
                <w:rFonts w:ascii="Times New Roman;Times;serif" w:hAnsi="Times New Roman;Times;serif"/>
                <w:color w:val="0000FF"/>
                <w:sz w:val="24"/>
                <w:u w:val="single"/>
              </w:rPr>
              <w:t>CTO24 Brandon LLC</w:t>
            </w:r>
          </w:p>
        </w:tc>
        <w:tc>
          <w:tcPr>
            <w:tcW w:w="2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Brandon, Florida</w:t>
            </w:r>
          </w:p>
        </w:tc>
        <w:tc>
          <w:tcPr>
            <w:tcW w:w="207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 xml:space="preserve">102,022 </w:t>
            </w:r>
          </w:p>
        </w:tc>
      </w:tr>
      <w:tr>
        <w:trPr/>
        <w:tc>
          <w:tcPr>
            <w:tcW w:w="28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left"/>
              <w:rPr>
                <w:rFonts w:ascii="Times" w:hAnsi="Times"/>
                <w:color w:val="0000FF"/>
                <w:sz w:val="24"/>
                <w:u w:val="single"/>
              </w:rPr>
            </w:pPr>
            <w:bookmarkStart w:id="2731" w:name="_cp_change_730"/>
            <w:bookmarkEnd w:id="2731"/>
            <w:r>
              <w:rPr>
                <w:rFonts w:ascii="Times" w:hAnsi="Times"/>
                <w:color w:val="0000FF"/>
                <w:sz w:val="24"/>
                <w:u w:val="single"/>
              </w:rPr>
              <w:t>Granada Plaza</w:t>
            </w:r>
          </w:p>
        </w:tc>
        <w:tc>
          <w:tcPr>
            <w:tcW w:w="30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TOMOKA24 GRANADA LLC</w:t>
            </w:r>
          </w:p>
        </w:tc>
        <w:tc>
          <w:tcPr>
            <w:tcW w:w="233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Dunedin, Florida</w:t>
            </w:r>
          </w:p>
        </w:tc>
        <w:tc>
          <w:tcPr>
            <w:tcW w:w="2072"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 xml:space="preserve">74,178 </w:t>
            </w:r>
          </w:p>
          <w:p>
            <w:pPr>
              <w:pStyle w:val="TableContents"/>
              <w:bidi w:val="0"/>
              <w:spacing w:lineRule="atLeast" w:line="280" w:before="0" w:after="0"/>
              <w:ind w:left="0" w:right="0" w:hanging="0"/>
              <w:jc w:val="center"/>
              <w:rPr>
                <w:color w:val="0000FF"/>
              </w:rPr>
            </w:pPr>
            <w:r>
              <w:rPr>
                <w:color w:val="0000FF"/>
              </w:rPr>
              <w:t>​</w:t>
            </w:r>
          </w:p>
        </w:tc>
      </w:tr>
      <w:tr>
        <w:trPr/>
        <w:tc>
          <w:tcPr>
            <w:tcW w:w="28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left"/>
              <w:rPr>
                <w:rFonts w:ascii="Times" w:hAnsi="Times"/>
                <w:color w:val="0000FF"/>
                <w:sz w:val="24"/>
                <w:u w:val="single"/>
              </w:rPr>
            </w:pPr>
            <w:bookmarkStart w:id="2732" w:name="_cp_change_739"/>
            <w:bookmarkEnd w:id="2732"/>
            <w:r>
              <w:rPr>
                <w:rFonts w:ascii="Times" w:hAnsi="Times"/>
                <w:color w:val="0000FF"/>
                <w:sz w:val="24"/>
                <w:u w:val="single"/>
              </w:rPr>
              <w:t>Ashley Park</w:t>
            </w:r>
          </w:p>
        </w:tc>
        <w:tc>
          <w:tcPr>
            <w:tcW w:w="30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TOMOKA25 Ashley Park LLC</w:t>
            </w:r>
          </w:p>
        </w:tc>
        <w:tc>
          <w:tcPr>
            <w:tcW w:w="233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Atlanta, Georgia</w:t>
            </w:r>
          </w:p>
        </w:tc>
        <w:tc>
          <w:tcPr>
            <w:tcW w:w="2072"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559,465</w:t>
            </w:r>
          </w:p>
        </w:tc>
      </w:tr>
      <w:tr>
        <w:trPr/>
        <w:tc>
          <w:tcPr>
            <w:tcW w:w="2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b/>
                <w:sz w:val="24"/>
              </w:rPr>
            </w:pPr>
            <w:r>
              <w:rPr>
                <w:rFonts w:ascii="Times" w:hAnsi="Times"/>
                <w:b/>
                <w:sz w:val="24"/>
              </w:rPr>
              <w:t>Total</w:t>
            </w:r>
          </w:p>
        </w:tc>
        <w:tc>
          <w:tcPr>
            <w:tcW w:w="300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color w:val="0000FF"/>
              </w:rPr>
            </w:pPr>
            <w:bookmarkStart w:id="2733" w:name="_cp_change_741"/>
            <w:bookmarkEnd w:id="2733"/>
            <w:r>
              <w:rPr>
                <w:color w:val="0000FF"/>
              </w:rPr>
              <w:t>​</w:t>
            </w:r>
          </w:p>
        </w:tc>
        <w:tc>
          <w:tcPr>
            <w:tcW w:w="23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b/>
                <w:sz w:val="24"/>
              </w:rPr>
            </w:pPr>
            <w:r>
              <w:rPr>
                <w:rFonts w:ascii="Times" w:hAnsi="Times"/>
                <w:b/>
                <w:sz w:val="24"/>
              </w:rPr>
              <w:t>23 Properties</w:t>
            </w:r>
          </w:p>
        </w:tc>
        <w:tc>
          <w:tcPr>
            <w:tcW w:w="207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bookmarkStart w:id="2734" w:name="_cp_change_742"/>
            <w:bookmarkEnd w:id="2734"/>
            <w:r>
              <w:rPr>
                <w:rFonts w:ascii="Times" w:hAnsi="Times"/>
                <w:color w:val="FF0000"/>
                <w:sz w:val="24"/>
              </w:rPr>
              <w:t>4,429,922</w:t>
            </w:r>
            <w:bookmarkStart w:id="2735" w:name="_cp_change_743"/>
            <w:bookmarkEnd w:id="2735"/>
            <w:r>
              <w:rPr>
                <w:rFonts w:ascii="Times" w:hAnsi="Times"/>
                <w:color w:val="0000FF"/>
                <w:sz w:val="24"/>
                <w:u w:val="single"/>
              </w:rPr>
              <w:t>5,034,182</w:t>
            </w:r>
          </w:p>
        </w:tc>
      </w:tr>
    </w:tbl>
    <w:p>
      <w:pPr>
        <w:pStyle w:val="TextBody"/>
        <w:bidi w:val="0"/>
        <w:spacing w:lineRule="atLeast" w:line="280" w:before="0" w:after="0"/>
        <w:ind w:left="0" w:right="0" w:hanging="0"/>
        <w:jc w:val="left"/>
        <w:rPr>
          <w:rFonts w:ascii="Times" w:hAnsi="Times"/>
          <w:sz w:val="24"/>
        </w:rPr>
      </w:pPr>
      <w:r>
        <w:rPr>
          <w:rFonts w:ascii="Times" w:hAnsi="Times"/>
          <w:sz w:val="24"/>
        </w:rPr>
        <w:t>* Denotes 1031 Property.</w:t>
      </w:r>
    </w:p>
    <w:p>
      <w:pPr>
        <w:pStyle w:val="TextBody"/>
        <w:bidi w:val="0"/>
        <w:spacing w:lineRule="atLeast" w:line="280" w:before="280" w:after="240"/>
        <w:ind w:left="0" w:right="0" w:hanging="0"/>
        <w:jc w:val="both"/>
        <w:rPr>
          <w:rFonts w:ascii="Times" w:hAnsi="Times"/>
          <w:sz w:val="24"/>
        </w:rPr>
      </w:pPr>
      <w:r>
        <w:rPr>
          <w:rFonts w:ascii="Times" w:hAnsi="Times"/>
          <w:sz w:val="24"/>
        </w:rPr>
        <w:t>Part II – Borrowing Base Mortgage Receivables</w:t>
      </w:r>
    </w:p>
    <w:tbl>
      <w:tblPr>
        <w:tblW w:w="10205" w:type="dxa"/>
        <w:jc w:val="left"/>
        <w:tblInd w:w="0" w:type="dxa"/>
        <w:tblLayout w:type="fixed"/>
        <w:tblCellMar>
          <w:top w:w="28" w:type="dxa"/>
          <w:left w:w="103" w:type="dxa"/>
          <w:bottom w:w="28" w:type="dxa"/>
          <w:right w:w="103" w:type="dxa"/>
        </w:tblCellMar>
      </w:tblPr>
      <w:tblGrid>
        <w:gridCol w:w="2484"/>
        <w:gridCol w:w="1975"/>
        <w:gridCol w:w="1628"/>
        <w:gridCol w:w="1747"/>
        <w:gridCol w:w="2371"/>
      </w:tblGrid>
      <w:tr>
        <w:trPr/>
        <w:tc>
          <w:tcPr>
            <w:tcW w:w="2484" w:type="dxa"/>
            <w:tcBorders>
              <w:top w:val="single" w:sz="2" w:space="0" w:color="000000"/>
              <w:left w:val="single" w:sz="2" w:space="0" w:color="000000"/>
              <w:bottom w:val="single" w:sz="18" w:space="0" w:color="000000"/>
              <w:right w:val="single" w:sz="2" w:space="0" w:color="000000"/>
            </w:tcBorders>
            <w:shd w:fill="E6E6FA" w:val="clear"/>
            <w:vAlign w:val="center"/>
          </w:tcPr>
          <w:p>
            <w:pPr>
              <w:pStyle w:val="TableHeading"/>
              <w:bidi w:val="0"/>
              <w:spacing w:lineRule="atLeast" w:line="280" w:before="0" w:after="0"/>
              <w:ind w:left="0" w:right="0" w:hanging="0"/>
              <w:jc w:val="left"/>
              <w:rPr>
                <w:rFonts w:ascii="Times" w:hAnsi="Times"/>
                <w:b/>
                <w:smallCaps/>
                <w:color w:val="0000FF"/>
                <w:sz w:val="24"/>
              </w:rPr>
            </w:pPr>
            <w:bookmarkStart w:id="2736" w:name="_cp_change_784"/>
            <w:bookmarkEnd w:id="2736"/>
            <w:r>
              <w:rPr>
                <w:rFonts w:ascii="Times" w:hAnsi="Times"/>
                <w:b/>
                <w:smallCaps/>
                <w:color w:val="0000FF"/>
                <w:sz w:val="24"/>
              </w:rPr>
              <w:t>Mortgaged Property or Borrower DBA</w:t>
            </w:r>
          </w:p>
        </w:tc>
        <w:tc>
          <w:tcPr>
            <w:tcW w:w="1975" w:type="dxa"/>
            <w:tcBorders>
              <w:top w:val="single" w:sz="2" w:space="0" w:color="000000"/>
              <w:left w:val="single" w:sz="2" w:space="0" w:color="000000"/>
              <w:bottom w:val="single" w:sz="18" w:space="0" w:color="000000"/>
              <w:right w:val="single" w:sz="2" w:space="0" w:color="000000"/>
            </w:tcBorders>
            <w:shd w:fill="E6E6FA" w:val="clear"/>
            <w:vAlign w:val="center"/>
          </w:tcPr>
          <w:p>
            <w:pPr>
              <w:pStyle w:val="TableHeading"/>
              <w:bidi w:val="0"/>
              <w:spacing w:lineRule="atLeast" w:line="280" w:before="0" w:after="0"/>
              <w:ind w:left="0" w:right="0" w:hanging="0"/>
              <w:jc w:val="center"/>
              <w:rPr>
                <w:rFonts w:ascii="Times" w:hAnsi="Times"/>
                <w:b/>
                <w:smallCaps/>
                <w:color w:val="0000FF"/>
                <w:sz w:val="24"/>
              </w:rPr>
            </w:pPr>
            <w:r>
              <w:rPr>
                <w:rFonts w:ascii="Times" w:hAnsi="Times"/>
                <w:b/>
                <w:smallCaps/>
                <w:color w:val="0000FF"/>
                <w:sz w:val="24"/>
              </w:rPr>
              <w:t>Mortgagee/ Guarantor</w:t>
            </w:r>
          </w:p>
        </w:tc>
        <w:tc>
          <w:tcPr>
            <w:tcW w:w="1628" w:type="dxa"/>
            <w:tcBorders>
              <w:top w:val="single" w:sz="2" w:space="0" w:color="000000"/>
              <w:left w:val="single" w:sz="2" w:space="0" w:color="000000"/>
              <w:bottom w:val="single" w:sz="18" w:space="0" w:color="000000"/>
              <w:right w:val="single" w:sz="2" w:space="0" w:color="000000"/>
            </w:tcBorders>
            <w:shd w:fill="E6E6FA" w:val="clear"/>
            <w:vAlign w:val="center"/>
          </w:tcPr>
          <w:p>
            <w:pPr>
              <w:pStyle w:val="TableHeading"/>
              <w:bidi w:val="0"/>
              <w:spacing w:lineRule="atLeast" w:line="280" w:before="0" w:after="0"/>
              <w:ind w:left="0" w:right="0" w:hanging="0"/>
              <w:jc w:val="center"/>
              <w:rPr>
                <w:rFonts w:ascii="Times" w:hAnsi="Times"/>
                <w:b/>
                <w:smallCaps/>
                <w:color w:val="0000FF"/>
                <w:sz w:val="24"/>
              </w:rPr>
            </w:pPr>
            <w:r>
              <w:rPr>
                <w:rFonts w:ascii="Times" w:hAnsi="Times"/>
                <w:b/>
                <w:smallCaps/>
                <w:color w:val="0000FF"/>
                <w:sz w:val="24"/>
              </w:rPr>
              <w:t>City, State</w:t>
            </w:r>
          </w:p>
        </w:tc>
        <w:tc>
          <w:tcPr>
            <w:tcW w:w="1747" w:type="dxa"/>
            <w:tcBorders>
              <w:top w:val="single" w:sz="2" w:space="0" w:color="000000"/>
              <w:left w:val="single" w:sz="2" w:space="0" w:color="000000"/>
              <w:bottom w:val="single" w:sz="18" w:space="0" w:color="000000"/>
              <w:right w:val="single" w:sz="2" w:space="0" w:color="000000"/>
            </w:tcBorders>
            <w:shd w:fill="E6E6FA" w:val="clear"/>
            <w:vAlign w:val="center"/>
          </w:tcPr>
          <w:p>
            <w:pPr>
              <w:pStyle w:val="TableHeading"/>
              <w:bidi w:val="0"/>
              <w:spacing w:lineRule="atLeast" w:line="280" w:before="0" w:after="0"/>
              <w:ind w:left="0" w:right="0" w:hanging="0"/>
              <w:jc w:val="center"/>
              <w:rPr>
                <w:rFonts w:ascii="Times" w:hAnsi="Times"/>
                <w:b/>
                <w:smallCaps/>
                <w:color w:val="0000FF"/>
                <w:sz w:val="24"/>
              </w:rPr>
            </w:pPr>
            <w:r>
              <w:rPr>
                <w:rFonts w:ascii="Times" w:hAnsi="Times"/>
                <w:b/>
                <w:smallCaps/>
                <w:color w:val="0000FF"/>
                <w:sz w:val="24"/>
              </w:rPr>
              <w:t>Construction?</w:t>
            </w:r>
          </w:p>
        </w:tc>
        <w:tc>
          <w:tcPr>
            <w:tcW w:w="2371" w:type="dxa"/>
            <w:tcBorders>
              <w:top w:val="single" w:sz="2" w:space="0" w:color="000000"/>
              <w:left w:val="single" w:sz="2" w:space="0" w:color="000000"/>
              <w:bottom w:val="single" w:sz="18" w:space="0" w:color="000000"/>
              <w:right w:val="single" w:sz="2" w:space="0" w:color="000000"/>
            </w:tcBorders>
            <w:shd w:fill="E6E6FA" w:val="clear"/>
            <w:vAlign w:val="center"/>
          </w:tcPr>
          <w:p>
            <w:pPr>
              <w:pStyle w:val="TableHeading"/>
              <w:bidi w:val="0"/>
              <w:spacing w:lineRule="atLeast" w:line="280" w:before="0" w:after="0"/>
              <w:ind w:left="0" w:right="0" w:hanging="0"/>
              <w:jc w:val="center"/>
              <w:rPr>
                <w:rFonts w:ascii="Times" w:hAnsi="Times"/>
                <w:b/>
                <w:smallCaps/>
                <w:color w:val="0000FF"/>
                <w:sz w:val="24"/>
              </w:rPr>
            </w:pPr>
            <w:r>
              <w:rPr>
                <w:rFonts w:ascii="Times" w:hAnsi="Times"/>
                <w:b/>
                <w:smallCaps/>
                <w:color w:val="0000FF"/>
                <w:sz w:val="24"/>
              </w:rPr>
              <w:t xml:space="preserve">In Default or Overdue by 60 days or more? </w:t>
            </w:r>
          </w:p>
        </w:tc>
      </w:tr>
      <w:tr>
        <w:trPr/>
        <w:tc>
          <w:tcPr>
            <w:tcW w:w="2484"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Rivana at Innovation Station</w:t>
            </w:r>
          </w:p>
        </w:tc>
        <w:tc>
          <w:tcPr>
            <w:tcW w:w="1975"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TOMOKA24 RIVANA LLC</w:t>
            </w:r>
          </w:p>
        </w:tc>
        <w:tc>
          <w:tcPr>
            <w:tcW w:w="1628"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Washington, D.C.</w:t>
            </w:r>
          </w:p>
        </w:tc>
        <w:tc>
          <w:tcPr>
            <w:tcW w:w="1747"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Yes</w:t>
            </w:r>
          </w:p>
        </w:tc>
        <w:tc>
          <w:tcPr>
            <w:tcW w:w="237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No</w:t>
            </w:r>
          </w:p>
        </w:tc>
      </w:tr>
      <w:tr>
        <w:trPr/>
        <w:tc>
          <w:tcPr>
            <w:tcW w:w="2484"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Whole Foods- Forsyth, GA</w:t>
            </w:r>
          </w:p>
        </w:tc>
        <w:tc>
          <w:tcPr>
            <w:tcW w:w="1975"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CTO24 FORSYTH LLC</w:t>
            </w:r>
          </w:p>
        </w:tc>
        <w:tc>
          <w:tcPr>
            <w:tcW w:w="1628"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Atlanta, Georgia</w:t>
            </w:r>
          </w:p>
        </w:tc>
        <w:tc>
          <w:tcPr>
            <w:tcW w:w="1747"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Yes</w:t>
            </w:r>
          </w:p>
        </w:tc>
        <w:tc>
          <w:tcPr>
            <w:tcW w:w="237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No</w:t>
            </w:r>
          </w:p>
        </w:tc>
      </w:tr>
      <w:tr>
        <w:trPr/>
        <w:tc>
          <w:tcPr>
            <w:tcW w:w="2484"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left"/>
              <w:rPr>
                <w:rFonts w:ascii="Times New Roman;Times;serif" w:hAnsi="Times New Roman;Times;serif"/>
                <w:color w:val="0000FF"/>
                <w:sz w:val="24"/>
                <w:u w:val="single"/>
              </w:rPr>
            </w:pPr>
            <w:r>
              <w:rPr>
                <w:rFonts w:ascii="Times New Roman;Times;serif" w:hAnsi="Times New Roman;Times;serif"/>
                <w:color w:val="0000FF"/>
                <w:sz w:val="24"/>
                <w:u w:val="single"/>
              </w:rPr>
              <w:t>Main Street Seller Financing</w:t>
            </w:r>
          </w:p>
        </w:tc>
        <w:tc>
          <w:tcPr>
            <w:tcW w:w="1975"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CTO25 MAIN STREET LLC</w:t>
            </w:r>
          </w:p>
        </w:tc>
        <w:tc>
          <w:tcPr>
            <w:tcW w:w="1628"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New Roman;Times;serif" w:hAnsi="Times New Roman;Times;serif"/>
                <w:color w:val="0000FF"/>
                <w:sz w:val="24"/>
                <w:u w:val="single"/>
              </w:rPr>
            </w:pPr>
            <w:r>
              <w:rPr>
                <w:rFonts w:ascii="Times New Roman;Times;serif" w:hAnsi="Times New Roman;Times;serif"/>
                <w:color w:val="0000FF"/>
                <w:sz w:val="24"/>
                <w:u w:val="single"/>
              </w:rPr>
              <w:t>Daytona Beach, Florida</w:t>
            </w:r>
          </w:p>
        </w:tc>
        <w:tc>
          <w:tcPr>
            <w:tcW w:w="1747"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No</w:t>
            </w:r>
          </w:p>
        </w:tc>
        <w:tc>
          <w:tcPr>
            <w:tcW w:w="2371"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4"/>
                <w:u w:val="single"/>
              </w:rPr>
            </w:pPr>
            <w:r>
              <w:rPr>
                <w:rFonts w:ascii="Times" w:hAnsi="Times"/>
                <w:color w:val="0000FF"/>
                <w:sz w:val="24"/>
                <w:u w:val="single"/>
              </w:rPr>
              <w:t>No</w:t>
            </w:r>
          </w:p>
        </w:tc>
      </w:tr>
    </w:tbl>
    <w:p>
      <w:pPr>
        <w:pStyle w:val="TextBody"/>
        <w:bidi w:val="0"/>
        <w:spacing w:lineRule="atLeast" w:line="280" w:before="280" w:after="0"/>
        <w:ind w:left="0" w:right="0" w:hanging="0"/>
        <w:jc w:val="both"/>
        <w:rPr>
          <w:rFonts w:ascii="Times" w:hAnsi="Times"/>
          <w:color w:val="FF0000"/>
          <w:sz w:val="24"/>
        </w:rPr>
      </w:pPr>
      <w:bookmarkStart w:id="2737" w:name="_cp_change_789"/>
      <w:bookmarkEnd w:id="2737"/>
      <w:r>
        <w:rPr>
          <w:rFonts w:ascii="Times" w:hAnsi="Times"/>
          <w:color w:val="FF0000"/>
          <w:sz w:val="24"/>
        </w:rPr>
        <w:t>[LIST]</w:t>
      </w:r>
      <w:bookmarkStart w:id="2738" w:name="_cp_change_788"/>
      <w:bookmarkEnd w:id="2738"/>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1.1 - 2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80" w:before="0" w:after="240"/>
        <w:ind w:left="0" w:right="0" w:hanging="0"/>
        <w:jc w:val="both"/>
        <w:rPr>
          <w:rFonts w:ascii="Times" w:hAnsi="Times"/>
          <w:sz w:val="24"/>
        </w:rPr>
      </w:pPr>
      <w:r>
        <w:rPr>
          <w:rFonts w:ascii="Times" w:hAnsi="Times"/>
          <w:sz w:val="24"/>
        </w:rPr>
        <w:t>Part III – Borrowing Base PINE Common Equity</w:t>
      </w:r>
    </w:p>
    <w:p>
      <w:pPr>
        <w:pStyle w:val="TextBody"/>
        <w:bidi w:val="0"/>
        <w:spacing w:lineRule="atLeast" w:line="280" w:before="280" w:after="0"/>
        <w:ind w:left="0" w:right="0" w:hanging="0"/>
        <w:jc w:val="both"/>
        <w:rPr>
          <w:rFonts w:ascii="Times" w:hAnsi="Times"/>
          <w:color w:val="FF0000"/>
          <w:sz w:val="24"/>
        </w:rPr>
      </w:pPr>
      <w:bookmarkStart w:id="2739" w:name="_cp_change_791"/>
      <w:bookmarkEnd w:id="2739"/>
      <w:r>
        <w:rPr>
          <w:rFonts w:ascii="Times" w:hAnsi="Times"/>
          <w:color w:val="FF0000"/>
          <w:sz w:val="24"/>
        </w:rPr>
        <w:t>[LIST]</w:t>
      </w:r>
      <w:bookmarkStart w:id="2740" w:name="_cp_change_790"/>
      <w:bookmarkEnd w:id="2740"/>
    </w:p>
    <w:tbl>
      <w:tblPr>
        <w:tblW w:w="10205" w:type="dxa"/>
        <w:jc w:val="center"/>
        <w:tblInd w:w="0" w:type="dxa"/>
        <w:tblLayout w:type="fixed"/>
        <w:tblCellMar>
          <w:top w:w="28" w:type="dxa"/>
          <w:left w:w="103" w:type="dxa"/>
          <w:bottom w:w="28" w:type="dxa"/>
          <w:right w:w="103" w:type="dxa"/>
        </w:tblCellMar>
      </w:tblPr>
      <w:tblGrid>
        <w:gridCol w:w="1625"/>
        <w:gridCol w:w="706"/>
        <w:gridCol w:w="1246"/>
        <w:gridCol w:w="1032"/>
        <w:gridCol w:w="1778"/>
        <w:gridCol w:w="1549"/>
        <w:gridCol w:w="2269"/>
      </w:tblGrid>
      <w:tr>
        <w:trPr/>
        <w:tc>
          <w:tcPr>
            <w:tcW w:w="1625"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w:hAnsi="Times"/>
                <w:b/>
                <w:smallCaps/>
                <w:sz w:val="24"/>
              </w:rPr>
            </w:pPr>
            <w:r>
              <w:rPr>
                <w:rFonts w:ascii="Times" w:hAnsi="Times"/>
                <w:b/>
                <w:smallCaps/>
                <w:sz w:val="24"/>
              </w:rPr>
              <w:t>Owner</w:t>
            </w:r>
          </w:p>
        </w:tc>
        <w:tc>
          <w:tcPr>
            <w:tcW w:w="706"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before="0" w:after="240"/>
              <w:ind w:left="0" w:right="0" w:hanging="0"/>
              <w:jc w:val="center"/>
              <w:rPr>
                <w:rFonts w:ascii="Times New Roman;Times;serif" w:hAnsi="Times New Roman;Times;serif"/>
                <w:b/>
                <w:color w:val="FF0000"/>
                <w:sz w:val="22"/>
              </w:rPr>
            </w:pPr>
            <w:bookmarkStart w:id="2741" w:name="_cp_change_794"/>
            <w:bookmarkEnd w:id="2741"/>
            <w:r>
              <w:rPr>
                <w:rFonts w:ascii="Times New Roman;Times;serif" w:hAnsi="Times New Roman;Times;serif"/>
                <w:b/>
                <w:color w:val="FF0000"/>
                <w:sz w:val="22"/>
              </w:rPr>
              <w:t>Issuer</w:t>
            </w:r>
          </w:p>
        </w:tc>
        <w:tc>
          <w:tcPr>
            <w:tcW w:w="1246"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before="0" w:after="240"/>
              <w:ind w:left="0" w:right="0" w:hanging="0"/>
              <w:jc w:val="center"/>
              <w:rPr>
                <w:rFonts w:ascii="Times New Roman;Times;serif" w:hAnsi="Times New Roman;Times;serif"/>
                <w:b/>
                <w:color w:val="FF0000"/>
                <w:sz w:val="22"/>
              </w:rPr>
            </w:pPr>
            <w:bookmarkStart w:id="2742" w:name="_cp_change_797"/>
            <w:bookmarkEnd w:id="2742"/>
            <w:r>
              <w:rPr>
                <w:rFonts w:ascii="Times New Roman;Times;serif" w:hAnsi="Times New Roman;Times;serif"/>
                <w:b/>
                <w:color w:val="FF0000"/>
                <w:sz w:val="22"/>
              </w:rPr>
              <w:t>Class of Shares</w:t>
            </w:r>
          </w:p>
        </w:tc>
        <w:tc>
          <w:tcPr>
            <w:tcW w:w="1032"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w:hAnsi="Times"/>
                <w:b/>
                <w:smallCaps/>
                <w:sz w:val="24"/>
              </w:rPr>
            </w:pPr>
            <w:r>
              <w:rPr>
                <w:rFonts w:ascii="Times" w:hAnsi="Times"/>
                <w:b/>
                <w:smallCaps/>
                <w:sz w:val="24"/>
              </w:rPr>
              <w:t>Par Value</w:t>
            </w:r>
          </w:p>
        </w:tc>
        <w:tc>
          <w:tcPr>
            <w:tcW w:w="1778"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w:hAnsi="Times"/>
                <w:b/>
                <w:smallCaps/>
                <w:sz w:val="24"/>
              </w:rPr>
            </w:pPr>
            <w:r>
              <w:rPr>
                <w:rFonts w:ascii="Times" w:hAnsi="Times"/>
                <w:b/>
                <w:smallCaps/>
                <w:sz w:val="24"/>
              </w:rPr>
              <w:t>Certificate No(s)</w:t>
            </w:r>
          </w:p>
        </w:tc>
        <w:tc>
          <w:tcPr>
            <w:tcW w:w="1549"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w:hAnsi="Times"/>
                <w:b/>
                <w:smallCaps/>
                <w:sz w:val="24"/>
              </w:rPr>
            </w:pPr>
            <w:r>
              <w:rPr>
                <w:rFonts w:ascii="Times" w:hAnsi="Times"/>
                <w:b/>
                <w:smallCaps/>
                <w:sz w:val="24"/>
              </w:rPr>
              <w:t>Number of Shares</w:t>
            </w:r>
          </w:p>
        </w:tc>
        <w:tc>
          <w:tcPr>
            <w:tcW w:w="2269"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before="0" w:after="240"/>
              <w:ind w:left="0" w:right="0" w:hanging="0"/>
              <w:jc w:val="center"/>
              <w:rPr>
                <w:rFonts w:ascii="Times New Roman;Times;serif" w:hAnsi="Times New Roman;Times;serif"/>
                <w:b/>
                <w:color w:val="FF0000"/>
                <w:sz w:val="22"/>
              </w:rPr>
            </w:pPr>
            <w:bookmarkStart w:id="2743" w:name="_cp_change_800"/>
            <w:bookmarkEnd w:id="2743"/>
            <w:r>
              <w:rPr>
                <w:rFonts w:ascii="Times New Roman;Times;serif" w:hAnsi="Times New Roman;Times;serif"/>
                <w:b/>
                <w:color w:val="FF0000"/>
                <w:sz w:val="22"/>
              </w:rPr>
              <w:t>Percentage of Outstanding Shares</w:t>
            </w:r>
          </w:p>
          <w:p>
            <w:pPr>
              <w:pStyle w:val="TableContents"/>
              <w:bidi w:val="0"/>
              <w:spacing w:before="0" w:after="240"/>
              <w:ind w:left="0" w:right="0" w:hanging="0"/>
              <w:jc w:val="center"/>
              <w:rPr>
                <w:color w:val="FF0000"/>
              </w:rPr>
            </w:pPr>
            <w:r>
              <w:rPr>
                <w:color w:val="FF0000"/>
              </w:rPr>
              <w:t>​</w:t>
            </w:r>
          </w:p>
        </w:tc>
      </w:tr>
      <w:tr>
        <w:trPr/>
        <w:tc>
          <w:tcPr>
            <w:tcW w:w="16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New Roman;Times;serif" w:hAnsi="Times New Roman;Times;serif"/>
                <w:color w:val="0000FF"/>
                <w:sz w:val="24"/>
                <w:u w:val="single"/>
              </w:rPr>
            </w:pPr>
            <w:bookmarkStart w:id="2744" w:name="_cp_change_801"/>
            <w:bookmarkEnd w:id="2744"/>
            <w:r>
              <w:rPr>
                <w:rFonts w:ascii="Times New Roman;Times;serif" w:hAnsi="Times New Roman;Times;serif"/>
                <w:color w:val="0000FF"/>
                <w:sz w:val="24"/>
                <w:u w:val="single"/>
              </w:rPr>
              <w:t>CTO Realty Growth, Inc.</w:t>
            </w:r>
          </w:p>
        </w:tc>
        <w:tc>
          <w:tcPr>
            <w:tcW w:w="706"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left"/>
              <w:rPr>
                <w:color w:val="FF0000"/>
              </w:rPr>
            </w:pPr>
            <w:bookmarkStart w:id="2745" w:name="_cp_change_803"/>
            <w:bookmarkEnd w:id="2745"/>
            <w:r>
              <w:rPr>
                <w:color w:val="FF0000"/>
              </w:rPr>
              <w:t>​</w:t>
            </w:r>
          </w:p>
        </w:tc>
        <w:tc>
          <w:tcPr>
            <w:tcW w:w="1246"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left"/>
              <w:rPr>
                <w:rFonts w:ascii="Times" w:hAnsi="Times"/>
                <w:color w:val="FF0000"/>
                <w:sz w:val="22"/>
              </w:rPr>
            </w:pPr>
            <w:bookmarkStart w:id="2746" w:name="_cp_change_806"/>
            <w:bookmarkEnd w:id="2746"/>
            <w:r>
              <w:rPr>
                <w:rFonts w:ascii="Times" w:hAnsi="Times"/>
                <w:color w:val="FF0000"/>
                <w:sz w:val="22"/>
              </w:rPr>
              <w:t>Common</w:t>
            </w:r>
          </w:p>
          <w:p>
            <w:pPr>
              <w:pStyle w:val="TableContents"/>
              <w:bidi w:val="0"/>
              <w:spacing w:lineRule="atLeast" w:line="280" w:before="0" w:after="0"/>
              <w:ind w:left="0" w:right="0" w:hanging="0"/>
              <w:jc w:val="left"/>
              <w:rPr>
                <w:color w:val="FF0000"/>
              </w:rPr>
            </w:pPr>
            <w:r>
              <w:rPr>
                <w:color w:val="FF0000"/>
              </w:rPr>
              <w:t>​</w:t>
            </w:r>
          </w:p>
        </w:tc>
        <w:tc>
          <w:tcPr>
            <w:tcW w:w="103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color w:val="0000FF"/>
                <w:sz w:val="22"/>
                <w:u w:val="single"/>
              </w:rPr>
            </w:pPr>
            <w:bookmarkStart w:id="2747" w:name="_cp_change_807"/>
            <w:bookmarkEnd w:id="2747"/>
            <w:r>
              <w:rPr>
                <w:rFonts w:ascii="Times" w:hAnsi="Times"/>
                <w:color w:val="0000FF"/>
                <w:sz w:val="22"/>
                <w:u w:val="single"/>
              </w:rPr>
              <w:t>$0.01</w:t>
            </w:r>
          </w:p>
        </w:tc>
        <w:tc>
          <w:tcPr>
            <w:tcW w:w="17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color w:val="0000FF"/>
                <w:sz w:val="22"/>
                <w:u w:val="single"/>
              </w:rPr>
            </w:pPr>
            <w:bookmarkStart w:id="2748" w:name="_cp_change_808"/>
            <w:bookmarkEnd w:id="2748"/>
            <w:r>
              <w:rPr>
                <w:rFonts w:ascii="Times" w:hAnsi="Times"/>
                <w:color w:val="0000FF"/>
                <w:sz w:val="22"/>
                <w:u w:val="single"/>
              </w:rPr>
              <w:t>N/A</w:t>
            </w:r>
          </w:p>
        </w:tc>
        <w:tc>
          <w:tcPr>
            <w:tcW w:w="15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color w:val="0000FF"/>
                <w:sz w:val="22"/>
                <w:u w:val="single"/>
              </w:rPr>
            </w:pPr>
            <w:bookmarkStart w:id="2749" w:name="_cp_change_809"/>
            <w:bookmarkEnd w:id="2749"/>
            <w:r>
              <w:rPr>
                <w:rFonts w:ascii="Times" w:hAnsi="Times"/>
                <w:color w:val="0000FF"/>
                <w:sz w:val="22"/>
                <w:u w:val="single"/>
              </w:rPr>
              <w:t>2,159,557</w:t>
            </w:r>
          </w:p>
        </w:tc>
        <w:tc>
          <w:tcPr>
            <w:tcW w:w="2269" w:type="dxa"/>
            <w:tcBorders>
              <w:top w:val="single" w:sz="2" w:space="0" w:color="000000"/>
              <w:left w:val="single" w:sz="2" w:space="0" w:color="000000"/>
              <w:bottom w:val="single" w:sz="2" w:space="0" w:color="000000"/>
              <w:right w:val="single" w:sz="2" w:space="0" w:color="000000"/>
            </w:tcBorders>
            <w:shd w:fill="FFDEAD" w:val="clear"/>
            <w:vAlign w:val="center"/>
          </w:tcPr>
          <w:p>
            <w:pPr>
              <w:pStyle w:val="TableContents"/>
              <w:bidi w:val="0"/>
              <w:spacing w:lineRule="atLeast" w:line="280" w:before="0" w:after="0"/>
              <w:ind w:left="0" w:right="0" w:hanging="0"/>
              <w:jc w:val="center"/>
              <w:rPr>
                <w:color w:val="FF0000"/>
              </w:rPr>
            </w:pPr>
            <w:bookmarkStart w:id="2750" w:name="_cp_change_811"/>
            <w:bookmarkEnd w:id="2750"/>
            <w:r>
              <w:rPr>
                <w:color w:val="FF0000"/>
              </w:rPr>
              <w:t>​</w:t>
            </w:r>
          </w:p>
        </w:tc>
      </w:tr>
      <w:tr>
        <w:trPr/>
        <w:tc>
          <w:tcPr>
            <w:tcW w:w="3577" w:type="dxa"/>
            <w:gridSpan w:val="3"/>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left"/>
              <w:rPr>
                <w:rFonts w:ascii="Times New Roman;Times;serif" w:hAnsi="Times New Roman;Times;serif"/>
                <w:color w:val="0000FF"/>
                <w:sz w:val="24"/>
                <w:u w:val="single"/>
              </w:rPr>
            </w:pPr>
            <w:bookmarkStart w:id="2751" w:name="_cp_change_820"/>
            <w:bookmarkEnd w:id="2751"/>
            <w:r>
              <w:rPr>
                <w:rFonts w:ascii="Times New Roman;Times;serif" w:hAnsi="Times New Roman;Times;serif"/>
                <w:color w:val="0000FF"/>
                <w:sz w:val="24"/>
                <w:u w:val="single"/>
              </w:rPr>
              <w:t>CTO TRS Crisp39 LLC</w:t>
            </w:r>
          </w:p>
        </w:tc>
        <w:tc>
          <w:tcPr>
            <w:tcW w:w="1032"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left"/>
              <w:rPr>
                <w:rFonts w:ascii="Times" w:hAnsi="Times"/>
                <w:color w:val="0000FF"/>
                <w:sz w:val="22"/>
                <w:u w:val="single"/>
              </w:rPr>
            </w:pPr>
            <w:r>
              <w:rPr>
                <w:rFonts w:ascii="Times" w:hAnsi="Times"/>
                <w:color w:val="0000FF"/>
                <w:sz w:val="22"/>
                <w:u w:val="single"/>
              </w:rPr>
              <w:t>$0.01</w:t>
            </w:r>
          </w:p>
        </w:tc>
        <w:tc>
          <w:tcPr>
            <w:tcW w:w="1778" w:type="dxa"/>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center"/>
              <w:rPr>
                <w:rFonts w:ascii="Times" w:hAnsi="Times"/>
                <w:color w:val="0000FF"/>
                <w:sz w:val="22"/>
                <w:u w:val="single"/>
              </w:rPr>
            </w:pPr>
            <w:r>
              <w:rPr>
                <w:rFonts w:ascii="Times" w:hAnsi="Times"/>
                <w:color w:val="0000FF"/>
                <w:sz w:val="22"/>
                <w:u w:val="single"/>
              </w:rPr>
              <w:t>N/A</w:t>
            </w:r>
          </w:p>
        </w:tc>
        <w:tc>
          <w:tcPr>
            <w:tcW w:w="3818" w:type="dxa"/>
            <w:gridSpan w:val="2"/>
            <w:tcBorders>
              <w:top w:val="single" w:sz="2" w:space="0" w:color="000000"/>
              <w:left w:val="single" w:sz="2" w:space="0" w:color="000000"/>
              <w:bottom w:val="single" w:sz="2" w:space="0" w:color="000000"/>
              <w:right w:val="single" w:sz="2" w:space="0" w:color="000000"/>
            </w:tcBorders>
            <w:shd w:fill="E6E6FA" w:val="clear"/>
            <w:vAlign w:val="center"/>
          </w:tcPr>
          <w:p>
            <w:pPr>
              <w:pStyle w:val="TableContents"/>
              <w:bidi w:val="0"/>
              <w:spacing w:lineRule="atLeast" w:line="280" w:before="0" w:after="0"/>
              <w:ind w:left="0" w:right="0" w:hanging="0"/>
              <w:jc w:val="left"/>
              <w:rPr>
                <w:rFonts w:ascii="Times" w:hAnsi="Times"/>
                <w:color w:val="0000FF"/>
                <w:sz w:val="22"/>
                <w:u w:val="single"/>
              </w:rPr>
            </w:pPr>
            <w:r>
              <w:rPr>
                <w:rFonts w:ascii="Times" w:hAnsi="Times"/>
                <w:color w:val="0000FF"/>
                <w:sz w:val="22"/>
                <w:u w:val="single"/>
              </w:rPr>
              <w:t>311,999</w:t>
            </w:r>
          </w:p>
        </w:tc>
      </w:tr>
    </w:tbl>
    <w:p>
      <w:pPr>
        <w:pStyle w:val="TextBody"/>
        <w:bidi w:val="0"/>
        <w:spacing w:lineRule="atLeast" w:line="280" w:before="0" w:after="0"/>
        <w:ind w:left="0" w:right="0" w:hanging="0"/>
        <w:jc w:val="left"/>
        <w:rPr>
          <w:color w:val="FF0000"/>
        </w:rPr>
      </w:pPr>
      <w:bookmarkStart w:id="2752" w:name="_cp_change_821"/>
      <w:bookmarkEnd w:id="2752"/>
      <w:r>
        <w:rPr>
          <w:color w:val="FF0000"/>
        </w:rPr>
        <w:t>​</w:t>
      </w:r>
    </w:p>
    <w:p>
      <w:pPr>
        <w:pStyle w:val="TextBody"/>
        <w:bidi w:val="0"/>
        <w:spacing w:before="0" w:after="0"/>
        <w:ind w:left="0" w:right="9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1.1 - 3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b/>
          <w:sz w:val="24"/>
        </w:rPr>
        <w:t>Schedule</w:t>
      </w:r>
      <w:r>
        <w:rPr>
          <w:rFonts w:ascii="Times New Roman;Times;serif" w:hAnsi="Times New Roman;Times;serif"/>
          <w:smallCaps/>
          <w:sz w:val="24"/>
        </w:rPr>
        <w:t xml:space="preserve"> </w:t>
      </w:r>
      <w:r>
        <w:rPr>
          <w:rFonts w:ascii="Times New Roman;Times;serif" w:hAnsi="Times New Roman;Times;serif"/>
          <w:b/>
          <w:smallCaps/>
          <w:sz w:val="24"/>
        </w:rPr>
        <w:t>6.2</w:t>
      </w:r>
    </w:p>
    <w:p>
      <w:pPr>
        <w:pStyle w:val="TextBody"/>
        <w:bidi w:val="0"/>
        <w:spacing w:before="360" w:after="0"/>
        <w:ind w:left="0" w:right="0" w:hanging="0"/>
        <w:jc w:val="center"/>
        <w:rPr>
          <w:rFonts w:ascii="Times New Roman Bold" w:hAnsi="Times New Roman Bold"/>
          <w:b/>
          <w:smallCaps/>
          <w:sz w:val="24"/>
        </w:rPr>
      </w:pPr>
      <w:r>
        <w:rPr>
          <w:rFonts w:ascii="Times New Roman Bold" w:hAnsi="Times New Roman Bold"/>
          <w:b/>
          <w:smallCaps/>
          <w:sz w:val="24"/>
        </w:rPr>
        <w:t>Subsidiaries</w:t>
      </w:r>
    </w:p>
    <w:p>
      <w:pPr>
        <w:pStyle w:val="TextBody"/>
        <w:bidi w:val="0"/>
        <w:spacing w:before="0" w:after="0"/>
        <w:ind w:left="0" w:right="0" w:hanging="0"/>
        <w:jc w:val="left"/>
        <w:rPr/>
      </w:pPr>
      <w:r>
        <w:rPr/>
        <w:t>​</w:t>
      </w:r>
    </w:p>
    <w:p>
      <w:pPr>
        <w:pStyle w:val="TextBody"/>
        <w:bidi w:val="0"/>
        <w:spacing w:lineRule="atLeast" w:line="280" w:before="0" w:after="0"/>
        <w:ind w:left="0" w:right="0" w:hanging="0"/>
        <w:jc w:val="left"/>
        <w:rPr>
          <w:rFonts w:ascii="Times New Roman;Times;serif" w:hAnsi="Times New Roman;Times;serif"/>
          <w:sz w:val="24"/>
        </w:rPr>
      </w:pPr>
      <w:bookmarkStart w:id="2753" w:name="_cp_change_823"/>
      <w:bookmarkEnd w:id="2753"/>
      <w:r>
        <w:rPr>
          <w:rFonts w:ascii="Times" w:hAnsi="Times"/>
          <w:b/>
          <w:color w:val="FF0000"/>
          <w:sz w:val="24"/>
        </w:rPr>
        <w:t>ALPINE INCOME PRPERTY MANAGER, LLC</w:t>
      </w:r>
      <w:r>
        <w:rPr>
          <w:rFonts w:ascii="Times New Roman;Times;serif" w:hAnsi="Times New Roman;Times;serif"/>
          <w:color w:val="FF0000"/>
          <w:sz w:val="24"/>
        </w:rPr>
        <w:t xml:space="preserve"> </w:t>
      </w:r>
      <w:r>
        <w:rPr>
          <w:rFonts w:ascii="Times" w:hAnsi="Times"/>
          <w:b/>
          <w:color w:val="FF0000"/>
          <w:sz w:val="24"/>
        </w:rPr>
        <w:t>(limited liability company)</w:t>
      </w:r>
      <w:bookmarkStart w:id="2754" w:name="_cp_change_822"/>
      <w:bookmarkEnd w:id="2754"/>
    </w:p>
    <w:p>
      <w:pPr>
        <w:pStyle w:val="TextBody"/>
        <w:bidi w:val="0"/>
        <w:spacing w:lineRule="atLeast" w:line="280" w:before="0" w:after="0"/>
        <w:ind w:left="0" w:right="0" w:hanging="0"/>
        <w:jc w:val="left"/>
        <w:rPr>
          <w:rFonts w:ascii="Times" w:hAnsi="Times"/>
          <w:color w:val="FF0000"/>
          <w:sz w:val="24"/>
        </w:rPr>
      </w:pPr>
      <w:bookmarkStart w:id="2755" w:name="_cp_change_825"/>
      <w:bookmarkEnd w:id="2755"/>
      <w:r>
        <w:rPr>
          <w:rFonts w:ascii="Times" w:hAnsi="Times"/>
          <w:color w:val="FF0000"/>
          <w:sz w:val="24"/>
        </w:rPr>
        <w:t>Date of Formation:August 16, 2019</w:t>
      </w:r>
      <w:bookmarkStart w:id="2756" w:name="_cp_change_824"/>
      <w:bookmarkEnd w:id="2756"/>
    </w:p>
    <w:p>
      <w:pPr>
        <w:pStyle w:val="TextBody"/>
        <w:bidi w:val="0"/>
        <w:spacing w:lineRule="atLeast" w:line="280" w:before="0" w:after="0"/>
        <w:ind w:left="0" w:right="0" w:hanging="0"/>
        <w:jc w:val="left"/>
        <w:rPr>
          <w:rFonts w:ascii="Times" w:hAnsi="Times"/>
          <w:color w:val="FF0000"/>
          <w:sz w:val="24"/>
        </w:rPr>
      </w:pPr>
      <w:bookmarkStart w:id="2757" w:name="_cp_change_827"/>
      <w:bookmarkEnd w:id="2757"/>
      <w:r>
        <w:rPr>
          <w:rFonts w:ascii="Times" w:hAnsi="Times"/>
          <w:color w:val="FF0000"/>
          <w:sz w:val="24"/>
        </w:rPr>
        <w:t>State of Formation:Delaware</w:t>
      </w:r>
      <w:bookmarkStart w:id="2758" w:name="_cp_change_826"/>
      <w:bookmarkEnd w:id="2758"/>
    </w:p>
    <w:p>
      <w:pPr>
        <w:pStyle w:val="TextBody"/>
        <w:bidi w:val="0"/>
        <w:spacing w:lineRule="atLeast" w:line="280" w:before="0" w:after="0"/>
        <w:ind w:left="0" w:right="0" w:hanging="0"/>
        <w:jc w:val="left"/>
        <w:rPr>
          <w:rFonts w:ascii="Times New Roman;Times;serif" w:hAnsi="Times New Roman;Times;serif"/>
          <w:sz w:val="24"/>
        </w:rPr>
      </w:pPr>
      <w:bookmarkStart w:id="2759" w:name="_cp_change_829"/>
      <w:bookmarkEnd w:id="2759"/>
      <w:r>
        <w:rPr>
          <w:rFonts w:ascii="Times" w:hAnsi="Times"/>
          <w:b w:val="false"/>
          <w:i w:val="false"/>
          <w:caps w:val="false"/>
          <w:smallCaps w:val="false"/>
          <w:color w:val="FF0000"/>
          <w:sz w:val="24"/>
        </w:rPr>
        <w:t>Member:</w:t>
      </w:r>
      <w:r>
        <w:rPr>
          <w:rFonts w:ascii="Times" w:hAnsi="Times"/>
          <w:color w:val="FF0000"/>
          <w:sz w:val="24"/>
        </w:rPr>
        <w:t>CTO Realty Growth, Inc. 100%</w:t>
      </w:r>
      <w:bookmarkStart w:id="2760" w:name="_cp_change_828"/>
      <w:bookmarkEnd w:id="2760"/>
    </w:p>
    <w:p>
      <w:pPr>
        <w:pStyle w:val="TextBody"/>
        <w:bidi w:val="0"/>
        <w:spacing w:lineRule="atLeast" w:line="280" w:before="0" w:after="0"/>
        <w:ind w:left="0" w:right="0" w:hanging="0"/>
        <w:jc w:val="left"/>
        <w:rPr>
          <w:rFonts w:ascii="Times New Roman;Times;serif" w:hAnsi="Times New Roman;Times;serif"/>
          <w:sz w:val="24"/>
        </w:rPr>
      </w:pPr>
      <w:bookmarkStart w:id="2761" w:name="_cp_change_831"/>
      <w:bookmarkEnd w:id="2761"/>
      <w:r>
        <w:rPr>
          <w:rFonts w:ascii="Times" w:hAnsi="Times"/>
          <w:b/>
          <w:color w:val="FF0000"/>
          <w:sz w:val="24"/>
        </w:rPr>
        <w:t>CTO TRS Crisp 39 LLC</w:t>
      </w:r>
      <w:r>
        <w:rPr>
          <w:rFonts w:ascii="Times New Roman;Times;serif" w:hAnsi="Times New Roman;Times;serif"/>
          <w:color w:val="FF0000"/>
          <w:sz w:val="24"/>
        </w:rPr>
        <w:t xml:space="preserve"> </w:t>
      </w:r>
      <w:r>
        <w:rPr>
          <w:rFonts w:ascii="Times" w:hAnsi="Times"/>
          <w:b/>
          <w:color w:val="FF0000"/>
          <w:sz w:val="24"/>
        </w:rPr>
        <w:t>(limited liability company)</w:t>
      </w:r>
      <w:bookmarkStart w:id="2762" w:name="_cp_change_830"/>
      <w:bookmarkEnd w:id="2762"/>
    </w:p>
    <w:p>
      <w:pPr>
        <w:pStyle w:val="TextBody"/>
        <w:bidi w:val="0"/>
        <w:spacing w:lineRule="atLeast" w:line="280" w:before="0" w:after="0"/>
        <w:ind w:left="0" w:right="0" w:hanging="0"/>
        <w:jc w:val="left"/>
        <w:rPr>
          <w:rFonts w:ascii="Times" w:hAnsi="Times"/>
          <w:color w:val="FF0000"/>
          <w:sz w:val="24"/>
        </w:rPr>
      </w:pPr>
      <w:bookmarkStart w:id="2763" w:name="_cp_change_833"/>
      <w:bookmarkEnd w:id="2763"/>
      <w:r>
        <w:rPr>
          <w:rFonts w:ascii="Times" w:hAnsi="Times"/>
          <w:color w:val="FF0000"/>
          <w:sz w:val="24"/>
        </w:rPr>
        <w:t>Date of Formation:October 17, 2019</w:t>
      </w:r>
      <w:bookmarkStart w:id="2764" w:name="_cp_change_832"/>
      <w:bookmarkEnd w:id="2764"/>
    </w:p>
    <w:p>
      <w:pPr>
        <w:pStyle w:val="TextBody"/>
        <w:bidi w:val="0"/>
        <w:spacing w:lineRule="atLeast" w:line="280" w:before="0" w:after="0"/>
        <w:ind w:left="0" w:right="0" w:hanging="0"/>
        <w:jc w:val="left"/>
        <w:rPr>
          <w:rFonts w:ascii="Times" w:hAnsi="Times"/>
          <w:color w:val="FF0000"/>
          <w:sz w:val="24"/>
        </w:rPr>
      </w:pPr>
      <w:bookmarkStart w:id="2765" w:name="_cp_change_835"/>
      <w:bookmarkEnd w:id="2765"/>
      <w:r>
        <w:rPr>
          <w:rFonts w:ascii="Times" w:hAnsi="Times"/>
          <w:color w:val="FF0000"/>
          <w:sz w:val="24"/>
        </w:rPr>
        <w:t>State of Formation:Delaware</w:t>
      </w:r>
      <w:bookmarkStart w:id="2766" w:name="_cp_change_834"/>
      <w:bookmarkEnd w:id="2766"/>
    </w:p>
    <w:p>
      <w:pPr>
        <w:pStyle w:val="TextBody"/>
        <w:bidi w:val="0"/>
        <w:spacing w:lineRule="atLeast" w:line="280" w:before="0" w:after="0"/>
        <w:ind w:left="0" w:right="0" w:hanging="0"/>
        <w:jc w:val="left"/>
        <w:rPr>
          <w:rFonts w:ascii="Times New Roman;Times;serif" w:hAnsi="Times New Roman;Times;serif"/>
          <w:sz w:val="24"/>
        </w:rPr>
      </w:pPr>
      <w:bookmarkStart w:id="2767" w:name="_cp_change_837"/>
      <w:bookmarkEnd w:id="2767"/>
      <w:r>
        <w:rPr>
          <w:rFonts w:ascii="Times" w:hAnsi="Times"/>
          <w:b w:val="false"/>
          <w:i w:val="false"/>
          <w:caps w:val="false"/>
          <w:smallCaps w:val="false"/>
          <w:color w:val="FF0000"/>
          <w:sz w:val="24"/>
        </w:rPr>
        <w:t>Member:</w:t>
      </w:r>
      <w:r>
        <w:rPr>
          <w:rFonts w:ascii="Times" w:hAnsi="Times"/>
          <w:color w:val="FF0000"/>
          <w:sz w:val="24"/>
        </w:rPr>
        <w:t>CTO Realty Growth, Inc. 100%</w:t>
      </w:r>
      <w:bookmarkStart w:id="2768" w:name="_cp_change_836"/>
      <w:bookmarkEnd w:id="2768"/>
    </w:p>
    <w:p>
      <w:pPr>
        <w:pStyle w:val="TextBody"/>
        <w:bidi w:val="0"/>
        <w:spacing w:lineRule="atLeast" w:line="280" w:before="0" w:after="0"/>
        <w:ind w:left="0" w:right="0" w:hanging="0"/>
        <w:jc w:val="left"/>
        <w:rPr>
          <w:rFonts w:ascii="Times New Roman;Times;serif" w:hAnsi="Times New Roman;Times;serif"/>
          <w:sz w:val="24"/>
        </w:rPr>
      </w:pPr>
      <w:bookmarkStart w:id="2769" w:name="_cp_change_839"/>
      <w:bookmarkEnd w:id="2769"/>
      <w:r>
        <w:rPr>
          <w:rFonts w:ascii="Times" w:hAnsi="Times"/>
          <w:b/>
          <w:color w:val="FF0000"/>
          <w:sz w:val="24"/>
        </w:rPr>
        <w:t>CTO TRS CW LLC</w:t>
      </w:r>
      <w:r>
        <w:rPr>
          <w:rFonts w:ascii="Times New Roman;Times;serif" w:hAnsi="Times New Roman;Times;serif"/>
          <w:color w:val="FF0000"/>
          <w:sz w:val="24"/>
        </w:rPr>
        <w:t xml:space="preserve"> </w:t>
      </w:r>
      <w:r>
        <w:rPr>
          <w:rFonts w:ascii="Times" w:hAnsi="Times"/>
          <w:b/>
          <w:color w:val="FF0000"/>
          <w:sz w:val="24"/>
        </w:rPr>
        <w:t>(limited liability company)</w:t>
      </w:r>
      <w:bookmarkStart w:id="2770" w:name="_cp_change_838"/>
      <w:bookmarkEnd w:id="2770"/>
    </w:p>
    <w:p>
      <w:pPr>
        <w:pStyle w:val="TextBody"/>
        <w:bidi w:val="0"/>
        <w:spacing w:lineRule="atLeast" w:line="280" w:before="0" w:after="0"/>
        <w:ind w:left="0" w:right="0" w:hanging="0"/>
        <w:jc w:val="left"/>
        <w:rPr>
          <w:rFonts w:ascii="Times" w:hAnsi="Times"/>
          <w:color w:val="FF0000"/>
          <w:sz w:val="24"/>
        </w:rPr>
      </w:pPr>
      <w:bookmarkStart w:id="2771" w:name="_cp_change_841"/>
      <w:bookmarkEnd w:id="2771"/>
      <w:r>
        <w:rPr>
          <w:rFonts w:ascii="Times" w:hAnsi="Times"/>
          <w:color w:val="FF0000"/>
          <w:sz w:val="24"/>
        </w:rPr>
        <w:t>Date of Formation:March 5, 2020</w:t>
      </w:r>
      <w:bookmarkStart w:id="2772" w:name="_cp_change_840"/>
      <w:bookmarkEnd w:id="2772"/>
    </w:p>
    <w:p>
      <w:pPr>
        <w:pStyle w:val="TextBody"/>
        <w:bidi w:val="0"/>
        <w:spacing w:lineRule="atLeast" w:line="280" w:before="0" w:after="0"/>
        <w:ind w:left="0" w:right="0" w:hanging="0"/>
        <w:jc w:val="left"/>
        <w:rPr>
          <w:rFonts w:ascii="Times" w:hAnsi="Times"/>
          <w:color w:val="FF0000"/>
          <w:sz w:val="24"/>
        </w:rPr>
      </w:pPr>
      <w:bookmarkStart w:id="2773" w:name="_cp_change_843"/>
      <w:bookmarkEnd w:id="2773"/>
      <w:r>
        <w:rPr>
          <w:rFonts w:ascii="Times" w:hAnsi="Times"/>
          <w:color w:val="FF0000"/>
          <w:sz w:val="24"/>
        </w:rPr>
        <w:t>State of Formation:Delaware</w:t>
      </w:r>
      <w:bookmarkStart w:id="2774" w:name="_cp_change_842"/>
      <w:bookmarkEnd w:id="2774"/>
    </w:p>
    <w:p>
      <w:pPr>
        <w:pStyle w:val="TextBody"/>
        <w:bidi w:val="0"/>
        <w:spacing w:lineRule="atLeast" w:line="280" w:before="0" w:after="0"/>
        <w:ind w:left="0" w:right="0" w:hanging="0"/>
        <w:jc w:val="left"/>
        <w:rPr>
          <w:rFonts w:ascii="Times New Roman;Times;serif" w:hAnsi="Times New Roman;Times;serif"/>
          <w:sz w:val="24"/>
        </w:rPr>
      </w:pPr>
      <w:bookmarkStart w:id="2775" w:name="_cp_change_845"/>
      <w:bookmarkEnd w:id="2775"/>
      <w:r>
        <w:rPr>
          <w:rFonts w:ascii="Times" w:hAnsi="Times"/>
          <w:b w:val="false"/>
          <w:i w:val="false"/>
          <w:caps w:val="false"/>
          <w:smallCaps w:val="false"/>
          <w:color w:val="FF0000"/>
          <w:sz w:val="24"/>
        </w:rPr>
        <w:t>Member:</w:t>
      </w:r>
      <w:r>
        <w:rPr>
          <w:rFonts w:ascii="Times" w:hAnsi="Times"/>
          <w:color w:val="FF0000"/>
          <w:sz w:val="24"/>
        </w:rPr>
        <w:t>CTO TRS CRISP39 LLC 100%</w:t>
      </w:r>
      <w:bookmarkStart w:id="2776" w:name="_cp_change_844"/>
      <w:bookmarkEnd w:id="2776"/>
    </w:p>
    <w:p>
      <w:pPr>
        <w:pStyle w:val="TextBody"/>
        <w:bidi w:val="0"/>
        <w:spacing w:lineRule="atLeast" w:line="280" w:before="0" w:after="0"/>
        <w:ind w:left="0" w:right="0" w:hanging="0"/>
        <w:jc w:val="left"/>
        <w:rPr>
          <w:rFonts w:ascii="Times New Roman;Times;serif" w:hAnsi="Times New Roman;Times;serif"/>
          <w:sz w:val="24"/>
        </w:rPr>
      </w:pPr>
      <w:bookmarkStart w:id="2777" w:name="_cp_change_847"/>
      <w:bookmarkEnd w:id="2777"/>
      <w:r>
        <w:rPr>
          <w:rFonts w:ascii="Times" w:hAnsi="Times"/>
          <w:b/>
          <w:color w:val="FF0000"/>
          <w:sz w:val="24"/>
        </w:rPr>
        <w:t>CTO TRS MITIGATION LLC</w:t>
      </w:r>
      <w:r>
        <w:rPr>
          <w:rFonts w:ascii="Times New Roman;Times;serif" w:hAnsi="Times New Roman;Times;serif"/>
          <w:color w:val="FF0000"/>
          <w:sz w:val="24"/>
        </w:rPr>
        <w:t xml:space="preserve"> </w:t>
      </w:r>
      <w:r>
        <w:rPr>
          <w:rFonts w:ascii="Times" w:hAnsi="Times"/>
          <w:b/>
          <w:color w:val="FF0000"/>
          <w:sz w:val="24"/>
        </w:rPr>
        <w:t>(limited liability company)</w:t>
      </w:r>
      <w:bookmarkStart w:id="2778" w:name="_cp_change_846"/>
      <w:bookmarkEnd w:id="2778"/>
    </w:p>
    <w:p>
      <w:pPr>
        <w:pStyle w:val="TextBody"/>
        <w:bidi w:val="0"/>
        <w:spacing w:lineRule="atLeast" w:line="280" w:before="0" w:after="0"/>
        <w:ind w:left="0" w:right="0" w:hanging="0"/>
        <w:jc w:val="left"/>
        <w:rPr>
          <w:rFonts w:ascii="Times" w:hAnsi="Times"/>
          <w:color w:val="FF0000"/>
          <w:sz w:val="24"/>
        </w:rPr>
      </w:pPr>
      <w:bookmarkStart w:id="2779" w:name="_cp_change_849"/>
      <w:bookmarkEnd w:id="2779"/>
      <w:r>
        <w:rPr>
          <w:rFonts w:ascii="Times" w:hAnsi="Times"/>
          <w:color w:val="FF0000"/>
          <w:sz w:val="24"/>
        </w:rPr>
        <w:t>Date of Formation:March 5, 2020</w:t>
      </w:r>
      <w:bookmarkStart w:id="2780" w:name="_cp_change_848"/>
      <w:bookmarkEnd w:id="2780"/>
    </w:p>
    <w:p>
      <w:pPr>
        <w:pStyle w:val="TextBody"/>
        <w:bidi w:val="0"/>
        <w:spacing w:lineRule="atLeast" w:line="280" w:before="0" w:after="0"/>
        <w:ind w:left="0" w:right="0" w:hanging="0"/>
        <w:jc w:val="left"/>
        <w:rPr>
          <w:rFonts w:ascii="Times" w:hAnsi="Times"/>
          <w:color w:val="FF0000"/>
          <w:sz w:val="24"/>
        </w:rPr>
      </w:pPr>
      <w:bookmarkStart w:id="2781" w:name="_cp_change_851"/>
      <w:bookmarkEnd w:id="2781"/>
      <w:r>
        <w:rPr>
          <w:rFonts w:ascii="Times" w:hAnsi="Times"/>
          <w:color w:val="FF0000"/>
          <w:sz w:val="24"/>
        </w:rPr>
        <w:t>State of Formation:Delaware</w:t>
      </w:r>
      <w:bookmarkStart w:id="2782" w:name="_cp_change_850"/>
      <w:bookmarkEnd w:id="2782"/>
    </w:p>
    <w:p>
      <w:pPr>
        <w:pStyle w:val="TextBody"/>
        <w:bidi w:val="0"/>
        <w:spacing w:lineRule="atLeast" w:line="280" w:before="0" w:after="0"/>
        <w:ind w:left="0" w:right="0" w:hanging="0"/>
        <w:jc w:val="left"/>
        <w:rPr>
          <w:rFonts w:ascii="Times New Roman;Times;serif" w:hAnsi="Times New Roman;Times;serif"/>
          <w:sz w:val="24"/>
        </w:rPr>
      </w:pPr>
      <w:bookmarkStart w:id="2783" w:name="_cp_change_852"/>
      <w:bookmarkEnd w:id="2783"/>
      <w:r>
        <w:rPr>
          <w:rFonts w:ascii="Times" w:hAnsi="Times"/>
          <w:b w:val="false"/>
          <w:i w:val="false"/>
          <w:caps w:val="false"/>
          <w:smallCaps w:val="false"/>
          <w:color w:val="FF0000"/>
          <w:sz w:val="24"/>
        </w:rPr>
        <w:t>Member:</w:t>
      </w:r>
      <w:r>
        <w:rPr>
          <w:rFonts w:ascii="Times" w:hAnsi="Times"/>
          <w:color w:val="FF0000"/>
          <w:sz w:val="24"/>
        </w:rPr>
        <w:t>CTO TRS CRISP39 LLC 100%</w:t>
        <w:br/>
      </w:r>
      <w:bookmarkStart w:id="2784" w:name="_cp_change_853"/>
      <w:bookmarkEnd w:id="2784"/>
      <w:r>
        <w:rPr>
          <w:rFonts w:ascii="Times New Roman;Times;serif" w:hAnsi="Times New Roman;Times;serif"/>
          <w:color w:val="FF0000"/>
          <w:sz w:val="24"/>
        </w:rPr>
        <w:t>​</w:t>
      </w:r>
    </w:p>
    <w:p>
      <w:pPr>
        <w:pStyle w:val="TextBody"/>
        <w:bidi w:val="0"/>
        <w:spacing w:lineRule="atLeast" w:line="280" w:before="0" w:after="0"/>
        <w:ind w:left="0" w:right="0" w:hanging="0"/>
        <w:jc w:val="left"/>
        <w:rPr>
          <w:rFonts w:ascii="Times New Roman;Times;serif" w:hAnsi="Times New Roman;Times;serif"/>
          <w:sz w:val="24"/>
        </w:rPr>
      </w:pPr>
      <w:bookmarkStart w:id="2785" w:name="_cp_change_855"/>
      <w:bookmarkEnd w:id="2785"/>
      <w:r>
        <w:rPr>
          <w:rFonts w:ascii="Times" w:hAnsi="Times"/>
          <w:b/>
          <w:color w:val="FF0000"/>
          <w:sz w:val="24"/>
        </w:rPr>
        <w:t>CTO16 ATLANTIC LLC</w:t>
      </w:r>
      <w:r>
        <w:rPr>
          <w:rFonts w:ascii="Times New Roman;Times;serif" w:hAnsi="Times New Roman;Times;serif"/>
          <w:color w:val="FF0000"/>
          <w:sz w:val="24"/>
        </w:rPr>
        <w:t xml:space="preserve"> </w:t>
      </w:r>
      <w:r>
        <w:rPr>
          <w:rFonts w:ascii="Times" w:hAnsi="Times"/>
          <w:b/>
          <w:color w:val="FF0000"/>
          <w:sz w:val="24"/>
        </w:rPr>
        <w:t>(limited liability company)</w:t>
      </w:r>
      <w:bookmarkStart w:id="2786" w:name="_cp_change_854"/>
      <w:bookmarkEnd w:id="2786"/>
    </w:p>
    <w:p>
      <w:pPr>
        <w:pStyle w:val="TextBody"/>
        <w:bidi w:val="0"/>
        <w:spacing w:lineRule="atLeast" w:line="280" w:before="0" w:after="0"/>
        <w:ind w:left="0" w:right="0" w:hanging="0"/>
        <w:jc w:val="left"/>
        <w:rPr>
          <w:rFonts w:ascii="Times" w:hAnsi="Times"/>
          <w:color w:val="FF0000"/>
          <w:sz w:val="24"/>
        </w:rPr>
      </w:pPr>
      <w:bookmarkStart w:id="2787" w:name="_cp_change_857"/>
      <w:bookmarkEnd w:id="2787"/>
      <w:r>
        <w:rPr>
          <w:rFonts w:ascii="Times" w:hAnsi="Times"/>
          <w:color w:val="FF0000"/>
          <w:sz w:val="24"/>
        </w:rPr>
        <w:t>Date of Formation:November 9, 2016</w:t>
      </w:r>
      <w:bookmarkStart w:id="2788" w:name="_cp_change_856"/>
      <w:bookmarkEnd w:id="2788"/>
    </w:p>
    <w:p>
      <w:pPr>
        <w:pStyle w:val="TextBody"/>
        <w:bidi w:val="0"/>
        <w:spacing w:lineRule="atLeast" w:line="280" w:before="0" w:after="0"/>
        <w:ind w:left="0" w:right="0" w:hanging="0"/>
        <w:jc w:val="left"/>
        <w:rPr>
          <w:rFonts w:ascii="Times" w:hAnsi="Times"/>
          <w:color w:val="FF0000"/>
          <w:sz w:val="24"/>
        </w:rPr>
      </w:pPr>
      <w:bookmarkStart w:id="2789" w:name="_cp_change_859"/>
      <w:bookmarkEnd w:id="2789"/>
      <w:r>
        <w:rPr>
          <w:rFonts w:ascii="Times" w:hAnsi="Times"/>
          <w:color w:val="FF0000"/>
          <w:sz w:val="24"/>
        </w:rPr>
        <w:t>State of Formation:Delaware</w:t>
      </w:r>
      <w:bookmarkStart w:id="2790" w:name="_cp_change_858"/>
      <w:bookmarkEnd w:id="2790"/>
    </w:p>
    <w:p>
      <w:pPr>
        <w:pStyle w:val="TextBody"/>
        <w:bidi w:val="0"/>
        <w:spacing w:lineRule="atLeast" w:line="280" w:before="0" w:after="0"/>
        <w:ind w:left="0" w:right="0" w:hanging="0"/>
        <w:jc w:val="left"/>
        <w:rPr>
          <w:rFonts w:ascii="Times New Roman;Times;serif" w:hAnsi="Times New Roman;Times;serif"/>
          <w:sz w:val="24"/>
        </w:rPr>
      </w:pPr>
      <w:bookmarkStart w:id="2791" w:name="_cp_change_861"/>
      <w:bookmarkEnd w:id="2791"/>
      <w:r>
        <w:rPr>
          <w:rFonts w:ascii="Times" w:hAnsi="Times"/>
          <w:b w:val="false"/>
          <w:i w:val="false"/>
          <w:caps w:val="false"/>
          <w:smallCaps w:val="false"/>
          <w:color w:val="FF0000"/>
          <w:sz w:val="24"/>
        </w:rPr>
        <w:t>Member:</w:t>
      </w:r>
      <w:r>
        <w:rPr>
          <w:rFonts w:ascii="Times" w:hAnsi="Times"/>
          <w:color w:val="FF0000"/>
          <w:sz w:val="24"/>
        </w:rPr>
        <w:t>CTO Realty Growth, Inc. 100% Managing Member</w:t>
      </w:r>
      <w:bookmarkStart w:id="2792" w:name="_cp_change_860"/>
      <w:bookmarkEnd w:id="2792"/>
    </w:p>
    <w:p>
      <w:pPr>
        <w:pStyle w:val="TextBody"/>
        <w:bidi w:val="0"/>
        <w:spacing w:lineRule="atLeast" w:line="280" w:before="0" w:after="0"/>
        <w:ind w:left="0" w:right="0" w:hanging="0"/>
        <w:jc w:val="left"/>
        <w:rPr>
          <w:rFonts w:ascii="Times New Roman;Times;serif" w:hAnsi="Times New Roman;Times;serif"/>
          <w:sz w:val="24"/>
        </w:rPr>
      </w:pPr>
      <w:bookmarkStart w:id="2793" w:name="_cp_change_863"/>
      <w:bookmarkEnd w:id="2793"/>
      <w:r>
        <w:rPr>
          <w:rFonts w:ascii="Times" w:hAnsi="Times"/>
          <w:b/>
          <w:color w:val="FF0000"/>
          <w:sz w:val="24"/>
        </w:rPr>
        <w:t>CTO16 PETERSON LLC</w:t>
      </w:r>
      <w:r>
        <w:rPr>
          <w:rFonts w:ascii="Times New Roman;Times;serif" w:hAnsi="Times New Roman;Times;serif"/>
          <w:color w:val="FF0000"/>
          <w:sz w:val="24"/>
        </w:rPr>
        <w:t xml:space="preserve"> </w:t>
      </w:r>
      <w:r>
        <w:rPr>
          <w:rFonts w:ascii="Times" w:hAnsi="Times"/>
          <w:b/>
          <w:color w:val="FF0000"/>
          <w:sz w:val="24"/>
        </w:rPr>
        <w:t>(limited liability company)</w:t>
      </w:r>
      <w:bookmarkStart w:id="2794" w:name="_cp_change_862"/>
      <w:bookmarkEnd w:id="2794"/>
    </w:p>
    <w:p>
      <w:pPr>
        <w:pStyle w:val="TextBody"/>
        <w:bidi w:val="0"/>
        <w:spacing w:lineRule="atLeast" w:line="280" w:before="0" w:after="0"/>
        <w:ind w:left="0" w:right="0" w:hanging="0"/>
        <w:jc w:val="left"/>
        <w:rPr>
          <w:rFonts w:ascii="Times" w:hAnsi="Times"/>
          <w:color w:val="FF0000"/>
          <w:sz w:val="24"/>
        </w:rPr>
      </w:pPr>
      <w:bookmarkStart w:id="2795" w:name="_cp_change_865"/>
      <w:bookmarkEnd w:id="2795"/>
      <w:r>
        <w:rPr>
          <w:rFonts w:ascii="Times" w:hAnsi="Times"/>
          <w:color w:val="FF0000"/>
          <w:sz w:val="24"/>
        </w:rPr>
        <w:t>Date of Formation:October 11, 2016</w:t>
      </w:r>
      <w:bookmarkStart w:id="2796" w:name="_cp_change_864"/>
      <w:bookmarkEnd w:id="2796"/>
    </w:p>
    <w:p>
      <w:pPr>
        <w:pStyle w:val="TextBody"/>
        <w:bidi w:val="0"/>
        <w:spacing w:lineRule="atLeast" w:line="280" w:before="0" w:after="0"/>
        <w:ind w:left="0" w:right="0" w:hanging="0"/>
        <w:jc w:val="left"/>
        <w:rPr>
          <w:rFonts w:ascii="Times" w:hAnsi="Times"/>
          <w:color w:val="FF0000"/>
          <w:sz w:val="24"/>
        </w:rPr>
      </w:pPr>
      <w:bookmarkStart w:id="2797" w:name="_cp_change_867"/>
      <w:bookmarkEnd w:id="2797"/>
      <w:r>
        <w:rPr>
          <w:rFonts w:ascii="Times" w:hAnsi="Times"/>
          <w:color w:val="FF0000"/>
          <w:sz w:val="24"/>
        </w:rPr>
        <w:t>State of Formation:Delaware</w:t>
      </w:r>
      <w:bookmarkStart w:id="2798" w:name="_cp_change_866"/>
      <w:bookmarkEnd w:id="2798"/>
    </w:p>
    <w:p>
      <w:pPr>
        <w:pStyle w:val="TextBody"/>
        <w:bidi w:val="0"/>
        <w:spacing w:lineRule="atLeast" w:line="280" w:before="0" w:after="0"/>
        <w:ind w:left="0" w:right="0" w:hanging="0"/>
        <w:jc w:val="left"/>
        <w:rPr>
          <w:rFonts w:ascii="Times New Roman;Times;serif" w:hAnsi="Times New Roman;Times;serif"/>
          <w:sz w:val="24"/>
        </w:rPr>
      </w:pPr>
      <w:bookmarkStart w:id="2799" w:name="_cp_change_869"/>
      <w:bookmarkEnd w:id="2799"/>
      <w:r>
        <w:rPr>
          <w:rFonts w:ascii="Times" w:hAnsi="Times"/>
          <w:b w:val="false"/>
          <w:i w:val="false"/>
          <w:caps w:val="false"/>
          <w:smallCaps w:val="false"/>
          <w:color w:val="FF0000"/>
          <w:sz w:val="24"/>
        </w:rPr>
        <w:t>Member:</w:t>
      </w:r>
      <w:r>
        <w:rPr>
          <w:rFonts w:ascii="Times" w:hAnsi="Times"/>
          <w:color w:val="FF0000"/>
          <w:sz w:val="24"/>
        </w:rPr>
        <w:t>CTO Realty Growth, Inc. (100%)</w:t>
      </w:r>
      <w:bookmarkStart w:id="2800" w:name="_cp_change_868"/>
      <w:bookmarkEnd w:id="2800"/>
    </w:p>
    <w:p>
      <w:pPr>
        <w:pStyle w:val="TextBody"/>
        <w:bidi w:val="0"/>
        <w:spacing w:lineRule="atLeast" w:line="280" w:before="0" w:after="0"/>
        <w:ind w:left="0" w:right="0" w:hanging="0"/>
        <w:jc w:val="left"/>
        <w:rPr>
          <w:rFonts w:ascii="Times New Roman;Times;serif" w:hAnsi="Times New Roman;Times;serif"/>
          <w:sz w:val="24"/>
        </w:rPr>
      </w:pPr>
      <w:bookmarkStart w:id="2801" w:name="_cp_change_871"/>
      <w:bookmarkEnd w:id="2801"/>
      <w:r>
        <w:rPr>
          <w:rFonts w:ascii="Times" w:hAnsi="Times"/>
          <w:b/>
          <w:color w:val="FF0000"/>
          <w:sz w:val="24"/>
        </w:rPr>
        <w:t>CTO17 WESTCLIFF TX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02" w:name="_cp_change_870"/>
      <w:bookmarkEnd w:id="2802"/>
    </w:p>
    <w:p>
      <w:pPr>
        <w:pStyle w:val="TextBody"/>
        <w:bidi w:val="0"/>
        <w:spacing w:lineRule="atLeast" w:line="280" w:before="0" w:after="0"/>
        <w:ind w:left="0" w:right="0" w:hanging="0"/>
        <w:jc w:val="left"/>
        <w:rPr>
          <w:rFonts w:ascii="Times" w:hAnsi="Times"/>
          <w:color w:val="FF0000"/>
          <w:sz w:val="24"/>
        </w:rPr>
      </w:pPr>
      <w:bookmarkStart w:id="2803" w:name="_cp_change_873"/>
      <w:bookmarkEnd w:id="2803"/>
      <w:r>
        <w:rPr>
          <w:rFonts w:ascii="Times" w:hAnsi="Times"/>
          <w:color w:val="FF0000"/>
          <w:sz w:val="24"/>
        </w:rPr>
        <w:t>Date of Formation:January 10, 2017</w:t>
      </w:r>
      <w:bookmarkStart w:id="2804" w:name="_cp_change_872"/>
      <w:bookmarkEnd w:id="2804"/>
    </w:p>
    <w:p>
      <w:pPr>
        <w:pStyle w:val="TextBody"/>
        <w:bidi w:val="0"/>
        <w:spacing w:lineRule="atLeast" w:line="280" w:before="0" w:after="0"/>
        <w:ind w:left="0" w:right="0" w:hanging="0"/>
        <w:jc w:val="left"/>
        <w:rPr>
          <w:rFonts w:ascii="Times" w:hAnsi="Times"/>
          <w:color w:val="FF0000"/>
          <w:sz w:val="24"/>
        </w:rPr>
      </w:pPr>
      <w:bookmarkStart w:id="2805" w:name="_cp_change_875"/>
      <w:bookmarkEnd w:id="2805"/>
      <w:r>
        <w:rPr>
          <w:rFonts w:ascii="Times" w:hAnsi="Times"/>
          <w:color w:val="FF0000"/>
          <w:sz w:val="24"/>
        </w:rPr>
        <w:t>State of Formation:Delaware</w:t>
      </w:r>
      <w:bookmarkStart w:id="2806" w:name="_cp_change_874"/>
      <w:bookmarkEnd w:id="2806"/>
    </w:p>
    <w:p>
      <w:pPr>
        <w:pStyle w:val="TextBody"/>
        <w:bidi w:val="0"/>
        <w:spacing w:lineRule="atLeast" w:line="280" w:before="0" w:after="0"/>
        <w:ind w:left="0" w:right="0" w:hanging="0"/>
        <w:jc w:val="left"/>
        <w:rPr>
          <w:rFonts w:ascii="Times New Roman;Times;serif" w:hAnsi="Times New Roman;Times;serif"/>
          <w:sz w:val="24"/>
        </w:rPr>
      </w:pPr>
      <w:bookmarkStart w:id="2807" w:name="_cp_change_877"/>
      <w:bookmarkEnd w:id="2807"/>
      <w:r>
        <w:rPr>
          <w:rFonts w:ascii="Times" w:hAnsi="Times"/>
          <w:b w:val="false"/>
          <w:i w:val="false"/>
          <w:caps w:val="false"/>
          <w:smallCaps w:val="false"/>
          <w:color w:val="FF0000"/>
          <w:sz w:val="24"/>
        </w:rPr>
        <w:t>Member:</w:t>
      </w:r>
      <w:r>
        <w:rPr>
          <w:rFonts w:ascii="Times" w:hAnsi="Times"/>
          <w:color w:val="FF0000"/>
          <w:sz w:val="24"/>
        </w:rPr>
        <w:t>CTO Realty Growth, Inc. 100% Managing Member</w:t>
      </w:r>
      <w:bookmarkStart w:id="2808" w:name="_cp_change_876"/>
      <w:bookmarkEnd w:id="2808"/>
    </w:p>
    <w:p>
      <w:pPr>
        <w:pStyle w:val="TextBody"/>
        <w:bidi w:val="0"/>
        <w:spacing w:lineRule="atLeast" w:line="280" w:before="0" w:after="0"/>
        <w:ind w:left="0" w:right="0" w:hanging="0"/>
        <w:jc w:val="both"/>
        <w:rPr>
          <w:rFonts w:ascii="Times New Roman;Times;serif" w:hAnsi="Times New Roman;Times;serif"/>
          <w:sz w:val="24"/>
        </w:rPr>
      </w:pPr>
      <w:bookmarkStart w:id="2809" w:name="_cp_change_879"/>
      <w:bookmarkEnd w:id="2809"/>
      <w:r>
        <w:rPr>
          <w:rFonts w:ascii="Times" w:hAnsi="Times"/>
          <w:b/>
          <w:color w:val="FF0000"/>
          <w:sz w:val="24"/>
        </w:rPr>
        <w:t>CTO18 ALBUQUERQUE NM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10" w:name="_cp_change_878"/>
      <w:bookmarkEnd w:id="2810"/>
    </w:p>
    <w:p>
      <w:pPr>
        <w:pStyle w:val="TextBody"/>
        <w:bidi w:val="0"/>
        <w:spacing w:lineRule="atLeast" w:line="280" w:before="0" w:after="0"/>
        <w:ind w:left="0" w:right="0" w:hanging="0"/>
        <w:jc w:val="left"/>
        <w:rPr>
          <w:rFonts w:ascii="Times" w:hAnsi="Times"/>
          <w:color w:val="FF0000"/>
          <w:sz w:val="24"/>
        </w:rPr>
      </w:pPr>
      <w:bookmarkStart w:id="2811" w:name="_cp_change_881"/>
      <w:bookmarkEnd w:id="2811"/>
      <w:r>
        <w:rPr>
          <w:rFonts w:ascii="Times" w:hAnsi="Times"/>
          <w:color w:val="FF0000"/>
          <w:sz w:val="24"/>
        </w:rPr>
        <w:t>Date of Formation:August 8, 2018</w:t>
      </w:r>
      <w:bookmarkStart w:id="2812" w:name="_cp_change_880"/>
      <w:bookmarkEnd w:id="2812"/>
    </w:p>
    <w:p>
      <w:pPr>
        <w:pStyle w:val="TextBody"/>
        <w:bidi w:val="0"/>
        <w:spacing w:lineRule="atLeast" w:line="280" w:before="0" w:after="0"/>
        <w:ind w:left="0" w:right="0" w:hanging="0"/>
        <w:jc w:val="left"/>
        <w:rPr>
          <w:rFonts w:ascii="Times" w:hAnsi="Times"/>
          <w:color w:val="FF0000"/>
          <w:sz w:val="24"/>
        </w:rPr>
      </w:pPr>
      <w:bookmarkStart w:id="2813" w:name="_cp_change_883"/>
      <w:bookmarkEnd w:id="2813"/>
      <w:r>
        <w:rPr>
          <w:rFonts w:ascii="Times" w:hAnsi="Times"/>
          <w:color w:val="FF0000"/>
          <w:sz w:val="24"/>
        </w:rPr>
        <w:t>State of Formation:Delaware</w:t>
      </w:r>
      <w:bookmarkStart w:id="2814" w:name="_cp_change_882"/>
      <w:bookmarkEnd w:id="2814"/>
    </w:p>
    <w:p>
      <w:pPr>
        <w:pStyle w:val="TextBody"/>
        <w:bidi w:val="0"/>
        <w:spacing w:lineRule="atLeast" w:line="280" w:before="0" w:after="0"/>
        <w:ind w:left="0" w:right="0" w:hanging="0"/>
        <w:jc w:val="left"/>
        <w:rPr>
          <w:rFonts w:ascii="Times New Roman;Times;serif" w:hAnsi="Times New Roman;Times;serif"/>
          <w:sz w:val="24"/>
        </w:rPr>
      </w:pPr>
      <w:bookmarkStart w:id="2815" w:name="_cp_change_885"/>
      <w:bookmarkEnd w:id="2815"/>
      <w:r>
        <w:rPr>
          <w:rFonts w:ascii="Times" w:hAnsi="Times"/>
          <w:b w:val="false"/>
          <w:i w:val="false"/>
          <w:caps w:val="false"/>
          <w:smallCaps w:val="false"/>
          <w:color w:val="FF0000"/>
          <w:sz w:val="24"/>
        </w:rPr>
        <w:t>Member:</w:t>
      </w:r>
      <w:r>
        <w:rPr>
          <w:rFonts w:ascii="Times" w:hAnsi="Times"/>
          <w:color w:val="FF0000"/>
          <w:sz w:val="24"/>
        </w:rPr>
        <w:t>CTO Realty Growth, Inc. 100%</w:t>
      </w:r>
      <w:bookmarkStart w:id="2816" w:name="_cp_change_884"/>
      <w:bookmarkEnd w:id="2816"/>
    </w:p>
    <w:p>
      <w:pPr>
        <w:pStyle w:val="TextBody"/>
        <w:bidi w:val="0"/>
        <w:spacing w:lineRule="atLeast" w:line="280" w:before="0" w:after="0"/>
        <w:ind w:left="0" w:right="0" w:hanging="0"/>
        <w:jc w:val="left"/>
        <w:rPr/>
      </w:pPr>
      <w:bookmarkStart w:id="2817" w:name="_cp_change_886"/>
      <w:bookmarkEnd w:id="2817"/>
      <w:r>
        <w:rPr>
          <w:color w:val="FF0000"/>
        </w:rPr>
        <w:t>​</w:t>
      </w:r>
      <w:r>
        <w:rPr>
          <w:rFonts w:ascii="Times" w:hAnsi="Times"/>
          <w:color w:val="FF0000"/>
          <w:sz w:val="24"/>
        </w:rPr>
        <w:br/>
      </w:r>
      <w:bookmarkStart w:id="2818" w:name="_cp_change_887"/>
      <w:bookmarkEnd w:id="2818"/>
      <w:r>
        <w:rPr>
          <w:rFonts w:ascii="Times New Roman;Times;serif" w:hAnsi="Times New Roman;Times;serif"/>
          <w:color w:val="FF0000"/>
          <w:sz w:val="24"/>
        </w:rPr>
        <w:t>​​</w:t>
      </w:r>
    </w:p>
    <w:p>
      <w:pPr>
        <w:pStyle w:val="TextBody"/>
        <w:bidi w:val="0"/>
        <w:spacing w:lineRule="atLeast" w:line="280" w:before="0" w:after="0"/>
        <w:ind w:left="0" w:right="0" w:hanging="0"/>
        <w:jc w:val="left"/>
        <w:rPr>
          <w:rFonts w:ascii="Times New Roman;Times;serif" w:hAnsi="Times New Roman;Times;serif"/>
          <w:sz w:val="24"/>
        </w:rPr>
      </w:pPr>
      <w:bookmarkStart w:id="2819" w:name="_cp_change_889"/>
      <w:bookmarkEnd w:id="2819"/>
      <w:r>
        <w:rPr>
          <w:rFonts w:ascii="Times" w:hAnsi="Times"/>
          <w:b/>
          <w:color w:val="FF0000"/>
          <w:sz w:val="24"/>
        </w:rPr>
        <w:t>CTO18 JACKSONVILLE FL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20" w:name="_cp_change_888"/>
      <w:bookmarkEnd w:id="2820"/>
    </w:p>
    <w:p>
      <w:pPr>
        <w:pStyle w:val="TextBody"/>
        <w:bidi w:val="0"/>
        <w:spacing w:lineRule="atLeast" w:line="280" w:before="0" w:after="0"/>
        <w:ind w:left="0" w:right="0" w:hanging="0"/>
        <w:jc w:val="left"/>
        <w:rPr>
          <w:rFonts w:ascii="Times" w:hAnsi="Times"/>
          <w:color w:val="FF0000"/>
          <w:sz w:val="24"/>
        </w:rPr>
      </w:pPr>
      <w:bookmarkStart w:id="2821" w:name="_cp_change_891"/>
      <w:bookmarkEnd w:id="2821"/>
      <w:r>
        <w:rPr>
          <w:rFonts w:ascii="Times" w:hAnsi="Times"/>
          <w:color w:val="FF0000"/>
          <w:sz w:val="24"/>
        </w:rPr>
        <w:t>Date of Formation:September 13, 2018</w:t>
      </w:r>
      <w:bookmarkStart w:id="2822" w:name="_cp_change_890"/>
      <w:bookmarkEnd w:id="2822"/>
    </w:p>
    <w:p>
      <w:pPr>
        <w:pStyle w:val="TextBody"/>
        <w:bidi w:val="0"/>
        <w:spacing w:lineRule="atLeast" w:line="280" w:before="0" w:after="0"/>
        <w:ind w:left="0" w:right="0" w:hanging="0"/>
        <w:jc w:val="left"/>
        <w:rPr>
          <w:rFonts w:ascii="Times" w:hAnsi="Times"/>
          <w:color w:val="FF0000"/>
          <w:sz w:val="24"/>
        </w:rPr>
      </w:pPr>
      <w:bookmarkStart w:id="2823" w:name="_cp_change_893"/>
      <w:bookmarkEnd w:id="2823"/>
      <w:r>
        <w:rPr>
          <w:rFonts w:ascii="Times" w:hAnsi="Times"/>
          <w:color w:val="FF0000"/>
          <w:sz w:val="24"/>
        </w:rPr>
        <w:t>State of Formation:Delaware</w:t>
      </w:r>
      <w:bookmarkStart w:id="2824" w:name="_cp_change_892"/>
      <w:bookmarkEnd w:id="2824"/>
    </w:p>
    <w:p>
      <w:pPr>
        <w:pStyle w:val="TextBody"/>
        <w:bidi w:val="0"/>
        <w:spacing w:lineRule="atLeast" w:line="280" w:before="0" w:after="0"/>
        <w:ind w:left="0" w:right="0" w:hanging="0"/>
        <w:jc w:val="left"/>
        <w:rPr>
          <w:rFonts w:ascii="Times New Roman;Times;serif" w:hAnsi="Times New Roman;Times;serif"/>
          <w:sz w:val="24"/>
        </w:rPr>
      </w:pPr>
      <w:bookmarkStart w:id="2825" w:name="_cp_change_895"/>
      <w:bookmarkEnd w:id="2825"/>
      <w:r>
        <w:rPr>
          <w:rFonts w:ascii="Times" w:hAnsi="Times"/>
          <w:b w:val="false"/>
          <w:i w:val="false"/>
          <w:caps w:val="false"/>
          <w:smallCaps w:val="false"/>
          <w:color w:val="FF0000"/>
          <w:sz w:val="24"/>
        </w:rPr>
        <w:t>Member:</w:t>
      </w:r>
      <w:r>
        <w:rPr>
          <w:rFonts w:ascii="Times" w:hAnsi="Times"/>
          <w:color w:val="FF0000"/>
          <w:sz w:val="24"/>
        </w:rPr>
        <w:t>CTO Realty Growth, Inc. 100%</w:t>
      </w:r>
      <w:bookmarkStart w:id="2826" w:name="_cp_change_894"/>
      <w:bookmarkEnd w:id="2826"/>
    </w:p>
    <w:p>
      <w:pPr>
        <w:pStyle w:val="TextBody"/>
        <w:bidi w:val="0"/>
        <w:spacing w:lineRule="atLeast" w:line="280" w:before="0" w:after="0"/>
        <w:ind w:left="0" w:right="0" w:hanging="0"/>
        <w:jc w:val="both"/>
        <w:rPr>
          <w:rFonts w:ascii="Times New Roman;Times;serif" w:hAnsi="Times New Roman;Times;serif"/>
          <w:sz w:val="24"/>
        </w:rPr>
      </w:pPr>
      <w:bookmarkStart w:id="2827" w:name="_cp_change_897"/>
      <w:bookmarkEnd w:id="2827"/>
      <w:r>
        <w:rPr>
          <w:rFonts w:ascii="Times" w:hAnsi="Times"/>
          <w:b/>
          <w:color w:val="FF0000"/>
          <w:sz w:val="24"/>
        </w:rPr>
        <w:t>CTO19 OCEANSIDE NY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28" w:name="_cp_change_896"/>
      <w:bookmarkEnd w:id="2828"/>
    </w:p>
    <w:p>
      <w:pPr>
        <w:pStyle w:val="TextBody"/>
        <w:bidi w:val="0"/>
        <w:spacing w:lineRule="atLeast" w:line="280" w:before="0" w:after="0"/>
        <w:ind w:left="0" w:right="0" w:hanging="0"/>
        <w:jc w:val="left"/>
        <w:rPr>
          <w:rFonts w:ascii="Times" w:hAnsi="Times"/>
          <w:color w:val="FF0000"/>
          <w:sz w:val="24"/>
        </w:rPr>
      </w:pPr>
      <w:bookmarkStart w:id="2829" w:name="_cp_change_899"/>
      <w:bookmarkEnd w:id="2829"/>
      <w:r>
        <w:rPr>
          <w:rFonts w:ascii="Times" w:hAnsi="Times"/>
          <w:color w:val="FF0000"/>
          <w:sz w:val="24"/>
        </w:rPr>
        <w:t>Date of Formation:August 20, 2019</w:t>
      </w:r>
      <w:bookmarkStart w:id="2830" w:name="_cp_change_898"/>
      <w:bookmarkEnd w:id="2830"/>
    </w:p>
    <w:p>
      <w:pPr>
        <w:pStyle w:val="TextBody"/>
        <w:bidi w:val="0"/>
        <w:spacing w:lineRule="atLeast" w:line="280" w:before="0" w:after="0"/>
        <w:ind w:left="0" w:right="0" w:hanging="0"/>
        <w:jc w:val="left"/>
        <w:rPr>
          <w:rFonts w:ascii="Times" w:hAnsi="Times"/>
          <w:color w:val="FF0000"/>
          <w:sz w:val="24"/>
        </w:rPr>
      </w:pPr>
      <w:bookmarkStart w:id="2831" w:name="_cp_change_901"/>
      <w:bookmarkEnd w:id="2831"/>
      <w:r>
        <w:rPr>
          <w:rFonts w:ascii="Times" w:hAnsi="Times"/>
          <w:color w:val="FF0000"/>
          <w:sz w:val="24"/>
        </w:rPr>
        <w:t>State of Formation:Delaware</w:t>
      </w:r>
      <w:bookmarkStart w:id="2832" w:name="_cp_change_900"/>
      <w:bookmarkEnd w:id="2832"/>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6.2 - 1</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rFonts w:ascii="Times New Roman;Times;serif" w:hAnsi="Times New Roman;Times;serif"/>
          <w:sz w:val="24"/>
        </w:rPr>
      </w:pPr>
      <w:bookmarkStart w:id="2833" w:name="_cp_change_903"/>
      <w:bookmarkEnd w:id="2833"/>
      <w:r>
        <w:rPr>
          <w:rFonts w:ascii="Times" w:hAnsi="Times"/>
          <w:b w:val="false"/>
          <w:i w:val="false"/>
          <w:caps w:val="false"/>
          <w:smallCaps w:val="false"/>
          <w:color w:val="FF0000"/>
          <w:sz w:val="24"/>
        </w:rPr>
        <w:t>Member:</w:t>
      </w:r>
      <w:r>
        <w:rPr>
          <w:rFonts w:ascii="Times" w:hAnsi="Times"/>
          <w:color w:val="FF0000"/>
          <w:sz w:val="24"/>
        </w:rPr>
        <w:t>CTO Realty Growth, Inc. 100%</w:t>
      </w:r>
      <w:bookmarkStart w:id="2834" w:name="_cp_change_902"/>
      <w:bookmarkEnd w:id="2834"/>
      <w:r>
        <mc:AlternateContent>
          <mc:Choice Requires="wps">
            <w:drawing>
              <wp:anchor behindDoc="0" distT="0" distB="0" distL="0" distR="0" simplePos="0" locked="0" layoutInCell="1" allowOverlap="1" relativeHeight="706">
                <wp:simplePos x="0" y="0"/>
                <wp:positionH relativeFrom="column">
                  <wp:align>left</wp:align>
                </wp:positionH>
                <wp:positionV relativeFrom="line">
                  <wp:posOffset>635</wp:posOffset>
                </wp:positionV>
                <wp:extent cx="5943600" cy="175260"/>
                <wp:effectExtent l="0" t="0" r="0" b="0"/>
                <wp:wrapSquare wrapText="right"/>
                <wp:docPr id="705" name="Frame705"/>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0"/>
                              <w:ind w:left="0" w:right="0" w:hanging="0"/>
                              <w:jc w:val="right"/>
                              <w:rPr/>
                            </w:pPr>
                            <w:r>
                              <w:rPr/>
                              <w:t>​</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right"/>
                        <w:rPr/>
                      </w:pPr>
                      <w:r>
                        <w:rPr/>
                        <w:t>​</w:t>
                      </w:r>
                    </w:p>
                  </w:txbxContent>
                </v:textbox>
                <w10:wrap type="square" side="right"/>
              </v:rect>
            </w:pict>
          </mc:Fallback>
        </mc:AlternateContent>
      </w:r>
    </w:p>
    <w:p>
      <w:pPr>
        <w:pStyle w:val="TextBody"/>
        <w:bidi w:val="0"/>
        <w:spacing w:lineRule="atLeast" w:line="280" w:before="0" w:after="0"/>
        <w:ind w:left="0" w:right="0" w:hanging="0"/>
        <w:jc w:val="both"/>
        <w:rPr>
          <w:rFonts w:ascii="Times New Roman;Times;serif" w:hAnsi="Times New Roman;Times;serif"/>
          <w:sz w:val="24"/>
        </w:rPr>
      </w:pPr>
      <w:bookmarkStart w:id="2835" w:name="_cp_change_905"/>
      <w:bookmarkEnd w:id="2835"/>
      <w:r>
        <w:rPr>
          <w:rFonts w:ascii="Times" w:hAnsi="Times"/>
          <w:b/>
          <w:color w:val="FF0000"/>
          <w:sz w:val="24"/>
        </w:rPr>
        <w:t>CTO19 RESTON VA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36" w:name="_cp_change_904"/>
      <w:bookmarkEnd w:id="2836"/>
    </w:p>
    <w:p>
      <w:pPr>
        <w:pStyle w:val="TextBody"/>
        <w:bidi w:val="0"/>
        <w:spacing w:lineRule="atLeast" w:line="280" w:before="0" w:after="0"/>
        <w:ind w:left="0" w:right="0" w:hanging="0"/>
        <w:jc w:val="left"/>
        <w:rPr>
          <w:rFonts w:ascii="Times" w:hAnsi="Times"/>
          <w:color w:val="FF0000"/>
          <w:sz w:val="24"/>
        </w:rPr>
      </w:pPr>
      <w:bookmarkStart w:id="2837" w:name="_cp_change_907"/>
      <w:bookmarkEnd w:id="2837"/>
      <w:r>
        <w:rPr>
          <w:rFonts w:ascii="Times" w:hAnsi="Times"/>
          <w:color w:val="FF0000"/>
          <w:sz w:val="24"/>
        </w:rPr>
        <w:t>Date of Formation:June 28, 2019</w:t>
      </w:r>
      <w:bookmarkStart w:id="2838" w:name="_cp_change_906"/>
      <w:bookmarkEnd w:id="2838"/>
    </w:p>
    <w:p>
      <w:pPr>
        <w:pStyle w:val="TextBody"/>
        <w:bidi w:val="0"/>
        <w:spacing w:lineRule="atLeast" w:line="280" w:before="0" w:after="0"/>
        <w:ind w:left="0" w:right="0" w:hanging="0"/>
        <w:jc w:val="left"/>
        <w:rPr>
          <w:rFonts w:ascii="Times" w:hAnsi="Times"/>
          <w:color w:val="FF0000"/>
          <w:sz w:val="24"/>
        </w:rPr>
      </w:pPr>
      <w:bookmarkStart w:id="2839" w:name="_cp_change_909"/>
      <w:bookmarkEnd w:id="2839"/>
      <w:r>
        <w:rPr>
          <w:rFonts w:ascii="Times" w:hAnsi="Times"/>
          <w:color w:val="FF0000"/>
          <w:sz w:val="24"/>
        </w:rPr>
        <w:t>State of Formation:Delaware</w:t>
      </w:r>
      <w:bookmarkStart w:id="2840" w:name="_cp_change_908"/>
      <w:bookmarkEnd w:id="2840"/>
    </w:p>
    <w:p>
      <w:pPr>
        <w:pStyle w:val="TextBody"/>
        <w:bidi w:val="0"/>
        <w:spacing w:lineRule="atLeast" w:line="280" w:before="0" w:after="0"/>
        <w:ind w:left="0" w:right="0" w:hanging="0"/>
        <w:jc w:val="left"/>
        <w:rPr>
          <w:rFonts w:ascii="Times New Roman;Times;serif" w:hAnsi="Times New Roman;Times;serif"/>
          <w:sz w:val="24"/>
        </w:rPr>
      </w:pPr>
      <w:bookmarkStart w:id="2841" w:name="_cp_change_911"/>
      <w:bookmarkEnd w:id="2841"/>
      <w:r>
        <w:rPr>
          <w:rFonts w:ascii="Times" w:hAnsi="Times"/>
          <w:b w:val="false"/>
          <w:i w:val="false"/>
          <w:caps w:val="false"/>
          <w:smallCaps w:val="false"/>
          <w:color w:val="FF0000"/>
          <w:sz w:val="24"/>
        </w:rPr>
        <w:t>Member:</w:t>
      </w:r>
      <w:r>
        <w:rPr>
          <w:rFonts w:ascii="Times" w:hAnsi="Times"/>
          <w:color w:val="FF0000"/>
          <w:sz w:val="24"/>
        </w:rPr>
        <w:t>CTO Realty Growth, Inc. 100%</w:t>
      </w:r>
      <w:bookmarkStart w:id="2842" w:name="_cp_change_910"/>
      <w:bookmarkEnd w:id="2842"/>
    </w:p>
    <w:p>
      <w:pPr>
        <w:pStyle w:val="TextBody"/>
        <w:bidi w:val="0"/>
        <w:spacing w:lineRule="atLeast" w:line="280" w:before="0" w:after="0"/>
        <w:ind w:left="0" w:right="0" w:hanging="0"/>
        <w:jc w:val="left"/>
        <w:rPr>
          <w:rFonts w:ascii="Times New Roman;Times;serif" w:hAnsi="Times New Roman;Times;serif"/>
          <w:sz w:val="24"/>
        </w:rPr>
      </w:pPr>
      <w:bookmarkStart w:id="2843" w:name="_cp_change_913"/>
      <w:bookmarkEnd w:id="2843"/>
      <w:r>
        <w:rPr>
          <w:rFonts w:ascii="Times" w:hAnsi="Times"/>
          <w:b/>
          <w:color w:val="FF0000"/>
          <w:sz w:val="24"/>
        </w:rPr>
        <w:t>CTO19 Strand JAX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44" w:name="_cp_change_912"/>
      <w:bookmarkEnd w:id="2844"/>
    </w:p>
    <w:p>
      <w:pPr>
        <w:pStyle w:val="TextBody"/>
        <w:bidi w:val="0"/>
        <w:spacing w:lineRule="atLeast" w:line="280" w:before="0" w:after="0"/>
        <w:ind w:left="0" w:right="0" w:hanging="0"/>
        <w:jc w:val="left"/>
        <w:rPr>
          <w:rFonts w:ascii="Times" w:hAnsi="Times"/>
          <w:color w:val="FF0000"/>
          <w:sz w:val="24"/>
        </w:rPr>
      </w:pPr>
      <w:bookmarkStart w:id="2845" w:name="_cp_change_915"/>
      <w:bookmarkEnd w:id="2845"/>
      <w:r>
        <w:rPr>
          <w:rFonts w:ascii="Times" w:hAnsi="Times"/>
          <w:color w:val="FF0000"/>
          <w:sz w:val="24"/>
        </w:rPr>
        <w:t>Date of Formation:December 2, 2019</w:t>
      </w:r>
      <w:bookmarkStart w:id="2846" w:name="_cp_change_914"/>
      <w:bookmarkEnd w:id="2846"/>
    </w:p>
    <w:p>
      <w:pPr>
        <w:pStyle w:val="TextBody"/>
        <w:bidi w:val="0"/>
        <w:spacing w:lineRule="atLeast" w:line="280" w:before="0" w:after="0"/>
        <w:ind w:left="0" w:right="0" w:hanging="0"/>
        <w:jc w:val="left"/>
        <w:rPr>
          <w:rFonts w:ascii="Times" w:hAnsi="Times"/>
          <w:color w:val="FF0000"/>
          <w:sz w:val="24"/>
        </w:rPr>
      </w:pPr>
      <w:bookmarkStart w:id="2847" w:name="_cp_change_917"/>
      <w:bookmarkEnd w:id="2847"/>
      <w:r>
        <w:rPr>
          <w:rFonts w:ascii="Times" w:hAnsi="Times"/>
          <w:color w:val="FF0000"/>
          <w:sz w:val="24"/>
        </w:rPr>
        <w:t>State of Formation:Delaware</w:t>
      </w:r>
      <w:bookmarkStart w:id="2848" w:name="_cp_change_916"/>
      <w:bookmarkEnd w:id="2848"/>
    </w:p>
    <w:p>
      <w:pPr>
        <w:pStyle w:val="TextBody"/>
        <w:bidi w:val="0"/>
        <w:spacing w:lineRule="atLeast" w:line="280" w:before="0" w:after="0"/>
        <w:ind w:left="0" w:right="0" w:hanging="0"/>
        <w:jc w:val="left"/>
        <w:rPr>
          <w:rFonts w:ascii="Times New Roman;Times;serif" w:hAnsi="Times New Roman;Times;serif"/>
          <w:sz w:val="24"/>
        </w:rPr>
      </w:pPr>
      <w:bookmarkStart w:id="2849" w:name="_cp_change_919"/>
      <w:bookmarkEnd w:id="2849"/>
      <w:r>
        <w:rPr>
          <w:rFonts w:ascii="Times" w:hAnsi="Times"/>
          <w:b w:val="false"/>
          <w:i w:val="false"/>
          <w:caps w:val="false"/>
          <w:smallCaps w:val="false"/>
          <w:color w:val="FF0000"/>
          <w:sz w:val="24"/>
        </w:rPr>
        <w:t>Member:</w:t>
      </w:r>
      <w:r>
        <w:rPr>
          <w:rFonts w:ascii="Times" w:hAnsi="Times"/>
          <w:color w:val="FF0000"/>
          <w:sz w:val="24"/>
        </w:rPr>
        <w:t>CTO Realty Growth, Inc. 100%</w:t>
      </w:r>
      <w:bookmarkStart w:id="2850" w:name="_cp_change_918"/>
      <w:bookmarkEnd w:id="2850"/>
    </w:p>
    <w:p>
      <w:pPr>
        <w:pStyle w:val="TextBody"/>
        <w:bidi w:val="0"/>
        <w:spacing w:lineRule="atLeast" w:line="280" w:before="0" w:after="0"/>
        <w:ind w:left="0" w:right="0" w:hanging="0"/>
        <w:jc w:val="left"/>
        <w:rPr>
          <w:rFonts w:ascii="Times New Roman;Times;serif" w:hAnsi="Times New Roman;Times;serif"/>
          <w:sz w:val="24"/>
        </w:rPr>
      </w:pPr>
      <w:bookmarkStart w:id="2851" w:name="_cp_change_921"/>
      <w:bookmarkEnd w:id="2851"/>
      <w:r>
        <w:rPr>
          <w:rFonts w:ascii="Times" w:hAnsi="Times"/>
          <w:b/>
          <w:color w:val="FF0000"/>
          <w:sz w:val="24"/>
        </w:rPr>
        <w:t>CTO20 CROSSROADS AZ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52" w:name="_cp_change_920"/>
      <w:bookmarkEnd w:id="2852"/>
    </w:p>
    <w:p>
      <w:pPr>
        <w:pStyle w:val="TextBody"/>
        <w:bidi w:val="0"/>
        <w:spacing w:lineRule="atLeast" w:line="280" w:before="0" w:after="0"/>
        <w:ind w:left="0" w:right="0" w:hanging="0"/>
        <w:jc w:val="left"/>
        <w:rPr>
          <w:rFonts w:ascii="Times" w:hAnsi="Times"/>
          <w:color w:val="FF0000"/>
          <w:sz w:val="24"/>
        </w:rPr>
      </w:pPr>
      <w:bookmarkStart w:id="2853" w:name="_cp_change_923"/>
      <w:bookmarkEnd w:id="2853"/>
      <w:r>
        <w:rPr>
          <w:rFonts w:ascii="Times" w:hAnsi="Times"/>
          <w:color w:val="FF0000"/>
          <w:sz w:val="24"/>
        </w:rPr>
        <w:t>Date of Formation:December 16, 2019</w:t>
      </w:r>
      <w:bookmarkStart w:id="2854" w:name="_cp_change_922"/>
      <w:bookmarkEnd w:id="2854"/>
    </w:p>
    <w:p>
      <w:pPr>
        <w:pStyle w:val="TextBody"/>
        <w:bidi w:val="0"/>
        <w:spacing w:lineRule="atLeast" w:line="280" w:before="0" w:after="0"/>
        <w:ind w:left="0" w:right="0" w:hanging="0"/>
        <w:jc w:val="left"/>
        <w:rPr>
          <w:rFonts w:ascii="Times" w:hAnsi="Times"/>
          <w:color w:val="FF0000"/>
          <w:sz w:val="24"/>
        </w:rPr>
      </w:pPr>
      <w:bookmarkStart w:id="2855" w:name="_cp_change_925"/>
      <w:bookmarkEnd w:id="2855"/>
      <w:r>
        <w:rPr>
          <w:rFonts w:ascii="Times" w:hAnsi="Times"/>
          <w:color w:val="FF0000"/>
          <w:sz w:val="24"/>
        </w:rPr>
        <w:t>State of Formation:Delaware</w:t>
      </w:r>
      <w:bookmarkStart w:id="2856" w:name="_cp_change_924"/>
      <w:bookmarkEnd w:id="2856"/>
    </w:p>
    <w:p>
      <w:pPr>
        <w:pStyle w:val="TextBody"/>
        <w:bidi w:val="0"/>
        <w:spacing w:lineRule="atLeast" w:line="280" w:before="0" w:after="0"/>
        <w:ind w:left="0" w:right="0" w:hanging="0"/>
        <w:jc w:val="left"/>
        <w:rPr>
          <w:rFonts w:ascii="Times New Roman;Times;serif" w:hAnsi="Times New Roman;Times;serif"/>
          <w:sz w:val="24"/>
        </w:rPr>
      </w:pPr>
      <w:bookmarkStart w:id="2857" w:name="_cp_change_927"/>
      <w:bookmarkEnd w:id="2857"/>
      <w:r>
        <w:rPr>
          <w:rFonts w:ascii="Times" w:hAnsi="Times"/>
          <w:b w:val="false"/>
          <w:i w:val="false"/>
          <w:caps w:val="false"/>
          <w:smallCaps w:val="false"/>
          <w:color w:val="FF0000"/>
          <w:sz w:val="24"/>
        </w:rPr>
        <w:t>Member:</w:t>
      </w:r>
      <w:r>
        <w:rPr>
          <w:rFonts w:ascii="Times" w:hAnsi="Times"/>
          <w:color w:val="FF0000"/>
          <w:sz w:val="24"/>
        </w:rPr>
        <w:t>CTO Realty Growth, Inc. 100%</w:t>
      </w:r>
      <w:bookmarkStart w:id="2858" w:name="_cp_change_926"/>
      <w:bookmarkEnd w:id="2858"/>
    </w:p>
    <w:p>
      <w:pPr>
        <w:pStyle w:val="TextBody"/>
        <w:bidi w:val="0"/>
        <w:spacing w:lineRule="atLeast" w:line="280" w:before="0" w:after="0"/>
        <w:ind w:left="0" w:right="0" w:hanging="0"/>
        <w:jc w:val="left"/>
        <w:rPr>
          <w:rFonts w:ascii="Times New Roman;Times;serif" w:hAnsi="Times New Roman;Times;serif"/>
          <w:sz w:val="24"/>
        </w:rPr>
      </w:pPr>
      <w:bookmarkStart w:id="2859" w:name="_cp_change_929"/>
      <w:bookmarkEnd w:id="2859"/>
      <w:r>
        <w:rPr>
          <w:rFonts w:ascii="Times" w:hAnsi="Times"/>
          <w:b/>
          <w:color w:val="FF0000"/>
          <w:sz w:val="24"/>
        </w:rPr>
        <w:t>CTO21 APEX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60" w:name="_cp_change_928"/>
      <w:bookmarkEnd w:id="2860"/>
    </w:p>
    <w:p>
      <w:pPr>
        <w:pStyle w:val="TextBody"/>
        <w:bidi w:val="0"/>
        <w:spacing w:lineRule="atLeast" w:line="280" w:before="0" w:after="0"/>
        <w:ind w:left="0" w:right="0" w:hanging="0"/>
        <w:jc w:val="both"/>
        <w:rPr>
          <w:rFonts w:ascii="Times" w:hAnsi="Times"/>
          <w:b/>
          <w:color w:val="FF0000"/>
          <w:sz w:val="24"/>
        </w:rPr>
      </w:pPr>
      <w:bookmarkStart w:id="2861" w:name="_cp_change_931"/>
      <w:bookmarkEnd w:id="2861"/>
      <w:r>
        <w:rPr>
          <w:rFonts w:ascii="Times" w:hAnsi="Times"/>
          <w:b/>
          <w:color w:val="FF0000"/>
          <w:sz w:val="24"/>
        </w:rPr>
        <w:t>(Name changed from CTO20 FALLS CENTRE LLC, effective November 17, 2021)</w:t>
      </w:r>
      <w:bookmarkStart w:id="2862" w:name="_cp_change_930"/>
      <w:bookmarkEnd w:id="2862"/>
    </w:p>
    <w:p>
      <w:pPr>
        <w:pStyle w:val="TextBody"/>
        <w:bidi w:val="0"/>
        <w:spacing w:lineRule="atLeast" w:line="280" w:before="0" w:after="0"/>
        <w:ind w:left="0" w:right="0" w:hanging="0"/>
        <w:jc w:val="left"/>
        <w:rPr>
          <w:rFonts w:ascii="Times" w:hAnsi="Times"/>
          <w:color w:val="FF0000"/>
          <w:sz w:val="24"/>
        </w:rPr>
      </w:pPr>
      <w:bookmarkStart w:id="2863" w:name="_cp_change_933"/>
      <w:bookmarkEnd w:id="2863"/>
      <w:r>
        <w:rPr>
          <w:rFonts w:ascii="Times" w:hAnsi="Times"/>
          <w:color w:val="FF0000"/>
          <w:sz w:val="24"/>
        </w:rPr>
        <w:t>Date of Formation:January 16, 2020</w:t>
      </w:r>
      <w:bookmarkStart w:id="2864" w:name="_cp_change_932"/>
      <w:bookmarkEnd w:id="2864"/>
    </w:p>
    <w:p>
      <w:pPr>
        <w:pStyle w:val="TextBody"/>
        <w:bidi w:val="0"/>
        <w:spacing w:lineRule="atLeast" w:line="280" w:before="0" w:after="0"/>
        <w:ind w:left="0" w:right="0" w:hanging="0"/>
        <w:jc w:val="left"/>
        <w:rPr>
          <w:rFonts w:ascii="Times" w:hAnsi="Times"/>
          <w:color w:val="FF0000"/>
          <w:sz w:val="24"/>
        </w:rPr>
      </w:pPr>
      <w:bookmarkStart w:id="2865" w:name="_cp_change_935"/>
      <w:bookmarkEnd w:id="2865"/>
      <w:r>
        <w:rPr>
          <w:rFonts w:ascii="Times" w:hAnsi="Times"/>
          <w:color w:val="FF0000"/>
          <w:sz w:val="24"/>
        </w:rPr>
        <w:t>State of Formation:Delaware</w:t>
      </w:r>
      <w:bookmarkStart w:id="2866" w:name="_cp_change_934"/>
      <w:bookmarkEnd w:id="2866"/>
    </w:p>
    <w:p>
      <w:pPr>
        <w:pStyle w:val="TextBody"/>
        <w:bidi w:val="0"/>
        <w:spacing w:lineRule="atLeast" w:line="280" w:before="0" w:after="0"/>
        <w:ind w:left="0" w:right="0" w:hanging="0"/>
        <w:jc w:val="left"/>
        <w:rPr>
          <w:rFonts w:ascii="Times New Roman;Times;serif" w:hAnsi="Times New Roman;Times;serif"/>
          <w:sz w:val="24"/>
        </w:rPr>
      </w:pPr>
      <w:bookmarkStart w:id="2867" w:name="_cp_change_937"/>
      <w:bookmarkEnd w:id="2867"/>
      <w:r>
        <w:rPr>
          <w:rFonts w:ascii="Times" w:hAnsi="Times"/>
          <w:b w:val="false"/>
          <w:i w:val="false"/>
          <w:caps w:val="false"/>
          <w:smallCaps w:val="false"/>
          <w:color w:val="FF0000"/>
          <w:sz w:val="24"/>
        </w:rPr>
        <w:t>Member:</w:t>
      </w:r>
      <w:r>
        <w:rPr>
          <w:rFonts w:ascii="Times" w:hAnsi="Times"/>
          <w:color w:val="FF0000"/>
          <w:sz w:val="24"/>
        </w:rPr>
        <w:t>CTO Realty Growth, Inc. 100%</w:t>
      </w:r>
      <w:bookmarkStart w:id="2868" w:name="_cp_change_936"/>
      <w:bookmarkEnd w:id="2868"/>
    </w:p>
    <w:p>
      <w:pPr>
        <w:pStyle w:val="TextBody"/>
        <w:bidi w:val="0"/>
        <w:spacing w:lineRule="atLeast" w:line="280" w:before="0" w:after="0"/>
        <w:ind w:left="0" w:right="0" w:hanging="0"/>
        <w:jc w:val="left"/>
        <w:rPr>
          <w:rFonts w:ascii="Times New Roman;Times;serif" w:hAnsi="Times New Roman;Times;serif"/>
          <w:sz w:val="24"/>
        </w:rPr>
      </w:pPr>
      <w:bookmarkStart w:id="2869" w:name="_cp_change_939"/>
      <w:bookmarkEnd w:id="2869"/>
      <w:r>
        <w:rPr>
          <w:rFonts w:ascii="Times" w:hAnsi="Times"/>
          <w:b/>
          <w:color w:val="FF0000"/>
          <w:sz w:val="24"/>
        </w:rPr>
        <w:t>CTO20 HIALEAH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70" w:name="_cp_change_938"/>
      <w:bookmarkEnd w:id="2870"/>
    </w:p>
    <w:p>
      <w:pPr>
        <w:pStyle w:val="TextBody"/>
        <w:bidi w:val="0"/>
        <w:spacing w:lineRule="atLeast" w:line="280" w:before="0" w:after="0"/>
        <w:ind w:left="0" w:right="0" w:hanging="0"/>
        <w:jc w:val="left"/>
        <w:rPr>
          <w:rFonts w:ascii="Times" w:hAnsi="Times"/>
          <w:color w:val="FF0000"/>
          <w:sz w:val="24"/>
        </w:rPr>
      </w:pPr>
      <w:bookmarkStart w:id="2871" w:name="_cp_change_941"/>
      <w:bookmarkEnd w:id="2871"/>
      <w:r>
        <w:rPr>
          <w:rFonts w:ascii="Times" w:hAnsi="Times"/>
          <w:color w:val="FF0000"/>
          <w:sz w:val="24"/>
        </w:rPr>
        <w:t>Date of Formation:September 11, 2020</w:t>
      </w:r>
      <w:bookmarkStart w:id="2872" w:name="_cp_change_940"/>
      <w:bookmarkEnd w:id="2872"/>
    </w:p>
    <w:p>
      <w:pPr>
        <w:pStyle w:val="TextBody"/>
        <w:bidi w:val="0"/>
        <w:spacing w:lineRule="atLeast" w:line="280" w:before="0" w:after="0"/>
        <w:ind w:left="0" w:right="0" w:hanging="0"/>
        <w:jc w:val="left"/>
        <w:rPr>
          <w:rFonts w:ascii="Times" w:hAnsi="Times"/>
          <w:color w:val="FF0000"/>
          <w:sz w:val="24"/>
        </w:rPr>
      </w:pPr>
      <w:bookmarkStart w:id="2873" w:name="_cp_change_943"/>
      <w:bookmarkEnd w:id="2873"/>
      <w:r>
        <w:rPr>
          <w:rFonts w:ascii="Times" w:hAnsi="Times"/>
          <w:color w:val="FF0000"/>
          <w:sz w:val="24"/>
        </w:rPr>
        <w:t>State of Formation:Delaware</w:t>
      </w:r>
      <w:bookmarkStart w:id="2874" w:name="_cp_change_942"/>
      <w:bookmarkEnd w:id="2874"/>
    </w:p>
    <w:p>
      <w:pPr>
        <w:pStyle w:val="TextBody"/>
        <w:bidi w:val="0"/>
        <w:spacing w:lineRule="atLeast" w:line="280" w:before="0" w:after="0"/>
        <w:ind w:left="0" w:right="0" w:hanging="0"/>
        <w:jc w:val="left"/>
        <w:rPr>
          <w:rFonts w:ascii="Times New Roman;Times;serif" w:hAnsi="Times New Roman;Times;serif"/>
          <w:sz w:val="24"/>
        </w:rPr>
      </w:pPr>
      <w:bookmarkStart w:id="2875" w:name="_cp_change_945"/>
      <w:bookmarkEnd w:id="2875"/>
      <w:r>
        <w:rPr>
          <w:rFonts w:ascii="Times" w:hAnsi="Times"/>
          <w:b w:val="false"/>
          <w:i w:val="false"/>
          <w:caps w:val="false"/>
          <w:smallCaps w:val="false"/>
          <w:color w:val="FF0000"/>
          <w:sz w:val="24"/>
        </w:rPr>
        <w:t>Member:</w:t>
      </w:r>
      <w:r>
        <w:rPr>
          <w:rFonts w:ascii="Times" w:hAnsi="Times"/>
          <w:color w:val="FF0000"/>
          <w:sz w:val="24"/>
        </w:rPr>
        <w:t>CTO Realty Growth, Inc. 100%</w:t>
      </w:r>
      <w:bookmarkStart w:id="2876" w:name="_cp_change_944"/>
      <w:bookmarkEnd w:id="2876"/>
    </w:p>
    <w:p>
      <w:pPr>
        <w:pStyle w:val="TextBody"/>
        <w:bidi w:val="0"/>
        <w:spacing w:lineRule="atLeast" w:line="280" w:before="0" w:after="0"/>
        <w:ind w:left="0" w:right="0" w:hanging="0"/>
        <w:jc w:val="left"/>
        <w:rPr>
          <w:rFonts w:ascii="Times New Roman;Times;serif" w:hAnsi="Times New Roman;Times;serif"/>
          <w:sz w:val="24"/>
        </w:rPr>
      </w:pPr>
      <w:bookmarkStart w:id="2877" w:name="_cp_change_947"/>
      <w:bookmarkEnd w:id="2877"/>
      <w:r>
        <w:rPr>
          <w:rFonts w:ascii="Times" w:hAnsi="Times"/>
          <w:b/>
          <w:color w:val="FF0000"/>
          <w:sz w:val="24"/>
        </w:rPr>
        <w:t>CTO20 PERIMETER II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78" w:name="_cp_change_946"/>
      <w:bookmarkEnd w:id="2878"/>
    </w:p>
    <w:p>
      <w:pPr>
        <w:pStyle w:val="TextBody"/>
        <w:bidi w:val="0"/>
        <w:spacing w:lineRule="atLeast" w:line="280" w:before="0" w:after="0"/>
        <w:ind w:left="0" w:right="0" w:hanging="0"/>
        <w:jc w:val="left"/>
        <w:rPr>
          <w:rFonts w:ascii="Times" w:hAnsi="Times"/>
          <w:color w:val="FF0000"/>
          <w:sz w:val="24"/>
        </w:rPr>
      </w:pPr>
      <w:bookmarkStart w:id="2879" w:name="_cp_change_949"/>
      <w:bookmarkEnd w:id="2879"/>
      <w:r>
        <w:rPr>
          <w:rFonts w:ascii="Times" w:hAnsi="Times"/>
          <w:color w:val="FF0000"/>
          <w:sz w:val="24"/>
        </w:rPr>
        <w:t>Date of Formation:February 18, 2020</w:t>
      </w:r>
      <w:bookmarkStart w:id="2880" w:name="_cp_change_948"/>
      <w:bookmarkEnd w:id="2880"/>
    </w:p>
    <w:p>
      <w:pPr>
        <w:pStyle w:val="TextBody"/>
        <w:bidi w:val="0"/>
        <w:spacing w:lineRule="atLeast" w:line="280" w:before="0" w:after="0"/>
        <w:ind w:left="0" w:right="0" w:hanging="0"/>
        <w:jc w:val="left"/>
        <w:rPr>
          <w:rFonts w:ascii="Times" w:hAnsi="Times"/>
          <w:color w:val="FF0000"/>
          <w:sz w:val="24"/>
        </w:rPr>
      </w:pPr>
      <w:bookmarkStart w:id="2881" w:name="_cp_change_951"/>
      <w:bookmarkEnd w:id="2881"/>
      <w:r>
        <w:rPr>
          <w:rFonts w:ascii="Times" w:hAnsi="Times"/>
          <w:color w:val="FF0000"/>
          <w:sz w:val="24"/>
        </w:rPr>
        <w:t>State of Formation:Delaware</w:t>
      </w:r>
      <w:bookmarkStart w:id="2882" w:name="_cp_change_950"/>
      <w:bookmarkEnd w:id="2882"/>
    </w:p>
    <w:p>
      <w:pPr>
        <w:pStyle w:val="TextBody"/>
        <w:bidi w:val="0"/>
        <w:spacing w:lineRule="atLeast" w:line="280" w:before="0" w:after="0"/>
        <w:ind w:left="0" w:right="0" w:hanging="0"/>
        <w:jc w:val="left"/>
        <w:rPr>
          <w:rFonts w:ascii="Times New Roman;Times;serif" w:hAnsi="Times New Roman;Times;serif"/>
          <w:sz w:val="24"/>
        </w:rPr>
      </w:pPr>
      <w:bookmarkStart w:id="2883" w:name="_cp_change_953"/>
      <w:bookmarkEnd w:id="2883"/>
      <w:r>
        <w:rPr>
          <w:rFonts w:ascii="Times" w:hAnsi="Times"/>
          <w:b w:val="false"/>
          <w:i w:val="false"/>
          <w:caps w:val="false"/>
          <w:smallCaps w:val="false"/>
          <w:color w:val="FF0000"/>
          <w:sz w:val="24"/>
        </w:rPr>
        <w:t>Member:</w:t>
      </w:r>
      <w:r>
        <w:rPr>
          <w:rFonts w:ascii="Times" w:hAnsi="Times"/>
          <w:color w:val="FF0000"/>
          <w:sz w:val="24"/>
        </w:rPr>
        <w:t>CTO Realty Growth, Inc. (100%)</w:t>
      </w:r>
      <w:bookmarkStart w:id="2884" w:name="_cp_change_952"/>
      <w:bookmarkEnd w:id="2884"/>
    </w:p>
    <w:p>
      <w:pPr>
        <w:pStyle w:val="TextBody"/>
        <w:bidi w:val="0"/>
        <w:spacing w:lineRule="atLeast" w:line="280" w:before="0" w:after="0"/>
        <w:ind w:left="0" w:right="0" w:hanging="0"/>
        <w:jc w:val="left"/>
        <w:rPr>
          <w:rFonts w:ascii="Times New Roman;Times;serif" w:hAnsi="Times New Roman;Times;serif"/>
          <w:sz w:val="24"/>
        </w:rPr>
      </w:pPr>
      <w:bookmarkStart w:id="2885" w:name="_cp_change_955"/>
      <w:bookmarkEnd w:id="2885"/>
      <w:r>
        <w:rPr>
          <w:rFonts w:ascii="Times" w:hAnsi="Times"/>
          <w:b/>
          <w:color w:val="FF0000"/>
          <w:sz w:val="24"/>
        </w:rPr>
        <w:t>CTO20 PERIMETER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86" w:name="_cp_change_954"/>
      <w:bookmarkEnd w:id="2886"/>
    </w:p>
    <w:p>
      <w:pPr>
        <w:pStyle w:val="TextBody"/>
        <w:bidi w:val="0"/>
        <w:spacing w:lineRule="atLeast" w:line="280" w:before="0" w:after="0"/>
        <w:ind w:left="0" w:right="0" w:hanging="0"/>
        <w:jc w:val="left"/>
        <w:rPr>
          <w:rFonts w:ascii="Times" w:hAnsi="Times"/>
          <w:color w:val="FF0000"/>
          <w:sz w:val="24"/>
        </w:rPr>
      </w:pPr>
      <w:bookmarkStart w:id="2887" w:name="_cp_change_957"/>
      <w:bookmarkEnd w:id="2887"/>
      <w:r>
        <w:rPr>
          <w:rFonts w:ascii="Times" w:hAnsi="Times"/>
          <w:color w:val="FF0000"/>
          <w:sz w:val="24"/>
        </w:rPr>
        <w:t>Date of Formation:February 18, 2020</w:t>
      </w:r>
      <w:bookmarkStart w:id="2888" w:name="_cp_change_956"/>
      <w:bookmarkEnd w:id="2888"/>
    </w:p>
    <w:p>
      <w:pPr>
        <w:pStyle w:val="TextBody"/>
        <w:bidi w:val="0"/>
        <w:spacing w:lineRule="atLeast" w:line="280" w:before="0" w:after="0"/>
        <w:ind w:left="0" w:right="0" w:hanging="0"/>
        <w:jc w:val="left"/>
        <w:rPr>
          <w:rFonts w:ascii="Times" w:hAnsi="Times"/>
          <w:color w:val="FF0000"/>
          <w:sz w:val="24"/>
        </w:rPr>
      </w:pPr>
      <w:bookmarkStart w:id="2889" w:name="_cp_change_959"/>
      <w:bookmarkEnd w:id="2889"/>
      <w:r>
        <w:rPr>
          <w:rFonts w:ascii="Times" w:hAnsi="Times"/>
          <w:color w:val="FF0000"/>
          <w:sz w:val="24"/>
        </w:rPr>
        <w:t>State of Formation:Delaware</w:t>
      </w:r>
      <w:bookmarkStart w:id="2890" w:name="_cp_change_958"/>
      <w:bookmarkEnd w:id="2890"/>
    </w:p>
    <w:p>
      <w:pPr>
        <w:pStyle w:val="TextBody"/>
        <w:bidi w:val="0"/>
        <w:spacing w:lineRule="atLeast" w:line="280" w:before="0" w:after="0"/>
        <w:ind w:left="0" w:right="0" w:hanging="0"/>
        <w:jc w:val="left"/>
        <w:rPr>
          <w:rFonts w:ascii="Times New Roman;Times;serif" w:hAnsi="Times New Roman;Times;serif"/>
          <w:sz w:val="24"/>
        </w:rPr>
      </w:pPr>
      <w:bookmarkStart w:id="2891" w:name="_cp_change_961"/>
      <w:bookmarkEnd w:id="2891"/>
      <w:r>
        <w:rPr>
          <w:rFonts w:ascii="Times" w:hAnsi="Times"/>
          <w:b w:val="false"/>
          <w:i w:val="false"/>
          <w:caps w:val="false"/>
          <w:smallCaps w:val="false"/>
          <w:color w:val="FF0000"/>
          <w:sz w:val="24"/>
        </w:rPr>
        <w:t>Member:</w:t>
      </w:r>
      <w:r>
        <w:rPr>
          <w:rFonts w:ascii="Times" w:hAnsi="Times"/>
          <w:color w:val="FF0000"/>
          <w:sz w:val="24"/>
        </w:rPr>
        <w:t>CTO Realty Growth, Inc. 100%</w:t>
      </w:r>
      <w:bookmarkStart w:id="2892" w:name="_cp_change_960"/>
      <w:bookmarkEnd w:id="2892"/>
    </w:p>
    <w:p>
      <w:pPr>
        <w:pStyle w:val="TextBody"/>
        <w:bidi w:val="0"/>
        <w:spacing w:lineRule="atLeast" w:line="280" w:before="0" w:after="0"/>
        <w:ind w:left="0" w:right="0" w:hanging="0"/>
        <w:jc w:val="left"/>
        <w:rPr>
          <w:rFonts w:ascii="Times New Roman;Times;serif" w:hAnsi="Times New Roman;Times;serif"/>
          <w:sz w:val="24"/>
        </w:rPr>
      </w:pPr>
      <w:bookmarkStart w:id="2893" w:name="_cp_change_963"/>
      <w:bookmarkEnd w:id="2893"/>
      <w:r>
        <w:rPr>
          <w:rFonts w:ascii="Times" w:hAnsi="Times"/>
          <w:b/>
          <w:color w:val="FF0000"/>
          <w:sz w:val="24"/>
        </w:rPr>
        <w:t>CTO24 HYUPOLUXO LLC</w:t>
      </w:r>
      <w:r>
        <w:rPr>
          <w:rFonts w:ascii="Times New Roman;Times;serif" w:hAnsi="Times New Roman;Times;serif"/>
          <w:color w:val="FF0000"/>
          <w:sz w:val="24"/>
        </w:rPr>
        <w:t xml:space="preserve"> </w:t>
      </w:r>
      <w:r>
        <w:rPr>
          <w:rFonts w:ascii="Times" w:hAnsi="Times"/>
          <w:b/>
          <w:color w:val="FF0000"/>
          <w:sz w:val="24"/>
        </w:rPr>
        <w:t>(limited liability company)</w:t>
      </w:r>
      <w:bookmarkStart w:id="2894" w:name="_cp_change_962"/>
      <w:bookmarkEnd w:id="2894"/>
    </w:p>
    <w:p>
      <w:pPr>
        <w:pStyle w:val="TextBody"/>
        <w:bidi w:val="0"/>
        <w:spacing w:lineRule="atLeast" w:line="280" w:before="0" w:after="0"/>
        <w:ind w:left="0" w:right="0" w:hanging="0"/>
        <w:jc w:val="left"/>
        <w:rPr>
          <w:rFonts w:ascii="Times" w:hAnsi="Times"/>
          <w:color w:val="FF0000"/>
          <w:sz w:val="24"/>
        </w:rPr>
      </w:pPr>
      <w:bookmarkStart w:id="2895" w:name="_cp_change_965"/>
      <w:bookmarkEnd w:id="2895"/>
      <w:r>
        <w:rPr>
          <w:rFonts w:ascii="Times" w:hAnsi="Times"/>
          <w:color w:val="FF0000"/>
          <w:sz w:val="24"/>
        </w:rPr>
        <w:t>Date of Formation:January 16, 2020</w:t>
      </w:r>
      <w:bookmarkStart w:id="2896" w:name="_cp_change_964"/>
      <w:bookmarkEnd w:id="2896"/>
    </w:p>
    <w:p>
      <w:pPr>
        <w:pStyle w:val="TextBody"/>
        <w:bidi w:val="0"/>
        <w:spacing w:lineRule="atLeast" w:line="280" w:before="0" w:after="0"/>
        <w:ind w:left="0" w:right="0" w:hanging="0"/>
        <w:jc w:val="left"/>
        <w:rPr>
          <w:rFonts w:ascii="Times" w:hAnsi="Times"/>
          <w:color w:val="FF0000"/>
          <w:sz w:val="24"/>
        </w:rPr>
      </w:pPr>
      <w:bookmarkStart w:id="2897" w:name="_cp_change_967"/>
      <w:bookmarkEnd w:id="2897"/>
      <w:r>
        <w:rPr>
          <w:rFonts w:ascii="Times" w:hAnsi="Times"/>
          <w:color w:val="FF0000"/>
          <w:sz w:val="24"/>
        </w:rPr>
        <w:t>State of Formation:Delaware</w:t>
      </w:r>
      <w:bookmarkStart w:id="2898" w:name="_cp_change_966"/>
      <w:bookmarkEnd w:id="2898"/>
    </w:p>
    <w:p>
      <w:pPr>
        <w:pStyle w:val="TextBody"/>
        <w:bidi w:val="0"/>
        <w:spacing w:lineRule="atLeast" w:line="280" w:before="0" w:after="0"/>
        <w:ind w:left="0" w:right="0" w:hanging="0"/>
        <w:jc w:val="left"/>
        <w:rPr>
          <w:rFonts w:ascii="Times New Roman;Times;serif" w:hAnsi="Times New Roman;Times;serif"/>
          <w:sz w:val="24"/>
        </w:rPr>
      </w:pPr>
      <w:bookmarkStart w:id="2899" w:name="_cp_change_969"/>
      <w:bookmarkEnd w:id="2899"/>
      <w:r>
        <w:rPr>
          <w:rFonts w:ascii="Times" w:hAnsi="Times"/>
          <w:b w:val="false"/>
          <w:i w:val="false"/>
          <w:caps w:val="false"/>
          <w:smallCaps w:val="false"/>
          <w:color w:val="FF0000"/>
          <w:sz w:val="24"/>
        </w:rPr>
        <w:t>Member:</w:t>
      </w:r>
      <w:r>
        <w:rPr>
          <w:rFonts w:ascii="Times" w:hAnsi="Times"/>
          <w:color w:val="FF0000"/>
          <w:sz w:val="24"/>
        </w:rPr>
        <w:t>CTO Realty Growth, Inc. 100%</w:t>
      </w:r>
      <w:bookmarkStart w:id="2900" w:name="_cp_change_968"/>
      <w:bookmarkEnd w:id="2900"/>
    </w:p>
    <w:p>
      <w:pPr>
        <w:pStyle w:val="TextBody"/>
        <w:bidi w:val="0"/>
        <w:spacing w:lineRule="atLeast" w:line="280" w:before="0" w:after="0"/>
        <w:ind w:left="0" w:right="0" w:hanging="0"/>
        <w:jc w:val="left"/>
        <w:rPr>
          <w:rFonts w:ascii="Times New Roman;Times;serif" w:hAnsi="Times New Roman;Times;serif"/>
          <w:sz w:val="24"/>
        </w:rPr>
      </w:pPr>
      <w:bookmarkStart w:id="2901" w:name="_cp_change_971"/>
      <w:bookmarkEnd w:id="2901"/>
      <w:r>
        <w:rPr>
          <w:rFonts w:ascii="Times" w:hAnsi="Times"/>
          <w:b/>
          <w:color w:val="FF0000"/>
          <w:sz w:val="24"/>
        </w:rPr>
        <w:t>CTO20 TAMPA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02" w:name="_cp_change_970"/>
      <w:bookmarkEnd w:id="2902"/>
    </w:p>
    <w:p>
      <w:pPr>
        <w:pStyle w:val="TextBody"/>
        <w:bidi w:val="0"/>
        <w:spacing w:lineRule="atLeast" w:line="280" w:before="0" w:after="0"/>
        <w:ind w:left="0" w:right="0" w:hanging="0"/>
        <w:jc w:val="left"/>
        <w:rPr>
          <w:rFonts w:ascii="Times" w:hAnsi="Times"/>
          <w:color w:val="FF0000"/>
          <w:sz w:val="24"/>
        </w:rPr>
      </w:pPr>
      <w:bookmarkStart w:id="2903" w:name="_cp_change_973"/>
      <w:bookmarkEnd w:id="2903"/>
      <w:r>
        <w:rPr>
          <w:rFonts w:ascii="Times" w:hAnsi="Times"/>
          <w:color w:val="FF0000"/>
          <w:sz w:val="24"/>
        </w:rPr>
        <w:t>Date of Formation:August 14, 2020</w:t>
      </w:r>
      <w:bookmarkStart w:id="2904" w:name="_cp_change_972"/>
      <w:bookmarkEnd w:id="2904"/>
    </w:p>
    <w:p>
      <w:pPr>
        <w:pStyle w:val="TextBody"/>
        <w:bidi w:val="0"/>
        <w:spacing w:lineRule="atLeast" w:line="280" w:before="0" w:after="0"/>
        <w:ind w:left="0" w:right="0" w:hanging="0"/>
        <w:jc w:val="left"/>
        <w:rPr>
          <w:rFonts w:ascii="Times" w:hAnsi="Times"/>
          <w:color w:val="FF0000"/>
          <w:sz w:val="24"/>
        </w:rPr>
      </w:pPr>
      <w:bookmarkStart w:id="2905" w:name="_cp_change_975"/>
      <w:bookmarkEnd w:id="2905"/>
      <w:r>
        <w:rPr>
          <w:rFonts w:ascii="Times" w:hAnsi="Times"/>
          <w:color w:val="FF0000"/>
          <w:sz w:val="24"/>
        </w:rPr>
        <w:t>State of Formation:Delaware</w:t>
      </w:r>
      <w:bookmarkStart w:id="2906" w:name="_cp_change_974"/>
      <w:bookmarkEnd w:id="2906"/>
    </w:p>
    <w:p>
      <w:pPr>
        <w:pStyle w:val="TextBody"/>
        <w:bidi w:val="0"/>
        <w:spacing w:lineRule="atLeast" w:line="280" w:before="0" w:after="0"/>
        <w:ind w:left="0" w:right="0" w:hanging="0"/>
        <w:jc w:val="left"/>
        <w:rPr>
          <w:rFonts w:ascii="Times New Roman;Times;serif" w:hAnsi="Times New Roman;Times;serif"/>
          <w:sz w:val="24"/>
        </w:rPr>
      </w:pPr>
      <w:bookmarkStart w:id="2907" w:name="_cp_change_977"/>
      <w:bookmarkEnd w:id="2907"/>
      <w:r>
        <w:rPr>
          <w:rFonts w:ascii="Times" w:hAnsi="Times"/>
          <w:b w:val="false"/>
          <w:i w:val="false"/>
          <w:caps w:val="false"/>
          <w:smallCaps w:val="false"/>
          <w:color w:val="FF0000"/>
          <w:sz w:val="24"/>
        </w:rPr>
        <w:t>Member:</w:t>
      </w:r>
      <w:r>
        <w:rPr>
          <w:rFonts w:ascii="Times" w:hAnsi="Times"/>
          <w:color w:val="FF0000"/>
          <w:sz w:val="24"/>
        </w:rPr>
        <w:t>CTO Realty Growth, Inc. 100%</w:t>
      </w:r>
      <w:bookmarkStart w:id="2908" w:name="_cp_change_976"/>
      <w:bookmarkEnd w:id="2908"/>
    </w:p>
    <w:p>
      <w:pPr>
        <w:pStyle w:val="TextBody"/>
        <w:bidi w:val="0"/>
        <w:spacing w:lineRule="atLeast" w:line="280" w:before="0" w:after="0"/>
        <w:ind w:left="0" w:right="0" w:hanging="0"/>
        <w:jc w:val="left"/>
        <w:rPr>
          <w:rFonts w:ascii="Times New Roman;Times;serif" w:hAnsi="Times New Roman;Times;serif"/>
          <w:sz w:val="24"/>
        </w:rPr>
      </w:pPr>
      <w:bookmarkStart w:id="2909" w:name="_cp_change_979"/>
      <w:bookmarkEnd w:id="2909"/>
      <w:r>
        <w:rPr>
          <w:rFonts w:ascii="Times" w:hAnsi="Times"/>
          <w:b/>
          <w:color w:val="FF0000"/>
          <w:sz w:val="24"/>
        </w:rPr>
        <w:t>CTO21 ACQUISITIONS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10" w:name="_cp_change_978"/>
      <w:bookmarkEnd w:id="2910"/>
    </w:p>
    <w:p>
      <w:pPr>
        <w:pStyle w:val="TextBody"/>
        <w:bidi w:val="0"/>
        <w:spacing w:lineRule="atLeast" w:line="280" w:before="0" w:after="0"/>
        <w:ind w:left="0" w:right="0" w:hanging="0"/>
        <w:jc w:val="left"/>
        <w:rPr>
          <w:rFonts w:ascii="Times" w:hAnsi="Times"/>
          <w:color w:val="FF0000"/>
          <w:sz w:val="24"/>
        </w:rPr>
      </w:pPr>
      <w:bookmarkStart w:id="2911" w:name="_cp_change_981"/>
      <w:bookmarkEnd w:id="2911"/>
      <w:r>
        <w:rPr>
          <w:rFonts w:ascii="Times" w:hAnsi="Times"/>
          <w:color w:val="FF0000"/>
          <w:sz w:val="24"/>
        </w:rPr>
        <w:t>Date of Formation:March 3, 2021</w:t>
      </w:r>
      <w:bookmarkStart w:id="2912" w:name="_cp_change_980"/>
      <w:bookmarkEnd w:id="2912"/>
    </w:p>
    <w:p>
      <w:pPr>
        <w:pStyle w:val="TextBody"/>
        <w:bidi w:val="0"/>
        <w:spacing w:lineRule="atLeast" w:line="280" w:before="0" w:after="0"/>
        <w:ind w:left="0" w:right="0" w:hanging="0"/>
        <w:jc w:val="left"/>
        <w:rPr>
          <w:rFonts w:ascii="Times" w:hAnsi="Times"/>
          <w:color w:val="FF0000"/>
          <w:sz w:val="24"/>
        </w:rPr>
      </w:pPr>
      <w:bookmarkStart w:id="2913" w:name="_cp_change_983"/>
      <w:bookmarkEnd w:id="2913"/>
      <w:r>
        <w:rPr>
          <w:rFonts w:ascii="Times" w:hAnsi="Times"/>
          <w:color w:val="FF0000"/>
          <w:sz w:val="24"/>
        </w:rPr>
        <w:t>State of Formation:Delaware</w:t>
      </w:r>
      <w:bookmarkStart w:id="2914" w:name="_cp_change_982"/>
      <w:bookmarkEnd w:id="2914"/>
    </w:p>
    <w:p>
      <w:pPr>
        <w:pStyle w:val="TextBody"/>
        <w:bidi w:val="0"/>
        <w:spacing w:lineRule="atLeast" w:line="280" w:before="0" w:after="0"/>
        <w:ind w:left="0" w:right="0" w:hanging="0"/>
        <w:jc w:val="left"/>
        <w:rPr>
          <w:rFonts w:ascii="Times New Roman;Times;serif" w:hAnsi="Times New Roman;Times;serif"/>
          <w:sz w:val="24"/>
        </w:rPr>
      </w:pPr>
      <w:bookmarkStart w:id="2915" w:name="_cp_change_985"/>
      <w:bookmarkEnd w:id="2915"/>
      <w:r>
        <w:rPr>
          <w:rFonts w:ascii="Times" w:hAnsi="Times"/>
          <w:b w:val="false"/>
          <w:i w:val="false"/>
          <w:caps w:val="false"/>
          <w:smallCaps w:val="false"/>
          <w:color w:val="FF0000"/>
          <w:sz w:val="24"/>
        </w:rPr>
        <w:t>Member:</w:t>
      </w:r>
      <w:r>
        <w:rPr>
          <w:rFonts w:ascii="Times" w:hAnsi="Times"/>
          <w:color w:val="FF0000"/>
          <w:sz w:val="24"/>
        </w:rPr>
        <w:t>CTO Realty Growth, Inc. 100%</w:t>
      </w:r>
      <w:bookmarkStart w:id="2916" w:name="_cp_change_984"/>
      <w:bookmarkEnd w:id="2916"/>
    </w:p>
    <w:p>
      <w:pPr>
        <w:pStyle w:val="TextBody"/>
        <w:bidi w:val="0"/>
        <w:spacing w:lineRule="atLeast" w:line="280" w:before="0" w:after="0"/>
        <w:ind w:left="0" w:right="0" w:hanging="0"/>
        <w:jc w:val="left"/>
        <w:rPr>
          <w:rFonts w:ascii="Times New Roman;Times;serif" w:hAnsi="Times New Roman;Times;serif"/>
          <w:sz w:val="24"/>
        </w:rPr>
      </w:pPr>
      <w:bookmarkStart w:id="2917" w:name="_cp_change_987"/>
      <w:bookmarkEnd w:id="2917"/>
      <w:r>
        <w:rPr>
          <w:rFonts w:ascii="Times" w:hAnsi="Times"/>
          <w:b/>
          <w:color w:val="FF0000"/>
          <w:sz w:val="24"/>
        </w:rPr>
        <w:t>CTO21 ACQUISITIONS II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18" w:name="_cp_change_986"/>
      <w:bookmarkEnd w:id="2918"/>
    </w:p>
    <w:p>
      <w:pPr>
        <w:pStyle w:val="TextBody"/>
        <w:bidi w:val="0"/>
        <w:spacing w:lineRule="atLeast" w:line="280" w:before="0" w:after="0"/>
        <w:ind w:left="0" w:right="0" w:hanging="0"/>
        <w:jc w:val="left"/>
        <w:rPr>
          <w:rFonts w:ascii="Times" w:hAnsi="Times"/>
          <w:color w:val="FF0000"/>
          <w:sz w:val="24"/>
        </w:rPr>
      </w:pPr>
      <w:bookmarkStart w:id="2919" w:name="_cp_change_989"/>
      <w:bookmarkEnd w:id="2919"/>
      <w:r>
        <w:rPr>
          <w:rFonts w:ascii="Times" w:hAnsi="Times"/>
          <w:color w:val="FF0000"/>
          <w:sz w:val="24"/>
        </w:rPr>
        <w:t>Date of Formation:May 28, 2021</w:t>
      </w:r>
      <w:bookmarkStart w:id="2920" w:name="_cp_change_988"/>
      <w:bookmarkEnd w:id="2920"/>
    </w:p>
    <w:p>
      <w:pPr>
        <w:pStyle w:val="TextBody"/>
        <w:bidi w:val="0"/>
        <w:spacing w:lineRule="atLeast" w:line="280" w:before="0" w:after="0"/>
        <w:ind w:left="0" w:right="0" w:hanging="0"/>
        <w:jc w:val="left"/>
        <w:rPr>
          <w:rFonts w:ascii="Times" w:hAnsi="Times"/>
          <w:color w:val="FF0000"/>
          <w:sz w:val="24"/>
        </w:rPr>
      </w:pPr>
      <w:bookmarkStart w:id="2921" w:name="_cp_change_991"/>
      <w:bookmarkEnd w:id="2921"/>
      <w:r>
        <w:rPr>
          <w:rFonts w:ascii="Times" w:hAnsi="Times"/>
          <w:color w:val="FF0000"/>
          <w:sz w:val="24"/>
        </w:rPr>
        <w:t>State of Formation:Delaware</w:t>
      </w:r>
      <w:bookmarkStart w:id="2922" w:name="_cp_change_990"/>
      <w:bookmarkEnd w:id="2922"/>
    </w:p>
    <w:p>
      <w:pPr>
        <w:pStyle w:val="TextBody"/>
        <w:bidi w:val="0"/>
        <w:spacing w:lineRule="atLeast" w:line="280" w:before="0" w:after="0"/>
        <w:ind w:left="0" w:right="0" w:hanging="0"/>
        <w:jc w:val="left"/>
        <w:rPr>
          <w:rFonts w:ascii="Times New Roman;Times;serif" w:hAnsi="Times New Roman;Times;serif"/>
          <w:sz w:val="24"/>
        </w:rPr>
      </w:pPr>
      <w:bookmarkStart w:id="2923" w:name="_cp_change_993"/>
      <w:bookmarkEnd w:id="2923"/>
      <w:r>
        <w:rPr>
          <w:rFonts w:ascii="Times" w:hAnsi="Times"/>
          <w:b w:val="false"/>
          <w:i w:val="false"/>
          <w:caps w:val="false"/>
          <w:smallCaps w:val="false"/>
          <w:color w:val="FF0000"/>
          <w:sz w:val="24"/>
        </w:rPr>
        <w:t>Member:</w:t>
      </w:r>
      <w:r>
        <w:rPr>
          <w:rFonts w:ascii="Times" w:hAnsi="Times"/>
          <w:color w:val="FF0000"/>
          <w:sz w:val="24"/>
        </w:rPr>
        <w:t>CTO Realty Growth, Inc. 100%</w:t>
      </w:r>
      <w:bookmarkStart w:id="2924" w:name="_cp_change_992"/>
      <w:bookmarkEnd w:id="2924"/>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6.2 - 2</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rFonts w:ascii="Times New Roman;Times;serif" w:hAnsi="Times New Roman;Times;serif"/>
          <w:sz w:val="24"/>
        </w:rPr>
      </w:pPr>
      <w:bookmarkStart w:id="2925" w:name="_cp_change_995"/>
      <w:bookmarkEnd w:id="2925"/>
      <w:r>
        <w:rPr>
          <w:rFonts w:ascii="Times" w:hAnsi="Times"/>
          <w:b/>
          <w:color w:val="FF0000"/>
          <w:sz w:val="24"/>
        </w:rPr>
        <w:t>DAYTONA JV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26" w:name="_cp_change_994"/>
      <w:bookmarkEnd w:id="2926"/>
      <w:r>
        <mc:AlternateContent>
          <mc:Choice Requires="wps">
            <w:drawing>
              <wp:anchor behindDoc="0" distT="0" distB="0" distL="0" distR="0" simplePos="0" locked="0" layoutInCell="1" allowOverlap="1" relativeHeight="707">
                <wp:simplePos x="0" y="0"/>
                <wp:positionH relativeFrom="column">
                  <wp:align>left</wp:align>
                </wp:positionH>
                <wp:positionV relativeFrom="line">
                  <wp:posOffset>635</wp:posOffset>
                </wp:positionV>
                <wp:extent cx="5943600" cy="175260"/>
                <wp:effectExtent l="0" t="0" r="0" b="0"/>
                <wp:wrapSquare wrapText="right"/>
                <wp:docPr id="706" name="Frame706"/>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0"/>
                              <w:ind w:left="0" w:right="0" w:hanging="0"/>
                              <w:jc w:val="right"/>
                              <w:rPr/>
                            </w:pPr>
                            <w:r>
                              <w:rPr/>
                              <w:t>​</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right"/>
                        <w:rPr/>
                      </w:pPr>
                      <w:r>
                        <w:rPr/>
                        <w:t>​</w:t>
                      </w:r>
                    </w:p>
                  </w:txbxContent>
                </v:textbox>
                <w10:wrap type="square" side="right"/>
              </v:rect>
            </w:pict>
          </mc:Fallback>
        </mc:AlternateContent>
      </w:r>
    </w:p>
    <w:p>
      <w:pPr>
        <w:pStyle w:val="TextBody"/>
        <w:pBdr/>
        <w:bidi w:val="0"/>
        <w:spacing w:lineRule="atLeast" w:line="280" w:before="0" w:after="0"/>
        <w:ind w:left="0" w:right="0" w:hanging="2160"/>
        <w:jc w:val="both"/>
        <w:rPr>
          <w:rFonts w:ascii="Times" w:hAnsi="Times"/>
          <w:color w:val="FF0000"/>
          <w:sz w:val="24"/>
        </w:rPr>
      </w:pPr>
      <w:bookmarkStart w:id="2927" w:name="_cp_change_997"/>
      <w:bookmarkEnd w:id="2927"/>
      <w:r>
        <w:rPr>
          <w:rFonts w:ascii="Times" w:hAnsi="Times"/>
          <w:color w:val="FF0000"/>
          <w:sz w:val="24"/>
        </w:rPr>
        <w:t>Date of Formation:August 5, 2015</w:t>
      </w:r>
      <w:bookmarkStart w:id="2928" w:name="_cp_change_996"/>
      <w:bookmarkEnd w:id="2928"/>
    </w:p>
    <w:p>
      <w:pPr>
        <w:pStyle w:val="TextBody"/>
        <w:pBdr/>
        <w:bidi w:val="0"/>
        <w:spacing w:lineRule="atLeast" w:line="280" w:before="0" w:after="0"/>
        <w:ind w:left="0" w:right="0" w:hanging="2160"/>
        <w:jc w:val="both"/>
        <w:rPr>
          <w:rFonts w:ascii="Times" w:hAnsi="Times"/>
          <w:color w:val="FF0000"/>
          <w:sz w:val="24"/>
        </w:rPr>
      </w:pPr>
      <w:bookmarkStart w:id="2929" w:name="_cp_change_999"/>
      <w:bookmarkEnd w:id="2929"/>
      <w:r>
        <w:rPr>
          <w:rFonts w:ascii="Times" w:hAnsi="Times"/>
          <w:color w:val="FF0000"/>
          <w:sz w:val="24"/>
        </w:rPr>
        <w:t>State of Formation:Florida</w:t>
      </w:r>
      <w:bookmarkStart w:id="2930" w:name="_cp_change_998"/>
      <w:bookmarkEnd w:id="2930"/>
    </w:p>
    <w:tbl>
      <w:tblPr>
        <w:tblW w:w="10205" w:type="dxa"/>
        <w:jc w:val="left"/>
        <w:tblInd w:w="0" w:type="dxa"/>
        <w:tblLayout w:type="fixed"/>
        <w:tblCellMar>
          <w:top w:w="0" w:type="dxa"/>
          <w:left w:w="0" w:type="dxa"/>
          <w:bottom w:w="0" w:type="dxa"/>
          <w:right w:w="0" w:type="dxa"/>
        </w:tblCellMar>
      </w:tblPr>
      <w:tblGrid>
        <w:gridCol w:w="957"/>
        <w:gridCol w:w="9248"/>
      </w:tblGrid>
      <w:tr>
        <w:trPr/>
        <w:tc>
          <w:tcPr>
            <w:tcW w:w="957" w:type="dxa"/>
            <w:tcBorders/>
            <w:vAlign w:val="center"/>
          </w:tcPr>
          <w:p>
            <w:pPr>
              <w:pStyle w:val="TableContents"/>
              <w:bidi w:val="0"/>
              <w:spacing w:lineRule="atLeast" w:line="280" w:before="0" w:after="0"/>
              <w:jc w:val="both"/>
              <w:rPr>
                <w:rFonts w:ascii="Times" w:hAnsi="Times"/>
                <w:color w:val="FF0000"/>
                <w:sz w:val="24"/>
              </w:rPr>
            </w:pPr>
            <w:bookmarkStart w:id="2931" w:name="_cp_change_1001"/>
            <w:bookmarkEnd w:id="2931"/>
            <w:r>
              <w:rPr>
                <w:rFonts w:ascii="Times" w:hAnsi="Times"/>
                <w:color w:val="FF0000"/>
                <w:sz w:val="24"/>
              </w:rPr>
              <w:t>Members:</w:t>
            </w:r>
          </w:p>
        </w:tc>
        <w:tc>
          <w:tcPr>
            <w:tcW w:w="9248" w:type="dxa"/>
            <w:tcBorders/>
            <w:vAlign w:val="center"/>
          </w:tcPr>
          <w:p>
            <w:pPr>
              <w:pStyle w:val="TableContents"/>
              <w:bidi w:val="0"/>
              <w:spacing w:lineRule="atLeast" w:line="280" w:before="0" w:after="0"/>
              <w:jc w:val="both"/>
              <w:rPr>
                <w:rFonts w:ascii="Times" w:hAnsi="Times"/>
                <w:color w:val="FF0000"/>
                <w:sz w:val="24"/>
              </w:rPr>
            </w:pPr>
            <w:r>
              <w:rPr>
                <w:rFonts w:ascii="Times" w:hAnsi="Times"/>
                <w:color w:val="FF0000"/>
                <w:sz w:val="24"/>
              </w:rPr>
              <w:t>LHC15 Atlantic DB JV LLC (50%, managing member) and CTO16 Atlantic LLC (50% managing member)</w:t>
            </w:r>
            <w:bookmarkStart w:id="2932" w:name="_cp_change_1000"/>
            <w:bookmarkEnd w:id="2932"/>
          </w:p>
        </w:tc>
      </w:tr>
    </w:tbl>
    <w:p>
      <w:pPr>
        <w:pStyle w:val="TextBody"/>
        <w:bidi w:val="0"/>
        <w:spacing w:lineRule="atLeast" w:line="280" w:before="0" w:after="0"/>
        <w:ind w:left="0" w:right="0" w:hanging="0"/>
        <w:jc w:val="both"/>
        <w:rPr>
          <w:rFonts w:ascii="Times New Roman;Times;serif" w:hAnsi="Times New Roman;Times;serif"/>
          <w:sz w:val="24"/>
        </w:rPr>
      </w:pPr>
      <w:bookmarkStart w:id="2933" w:name="_cp_change_1003"/>
      <w:bookmarkEnd w:id="2933"/>
      <w:r>
        <w:rPr>
          <w:rFonts w:ascii="Times" w:hAnsi="Times"/>
          <w:b/>
          <w:color w:val="FF0000"/>
          <w:sz w:val="24"/>
        </w:rPr>
        <w:t>DB BEACH LAND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34" w:name="_cp_change_1002"/>
      <w:bookmarkEnd w:id="2934"/>
    </w:p>
    <w:p>
      <w:pPr>
        <w:pStyle w:val="TextBody"/>
        <w:bidi w:val="0"/>
        <w:spacing w:lineRule="atLeast" w:line="280" w:before="0" w:after="0"/>
        <w:ind w:left="0" w:right="0" w:hanging="0"/>
        <w:jc w:val="both"/>
        <w:rPr>
          <w:rFonts w:ascii="Times" w:hAnsi="Times"/>
          <w:color w:val="FF0000"/>
          <w:sz w:val="24"/>
        </w:rPr>
      </w:pPr>
      <w:bookmarkStart w:id="2935" w:name="_cp_change_1005"/>
      <w:bookmarkEnd w:id="2935"/>
      <w:r>
        <w:rPr>
          <w:rFonts w:ascii="Times" w:hAnsi="Times"/>
          <w:color w:val="FF0000"/>
          <w:sz w:val="24"/>
        </w:rPr>
        <w:t>Date of Formation:July 14, 2017</w:t>
      </w:r>
      <w:bookmarkStart w:id="2936" w:name="_cp_change_1004"/>
      <w:bookmarkEnd w:id="2936"/>
    </w:p>
    <w:p>
      <w:pPr>
        <w:pStyle w:val="TextBody"/>
        <w:bidi w:val="0"/>
        <w:spacing w:lineRule="atLeast" w:line="280" w:before="0" w:after="0"/>
        <w:ind w:left="0" w:right="0" w:hanging="0"/>
        <w:jc w:val="left"/>
        <w:rPr>
          <w:rFonts w:ascii="Times" w:hAnsi="Times"/>
          <w:color w:val="FF0000"/>
          <w:sz w:val="24"/>
        </w:rPr>
      </w:pPr>
      <w:bookmarkStart w:id="2937" w:name="_cp_change_1007"/>
      <w:bookmarkEnd w:id="2937"/>
      <w:r>
        <w:rPr>
          <w:rFonts w:ascii="Times" w:hAnsi="Times"/>
          <w:color w:val="FF0000"/>
          <w:sz w:val="24"/>
        </w:rPr>
        <w:t>State of Formation:Delaware</w:t>
      </w:r>
      <w:bookmarkStart w:id="2938" w:name="_cp_change_1006"/>
      <w:bookmarkEnd w:id="2938"/>
    </w:p>
    <w:p>
      <w:pPr>
        <w:pStyle w:val="TextBody"/>
        <w:bidi w:val="0"/>
        <w:spacing w:lineRule="atLeast" w:line="280" w:before="0" w:after="0"/>
        <w:ind w:left="0" w:right="0" w:hanging="0"/>
        <w:jc w:val="left"/>
        <w:rPr>
          <w:rFonts w:ascii="Times New Roman;Times;serif" w:hAnsi="Times New Roman;Times;serif"/>
          <w:sz w:val="24"/>
        </w:rPr>
      </w:pPr>
      <w:bookmarkStart w:id="2939" w:name="_cp_change_1009"/>
      <w:bookmarkEnd w:id="2939"/>
      <w:r>
        <w:rPr>
          <w:rFonts w:ascii="Times" w:hAnsi="Times"/>
          <w:b w:val="false"/>
          <w:i w:val="false"/>
          <w:caps w:val="false"/>
          <w:smallCaps w:val="false"/>
          <w:color w:val="FF0000"/>
          <w:sz w:val="24"/>
        </w:rPr>
        <w:t>Member:</w:t>
      </w:r>
      <w:r>
        <w:rPr>
          <w:rFonts w:ascii="Times" w:hAnsi="Times"/>
          <w:color w:val="FF0000"/>
          <w:sz w:val="24"/>
        </w:rPr>
        <w:t>CTO Realty Growth, Inc., 100% Managing Member</w:t>
      </w:r>
      <w:bookmarkStart w:id="2940" w:name="_cp_change_1008"/>
      <w:bookmarkEnd w:id="2940"/>
    </w:p>
    <w:p>
      <w:pPr>
        <w:pStyle w:val="TextBody"/>
        <w:bidi w:val="0"/>
        <w:spacing w:lineRule="atLeast" w:line="280" w:before="0" w:after="0"/>
        <w:ind w:left="0" w:right="0" w:hanging="0"/>
        <w:jc w:val="both"/>
        <w:rPr>
          <w:rFonts w:ascii="Times New Roman;Times;serif" w:hAnsi="Times New Roman;Times;serif"/>
          <w:sz w:val="24"/>
        </w:rPr>
      </w:pPr>
      <w:bookmarkStart w:id="2941" w:name="_cp_change_1011"/>
      <w:bookmarkEnd w:id="2941"/>
      <w:r>
        <w:rPr>
          <w:rFonts w:ascii="Times" w:hAnsi="Times"/>
          <w:b/>
          <w:color w:val="FF0000"/>
          <w:sz w:val="24"/>
        </w:rPr>
        <w:t>DB MAIN STREET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42" w:name="_cp_change_1010"/>
      <w:bookmarkEnd w:id="2942"/>
    </w:p>
    <w:p>
      <w:pPr>
        <w:pStyle w:val="TextBody"/>
        <w:bidi w:val="0"/>
        <w:spacing w:lineRule="atLeast" w:line="280" w:before="0" w:after="0"/>
        <w:ind w:left="0" w:right="0" w:hanging="0"/>
        <w:jc w:val="left"/>
        <w:rPr>
          <w:rFonts w:ascii="Times" w:hAnsi="Times"/>
          <w:color w:val="FF0000"/>
          <w:sz w:val="24"/>
        </w:rPr>
      </w:pPr>
      <w:bookmarkStart w:id="2943" w:name="_cp_change_1013"/>
      <w:bookmarkEnd w:id="2943"/>
      <w:r>
        <w:rPr>
          <w:rFonts w:ascii="Times" w:hAnsi="Times"/>
          <w:color w:val="FF0000"/>
          <w:sz w:val="24"/>
        </w:rPr>
        <w:t>Date of Formation:March 13, 2019</w:t>
      </w:r>
      <w:bookmarkStart w:id="2944" w:name="_cp_change_1012"/>
      <w:bookmarkEnd w:id="2944"/>
    </w:p>
    <w:p>
      <w:pPr>
        <w:pStyle w:val="TextBody"/>
        <w:bidi w:val="0"/>
        <w:spacing w:lineRule="atLeast" w:line="280" w:before="0" w:after="0"/>
        <w:ind w:left="0" w:right="0" w:hanging="0"/>
        <w:jc w:val="left"/>
        <w:rPr>
          <w:rFonts w:ascii="Times" w:hAnsi="Times"/>
          <w:color w:val="FF0000"/>
          <w:sz w:val="24"/>
        </w:rPr>
      </w:pPr>
      <w:bookmarkStart w:id="2945" w:name="_cp_change_1015"/>
      <w:bookmarkEnd w:id="2945"/>
      <w:r>
        <w:rPr>
          <w:rFonts w:ascii="Times" w:hAnsi="Times"/>
          <w:color w:val="FF0000"/>
          <w:sz w:val="24"/>
        </w:rPr>
        <w:t>State of Formation:Delaware</w:t>
      </w:r>
      <w:bookmarkStart w:id="2946" w:name="_cp_change_1014"/>
      <w:bookmarkEnd w:id="2946"/>
    </w:p>
    <w:p>
      <w:pPr>
        <w:pStyle w:val="TextBody"/>
        <w:bidi w:val="0"/>
        <w:spacing w:lineRule="atLeast" w:line="280" w:before="0" w:after="0"/>
        <w:ind w:left="0" w:right="0" w:hanging="0"/>
        <w:jc w:val="left"/>
        <w:rPr>
          <w:rFonts w:ascii="Times New Roman;Times;serif" w:hAnsi="Times New Roman;Times;serif"/>
          <w:sz w:val="24"/>
        </w:rPr>
      </w:pPr>
      <w:bookmarkStart w:id="2947" w:name="_cp_change_1017"/>
      <w:bookmarkEnd w:id="2947"/>
      <w:r>
        <w:rPr>
          <w:rFonts w:ascii="Times" w:hAnsi="Times"/>
          <w:b w:val="false"/>
          <w:i w:val="false"/>
          <w:caps w:val="false"/>
          <w:smallCaps w:val="false"/>
          <w:color w:val="FF0000"/>
          <w:sz w:val="24"/>
        </w:rPr>
        <w:t>Member:</w:t>
      </w:r>
      <w:r>
        <w:rPr>
          <w:rFonts w:ascii="Times" w:hAnsi="Times"/>
          <w:color w:val="FF0000"/>
          <w:sz w:val="24"/>
        </w:rPr>
        <w:t>CTO Realty Growth, Inc. 100%</w:t>
      </w:r>
      <w:bookmarkStart w:id="2948" w:name="_cp_change_1016"/>
      <w:bookmarkEnd w:id="2948"/>
    </w:p>
    <w:p>
      <w:pPr>
        <w:pStyle w:val="TextBody"/>
        <w:bidi w:val="0"/>
        <w:spacing w:lineRule="atLeast" w:line="280" w:before="0" w:after="0"/>
        <w:ind w:left="0" w:right="0" w:hanging="0"/>
        <w:jc w:val="both"/>
        <w:rPr/>
      </w:pPr>
      <w:bookmarkStart w:id="2949" w:name="_cp_change_1018"/>
      <w:bookmarkEnd w:id="2949"/>
      <w:r>
        <w:rPr>
          <w:color w:val="FF0000"/>
        </w:rPr>
        <w:t>​</w:t>
      </w:r>
      <w:r>
        <w:rPr>
          <w:rFonts w:ascii="Times" w:hAnsi="Times"/>
          <w:color w:val="FF0000"/>
          <w:sz w:val="24"/>
        </w:rPr>
        <w:br/>
      </w:r>
      <w:bookmarkStart w:id="2950" w:name="_cp_change_1020"/>
      <w:bookmarkEnd w:id="2950"/>
      <w:r>
        <w:rPr>
          <w:rFonts w:ascii="Times" w:hAnsi="Times"/>
          <w:b/>
          <w:color w:val="FF0000"/>
          <w:sz w:val="24"/>
        </w:rPr>
        <w:t>DB MAINLAND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51" w:name="_cp_change_1019"/>
      <w:bookmarkEnd w:id="2951"/>
    </w:p>
    <w:p>
      <w:pPr>
        <w:pStyle w:val="TextBody"/>
        <w:bidi w:val="0"/>
        <w:spacing w:lineRule="atLeast" w:line="280" w:before="0" w:after="0"/>
        <w:ind w:left="0" w:right="0" w:hanging="0"/>
        <w:jc w:val="both"/>
        <w:rPr>
          <w:rFonts w:ascii="Times" w:hAnsi="Times"/>
          <w:color w:val="FF0000"/>
          <w:sz w:val="24"/>
        </w:rPr>
      </w:pPr>
      <w:bookmarkStart w:id="2952" w:name="_cp_change_1022"/>
      <w:bookmarkEnd w:id="2952"/>
      <w:r>
        <w:rPr>
          <w:rFonts w:ascii="Times" w:hAnsi="Times"/>
          <w:color w:val="FF0000"/>
          <w:sz w:val="24"/>
        </w:rPr>
        <w:t>Date of Formation:May 11, 2017; Name Change Amendment 7/14/2017</w:t>
      </w:r>
      <w:bookmarkStart w:id="2953" w:name="_cp_change_1021"/>
      <w:bookmarkEnd w:id="2953"/>
    </w:p>
    <w:p>
      <w:pPr>
        <w:pStyle w:val="TextBody"/>
        <w:bidi w:val="0"/>
        <w:spacing w:lineRule="atLeast" w:line="280" w:before="0" w:after="0"/>
        <w:ind w:left="0" w:right="0" w:hanging="0"/>
        <w:jc w:val="left"/>
        <w:rPr>
          <w:rFonts w:ascii="Times" w:hAnsi="Times"/>
          <w:color w:val="FF0000"/>
          <w:sz w:val="24"/>
        </w:rPr>
      </w:pPr>
      <w:bookmarkStart w:id="2954" w:name="_cp_change_1024"/>
      <w:bookmarkEnd w:id="2954"/>
      <w:r>
        <w:rPr>
          <w:rFonts w:ascii="Times" w:hAnsi="Times"/>
          <w:color w:val="FF0000"/>
          <w:sz w:val="24"/>
        </w:rPr>
        <w:t>State of Formation:Delaware</w:t>
      </w:r>
      <w:bookmarkStart w:id="2955" w:name="_cp_change_1023"/>
      <w:bookmarkEnd w:id="2955"/>
    </w:p>
    <w:p>
      <w:pPr>
        <w:pStyle w:val="TextBody"/>
        <w:bidi w:val="0"/>
        <w:spacing w:lineRule="atLeast" w:line="280" w:before="0" w:after="0"/>
        <w:ind w:left="0" w:right="0" w:hanging="0"/>
        <w:jc w:val="left"/>
        <w:rPr>
          <w:rFonts w:ascii="Times New Roman;Times;serif" w:hAnsi="Times New Roman;Times;serif"/>
          <w:sz w:val="24"/>
        </w:rPr>
      </w:pPr>
      <w:bookmarkStart w:id="2956" w:name="_cp_change_1026"/>
      <w:bookmarkEnd w:id="2956"/>
      <w:r>
        <w:rPr>
          <w:rFonts w:ascii="Times" w:hAnsi="Times"/>
          <w:b w:val="false"/>
          <w:i w:val="false"/>
          <w:caps w:val="false"/>
          <w:smallCaps w:val="false"/>
          <w:color w:val="FF0000"/>
          <w:sz w:val="24"/>
        </w:rPr>
        <w:t>Member:</w:t>
      </w:r>
      <w:r>
        <w:rPr>
          <w:rFonts w:ascii="Times" w:hAnsi="Times"/>
          <w:color w:val="FF0000"/>
          <w:sz w:val="24"/>
        </w:rPr>
        <w:t>CTO Realty Growth, Inc., 100% Managing Member</w:t>
      </w:r>
      <w:bookmarkStart w:id="2957" w:name="_cp_change_1025"/>
      <w:bookmarkEnd w:id="2957"/>
    </w:p>
    <w:p>
      <w:pPr>
        <w:pStyle w:val="TextBody"/>
        <w:bidi w:val="0"/>
        <w:spacing w:lineRule="atLeast" w:line="280" w:before="0" w:after="0"/>
        <w:ind w:left="0" w:right="0" w:hanging="0"/>
        <w:jc w:val="both"/>
        <w:rPr>
          <w:rFonts w:ascii="Times New Roman;Times;serif" w:hAnsi="Times New Roman;Times;serif"/>
          <w:sz w:val="24"/>
        </w:rPr>
      </w:pPr>
      <w:bookmarkStart w:id="2958" w:name="_cp_change_1028"/>
      <w:bookmarkEnd w:id="2958"/>
      <w:r>
        <w:rPr>
          <w:rFonts w:ascii="Times" w:hAnsi="Times"/>
          <w:b/>
          <w:color w:val="FF0000"/>
          <w:sz w:val="24"/>
        </w:rPr>
        <w:t>DB MAINLAND TWO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59" w:name="_cp_change_1027"/>
      <w:bookmarkEnd w:id="2959"/>
    </w:p>
    <w:p>
      <w:pPr>
        <w:pStyle w:val="TextBody"/>
        <w:bidi w:val="0"/>
        <w:spacing w:lineRule="atLeast" w:line="280" w:before="0" w:after="0"/>
        <w:ind w:left="0" w:right="0" w:hanging="0"/>
        <w:jc w:val="left"/>
        <w:rPr>
          <w:rFonts w:ascii="Times" w:hAnsi="Times"/>
          <w:color w:val="FF0000"/>
          <w:sz w:val="24"/>
        </w:rPr>
      </w:pPr>
      <w:bookmarkStart w:id="2960" w:name="_cp_change_1030"/>
      <w:bookmarkEnd w:id="2960"/>
      <w:r>
        <w:rPr>
          <w:rFonts w:ascii="Times" w:hAnsi="Times"/>
          <w:color w:val="FF0000"/>
          <w:sz w:val="24"/>
        </w:rPr>
        <w:t>Date of Formation:April 23, 2018</w:t>
      </w:r>
      <w:bookmarkStart w:id="2961" w:name="_cp_change_1029"/>
      <w:bookmarkEnd w:id="2961"/>
    </w:p>
    <w:p>
      <w:pPr>
        <w:pStyle w:val="TextBody"/>
        <w:bidi w:val="0"/>
        <w:spacing w:lineRule="atLeast" w:line="280" w:before="0" w:after="0"/>
        <w:ind w:left="0" w:right="0" w:hanging="0"/>
        <w:jc w:val="left"/>
        <w:rPr>
          <w:rFonts w:ascii="Times" w:hAnsi="Times"/>
          <w:color w:val="FF0000"/>
          <w:sz w:val="24"/>
        </w:rPr>
      </w:pPr>
      <w:bookmarkStart w:id="2962" w:name="_cp_change_1032"/>
      <w:bookmarkEnd w:id="2962"/>
      <w:r>
        <w:rPr>
          <w:rFonts w:ascii="Times" w:hAnsi="Times"/>
          <w:color w:val="FF0000"/>
          <w:sz w:val="24"/>
        </w:rPr>
        <w:t>State of Formation:Delaware</w:t>
      </w:r>
      <w:bookmarkStart w:id="2963" w:name="_cp_change_1031"/>
      <w:bookmarkEnd w:id="2963"/>
    </w:p>
    <w:p>
      <w:pPr>
        <w:pStyle w:val="TextBody"/>
        <w:bidi w:val="0"/>
        <w:spacing w:lineRule="atLeast" w:line="280" w:before="0" w:after="0"/>
        <w:ind w:left="0" w:right="0" w:hanging="0"/>
        <w:jc w:val="left"/>
        <w:rPr>
          <w:rFonts w:ascii="Times New Roman;Times;serif" w:hAnsi="Times New Roman;Times;serif"/>
          <w:sz w:val="24"/>
        </w:rPr>
      </w:pPr>
      <w:bookmarkStart w:id="2964" w:name="_cp_change_1034"/>
      <w:bookmarkEnd w:id="2964"/>
      <w:r>
        <w:rPr>
          <w:rFonts w:ascii="Times" w:hAnsi="Times"/>
          <w:b w:val="false"/>
          <w:i w:val="false"/>
          <w:caps w:val="false"/>
          <w:smallCaps w:val="false"/>
          <w:color w:val="FF0000"/>
          <w:sz w:val="24"/>
        </w:rPr>
        <w:t>Member:</w:t>
      </w:r>
      <w:r>
        <w:rPr>
          <w:rFonts w:ascii="Times" w:hAnsi="Times"/>
          <w:color w:val="FF0000"/>
          <w:sz w:val="24"/>
        </w:rPr>
        <w:t>Indigo Group Inc. 100%</w:t>
      </w:r>
      <w:bookmarkStart w:id="2965" w:name="_cp_change_1033"/>
      <w:bookmarkEnd w:id="2965"/>
    </w:p>
    <w:p>
      <w:pPr>
        <w:pStyle w:val="TextBody"/>
        <w:bidi w:val="0"/>
        <w:spacing w:lineRule="atLeast" w:line="280" w:before="0" w:after="0"/>
        <w:ind w:left="0" w:right="0" w:hanging="0"/>
        <w:jc w:val="left"/>
        <w:rPr>
          <w:rFonts w:ascii="Times New Roman;Times;serif" w:hAnsi="Times New Roman;Times;serif"/>
          <w:sz w:val="24"/>
        </w:rPr>
      </w:pPr>
      <w:bookmarkStart w:id="2966" w:name="_cp_change_1036"/>
      <w:bookmarkEnd w:id="2966"/>
      <w:r>
        <w:rPr>
          <w:rFonts w:ascii="Times" w:hAnsi="Times"/>
          <w:b/>
          <w:color w:val="FF0000"/>
          <w:sz w:val="24"/>
        </w:rPr>
        <w:t>IGI16 PETERSON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67" w:name="_cp_change_1035"/>
      <w:bookmarkEnd w:id="2967"/>
    </w:p>
    <w:p>
      <w:pPr>
        <w:pStyle w:val="TextBody"/>
        <w:bidi w:val="0"/>
        <w:spacing w:lineRule="atLeast" w:line="280" w:before="0" w:after="0"/>
        <w:ind w:left="0" w:right="0" w:hanging="0"/>
        <w:jc w:val="left"/>
        <w:rPr>
          <w:rFonts w:ascii="Times" w:hAnsi="Times"/>
          <w:color w:val="FF0000"/>
          <w:sz w:val="24"/>
        </w:rPr>
      </w:pPr>
      <w:bookmarkStart w:id="2968" w:name="_cp_change_1038"/>
      <w:bookmarkEnd w:id="2968"/>
      <w:r>
        <w:rPr>
          <w:rFonts w:ascii="Times" w:hAnsi="Times"/>
          <w:color w:val="FF0000"/>
          <w:sz w:val="24"/>
        </w:rPr>
        <w:t>Date of Formation:October 12, 2016</w:t>
      </w:r>
      <w:bookmarkStart w:id="2969" w:name="_cp_change_1037"/>
      <w:bookmarkEnd w:id="2969"/>
    </w:p>
    <w:p>
      <w:pPr>
        <w:pStyle w:val="TextBody"/>
        <w:bidi w:val="0"/>
        <w:spacing w:lineRule="atLeast" w:line="280" w:before="0" w:after="0"/>
        <w:ind w:left="0" w:right="0" w:hanging="0"/>
        <w:jc w:val="left"/>
        <w:rPr>
          <w:rFonts w:ascii="Times" w:hAnsi="Times"/>
          <w:color w:val="FF0000"/>
          <w:sz w:val="24"/>
        </w:rPr>
      </w:pPr>
      <w:bookmarkStart w:id="2970" w:name="_cp_change_1040"/>
      <w:bookmarkEnd w:id="2970"/>
      <w:r>
        <w:rPr>
          <w:rFonts w:ascii="Times" w:hAnsi="Times"/>
          <w:color w:val="FF0000"/>
          <w:sz w:val="24"/>
        </w:rPr>
        <w:t>State of Formation:Delaware</w:t>
      </w:r>
      <w:bookmarkStart w:id="2971" w:name="_cp_change_1039"/>
      <w:bookmarkEnd w:id="2971"/>
    </w:p>
    <w:p>
      <w:pPr>
        <w:pStyle w:val="TextBody"/>
        <w:bidi w:val="0"/>
        <w:spacing w:lineRule="atLeast" w:line="280" w:before="0" w:after="0"/>
        <w:ind w:left="0" w:right="0" w:hanging="0"/>
        <w:jc w:val="left"/>
        <w:rPr>
          <w:rFonts w:ascii="Times New Roman;Times;serif" w:hAnsi="Times New Roman;Times;serif"/>
          <w:sz w:val="24"/>
        </w:rPr>
      </w:pPr>
      <w:bookmarkStart w:id="2972" w:name="_cp_change_1042"/>
      <w:bookmarkEnd w:id="2972"/>
      <w:r>
        <w:rPr>
          <w:rFonts w:ascii="Times" w:hAnsi="Times"/>
          <w:b w:val="false"/>
          <w:i w:val="false"/>
          <w:caps w:val="false"/>
          <w:smallCaps w:val="false"/>
          <w:color w:val="FF0000"/>
          <w:sz w:val="24"/>
        </w:rPr>
        <w:t>Member:</w:t>
      </w:r>
      <w:r>
        <w:rPr>
          <w:rFonts w:ascii="Times" w:hAnsi="Times"/>
          <w:color w:val="FF0000"/>
          <w:sz w:val="24"/>
        </w:rPr>
        <w:t>Indigo Group Inc 100%</w:t>
      </w:r>
      <w:bookmarkStart w:id="2973" w:name="_cp_change_1041"/>
      <w:bookmarkEnd w:id="2973"/>
    </w:p>
    <w:p>
      <w:pPr>
        <w:pStyle w:val="TextBody"/>
        <w:bidi w:val="0"/>
        <w:spacing w:lineRule="atLeast" w:line="280" w:before="0" w:after="0"/>
        <w:ind w:left="0" w:right="0" w:hanging="0"/>
        <w:jc w:val="left"/>
        <w:rPr>
          <w:rFonts w:ascii="Times New Roman;Times;serif" w:hAnsi="Times New Roman;Times;serif"/>
          <w:sz w:val="24"/>
        </w:rPr>
      </w:pPr>
      <w:bookmarkStart w:id="2974" w:name="_cp_change_1044"/>
      <w:bookmarkEnd w:id="2974"/>
      <w:r>
        <w:rPr>
          <w:rFonts w:ascii="Times" w:hAnsi="Times"/>
          <w:b/>
          <w:color w:val="FF0000"/>
          <w:sz w:val="24"/>
        </w:rPr>
        <w:t>IGI18 Back 40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75" w:name="_cp_change_1043"/>
      <w:bookmarkEnd w:id="2975"/>
    </w:p>
    <w:p>
      <w:pPr>
        <w:pStyle w:val="TextBody"/>
        <w:bidi w:val="0"/>
        <w:spacing w:lineRule="atLeast" w:line="280" w:before="0" w:after="0"/>
        <w:ind w:left="0" w:right="0" w:hanging="0"/>
        <w:jc w:val="left"/>
        <w:rPr>
          <w:rFonts w:ascii="Times" w:hAnsi="Times"/>
          <w:color w:val="FF0000"/>
          <w:sz w:val="24"/>
        </w:rPr>
      </w:pPr>
      <w:bookmarkStart w:id="2976" w:name="_cp_change_1046"/>
      <w:bookmarkEnd w:id="2976"/>
      <w:r>
        <w:rPr>
          <w:rFonts w:ascii="Times" w:hAnsi="Times"/>
          <w:color w:val="FF0000"/>
          <w:sz w:val="24"/>
        </w:rPr>
        <w:t>Date of Formation:February 23, 2018</w:t>
      </w:r>
      <w:bookmarkStart w:id="2977" w:name="_cp_change_1045"/>
      <w:bookmarkEnd w:id="2977"/>
    </w:p>
    <w:p>
      <w:pPr>
        <w:pStyle w:val="TextBody"/>
        <w:bidi w:val="0"/>
        <w:spacing w:lineRule="atLeast" w:line="280" w:before="0" w:after="0"/>
        <w:ind w:left="0" w:right="0" w:hanging="0"/>
        <w:jc w:val="left"/>
        <w:rPr>
          <w:rFonts w:ascii="Times" w:hAnsi="Times"/>
          <w:color w:val="FF0000"/>
          <w:sz w:val="24"/>
        </w:rPr>
      </w:pPr>
      <w:bookmarkStart w:id="2978" w:name="_cp_change_1048"/>
      <w:bookmarkEnd w:id="2978"/>
      <w:r>
        <w:rPr>
          <w:rFonts w:ascii="Times" w:hAnsi="Times"/>
          <w:color w:val="FF0000"/>
          <w:sz w:val="24"/>
        </w:rPr>
        <w:t>State of Formation:Delaware</w:t>
      </w:r>
      <w:bookmarkStart w:id="2979" w:name="_cp_change_1047"/>
      <w:bookmarkEnd w:id="2979"/>
    </w:p>
    <w:p>
      <w:pPr>
        <w:pStyle w:val="TextBody"/>
        <w:bidi w:val="0"/>
        <w:spacing w:lineRule="atLeast" w:line="280" w:before="0" w:after="0"/>
        <w:ind w:left="0" w:right="0" w:hanging="0"/>
        <w:jc w:val="left"/>
        <w:rPr>
          <w:rFonts w:ascii="Times New Roman;Times;serif" w:hAnsi="Times New Roman;Times;serif"/>
          <w:sz w:val="24"/>
        </w:rPr>
      </w:pPr>
      <w:bookmarkStart w:id="2980" w:name="_cp_change_1050"/>
      <w:bookmarkEnd w:id="2980"/>
      <w:r>
        <w:rPr>
          <w:rFonts w:ascii="Times" w:hAnsi="Times"/>
          <w:b w:val="false"/>
          <w:i w:val="false"/>
          <w:caps w:val="false"/>
          <w:smallCaps w:val="false"/>
          <w:color w:val="FF0000"/>
          <w:sz w:val="24"/>
        </w:rPr>
        <w:t>Member:</w:t>
      </w:r>
      <w:r>
        <w:rPr>
          <w:rFonts w:ascii="Times" w:hAnsi="Times"/>
          <w:color w:val="FF0000"/>
          <w:sz w:val="24"/>
        </w:rPr>
        <w:t>Indigo Group Inc 100%</w:t>
      </w:r>
      <w:bookmarkStart w:id="2981" w:name="_cp_change_1049"/>
      <w:bookmarkEnd w:id="2981"/>
    </w:p>
    <w:p>
      <w:pPr>
        <w:pStyle w:val="TextBody"/>
        <w:bidi w:val="0"/>
        <w:spacing w:lineRule="atLeast" w:line="280" w:before="0" w:after="0"/>
        <w:ind w:left="0" w:right="0" w:hanging="0"/>
        <w:jc w:val="left"/>
        <w:rPr>
          <w:rFonts w:ascii="Times New Roman;Times;serif" w:hAnsi="Times New Roman;Times;serif"/>
          <w:sz w:val="24"/>
        </w:rPr>
      </w:pPr>
      <w:bookmarkStart w:id="2982" w:name="_cp_change_1052"/>
      <w:bookmarkEnd w:id="2982"/>
      <w:r>
        <w:rPr>
          <w:rFonts w:ascii="Times" w:hAnsi="Times"/>
          <w:b/>
          <w:color w:val="FF0000"/>
          <w:sz w:val="24"/>
        </w:rPr>
        <w:t>IGI20 CROSSROADS AZ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83" w:name="_cp_change_1051"/>
      <w:bookmarkEnd w:id="2983"/>
    </w:p>
    <w:p>
      <w:pPr>
        <w:pStyle w:val="TextBody"/>
        <w:bidi w:val="0"/>
        <w:spacing w:lineRule="atLeast" w:line="280" w:before="0" w:after="0"/>
        <w:ind w:left="0" w:right="0" w:hanging="0"/>
        <w:jc w:val="left"/>
        <w:rPr>
          <w:rFonts w:ascii="Times" w:hAnsi="Times"/>
          <w:color w:val="FF0000"/>
          <w:sz w:val="24"/>
        </w:rPr>
      </w:pPr>
      <w:bookmarkStart w:id="2984" w:name="_cp_change_1054"/>
      <w:bookmarkEnd w:id="2984"/>
      <w:r>
        <w:rPr>
          <w:rFonts w:ascii="Times" w:hAnsi="Times"/>
          <w:color w:val="FF0000"/>
          <w:sz w:val="24"/>
        </w:rPr>
        <w:t>Date of Formation:January 16, 2020</w:t>
      </w:r>
      <w:bookmarkStart w:id="2985" w:name="_cp_change_1053"/>
      <w:bookmarkEnd w:id="2985"/>
    </w:p>
    <w:p>
      <w:pPr>
        <w:pStyle w:val="TextBody"/>
        <w:bidi w:val="0"/>
        <w:spacing w:lineRule="atLeast" w:line="280" w:before="0" w:after="0"/>
        <w:ind w:left="0" w:right="0" w:hanging="0"/>
        <w:jc w:val="left"/>
        <w:rPr>
          <w:rFonts w:ascii="Times" w:hAnsi="Times"/>
          <w:color w:val="FF0000"/>
          <w:sz w:val="24"/>
        </w:rPr>
      </w:pPr>
      <w:bookmarkStart w:id="2986" w:name="_cp_change_1056"/>
      <w:bookmarkEnd w:id="2986"/>
      <w:r>
        <w:rPr>
          <w:rFonts w:ascii="Times" w:hAnsi="Times"/>
          <w:color w:val="FF0000"/>
          <w:sz w:val="24"/>
        </w:rPr>
        <w:t>State of Formation:Delaware</w:t>
      </w:r>
      <w:bookmarkStart w:id="2987" w:name="_cp_change_1055"/>
      <w:bookmarkEnd w:id="2987"/>
    </w:p>
    <w:p>
      <w:pPr>
        <w:pStyle w:val="TextBody"/>
        <w:bidi w:val="0"/>
        <w:spacing w:lineRule="atLeast" w:line="280" w:before="0" w:after="0"/>
        <w:ind w:left="0" w:right="0" w:hanging="0"/>
        <w:jc w:val="left"/>
        <w:rPr>
          <w:rFonts w:ascii="Times New Roman;Times;serif" w:hAnsi="Times New Roman;Times;serif"/>
          <w:sz w:val="24"/>
        </w:rPr>
      </w:pPr>
      <w:bookmarkStart w:id="2988" w:name="_cp_change_1058"/>
      <w:bookmarkEnd w:id="2988"/>
      <w:r>
        <w:rPr>
          <w:rFonts w:ascii="Times" w:hAnsi="Times"/>
          <w:b w:val="false"/>
          <w:i w:val="false"/>
          <w:caps w:val="false"/>
          <w:smallCaps w:val="false"/>
          <w:color w:val="FF0000"/>
          <w:sz w:val="24"/>
        </w:rPr>
        <w:t>Member:</w:t>
      </w:r>
      <w:r>
        <w:rPr>
          <w:rFonts w:ascii="Times" w:hAnsi="Times"/>
          <w:color w:val="FF0000"/>
          <w:sz w:val="24"/>
        </w:rPr>
        <w:t>Indigo Group Inc. (100%)</w:t>
      </w:r>
      <w:bookmarkStart w:id="2989" w:name="_cp_change_1057"/>
      <w:bookmarkEnd w:id="2989"/>
    </w:p>
    <w:p>
      <w:pPr>
        <w:pStyle w:val="TextBody"/>
        <w:bidi w:val="0"/>
        <w:spacing w:lineRule="atLeast" w:line="280" w:before="0" w:after="0"/>
        <w:ind w:left="0" w:right="0" w:hanging="0"/>
        <w:jc w:val="left"/>
        <w:rPr>
          <w:rFonts w:ascii="Times New Roman;Times;serif" w:hAnsi="Times New Roman;Times;serif"/>
          <w:sz w:val="24"/>
        </w:rPr>
      </w:pPr>
      <w:bookmarkStart w:id="2990" w:name="_cp_change_1060"/>
      <w:bookmarkEnd w:id="2990"/>
      <w:r>
        <w:rPr>
          <w:rFonts w:ascii="Times" w:hAnsi="Times"/>
          <w:b/>
          <w:color w:val="FF0000"/>
          <w:sz w:val="24"/>
        </w:rPr>
        <w:t>IGI20 TAMPA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91" w:name="_cp_change_1059"/>
      <w:bookmarkEnd w:id="2991"/>
    </w:p>
    <w:p>
      <w:pPr>
        <w:pStyle w:val="TextBody"/>
        <w:bidi w:val="0"/>
        <w:spacing w:lineRule="atLeast" w:line="280" w:before="0" w:after="0"/>
        <w:ind w:left="0" w:right="0" w:hanging="0"/>
        <w:jc w:val="left"/>
        <w:rPr>
          <w:rFonts w:ascii="Times" w:hAnsi="Times"/>
          <w:color w:val="FF0000"/>
          <w:sz w:val="24"/>
        </w:rPr>
      </w:pPr>
      <w:bookmarkStart w:id="2992" w:name="_cp_change_1062"/>
      <w:bookmarkEnd w:id="2992"/>
      <w:r>
        <w:rPr>
          <w:rFonts w:ascii="Times" w:hAnsi="Times"/>
          <w:color w:val="FF0000"/>
          <w:sz w:val="24"/>
        </w:rPr>
        <w:t>Date of Formation:August 19, 2020</w:t>
      </w:r>
      <w:bookmarkStart w:id="2993" w:name="_cp_change_1061"/>
      <w:bookmarkEnd w:id="2993"/>
    </w:p>
    <w:p>
      <w:pPr>
        <w:pStyle w:val="TextBody"/>
        <w:bidi w:val="0"/>
        <w:spacing w:lineRule="atLeast" w:line="280" w:before="0" w:after="0"/>
        <w:ind w:left="0" w:right="0" w:hanging="0"/>
        <w:jc w:val="left"/>
        <w:rPr>
          <w:rFonts w:ascii="Times" w:hAnsi="Times"/>
          <w:color w:val="FF0000"/>
          <w:sz w:val="24"/>
        </w:rPr>
      </w:pPr>
      <w:bookmarkStart w:id="2994" w:name="_cp_change_1064"/>
      <w:bookmarkEnd w:id="2994"/>
      <w:r>
        <w:rPr>
          <w:rFonts w:ascii="Times" w:hAnsi="Times"/>
          <w:color w:val="FF0000"/>
          <w:sz w:val="24"/>
        </w:rPr>
        <w:t>State of Formation:Delaware</w:t>
      </w:r>
      <w:bookmarkStart w:id="2995" w:name="_cp_change_1063"/>
      <w:bookmarkEnd w:id="2995"/>
    </w:p>
    <w:p>
      <w:pPr>
        <w:pStyle w:val="TextBody"/>
        <w:bidi w:val="0"/>
        <w:spacing w:lineRule="atLeast" w:line="280" w:before="0" w:after="0"/>
        <w:ind w:left="0" w:right="0" w:hanging="0"/>
        <w:jc w:val="left"/>
        <w:rPr>
          <w:rFonts w:ascii="Times New Roman;Times;serif" w:hAnsi="Times New Roman;Times;serif"/>
          <w:sz w:val="24"/>
        </w:rPr>
      </w:pPr>
      <w:bookmarkStart w:id="2996" w:name="_cp_change_1065"/>
      <w:bookmarkEnd w:id="2996"/>
      <w:r>
        <w:rPr>
          <w:rFonts w:ascii="Times" w:hAnsi="Times"/>
          <w:b w:val="false"/>
          <w:i w:val="false"/>
          <w:caps w:val="false"/>
          <w:smallCaps w:val="false"/>
          <w:color w:val="FF0000"/>
          <w:sz w:val="24"/>
        </w:rPr>
        <w:t>Member:</w:t>
      </w:r>
      <w:r>
        <w:rPr>
          <w:rFonts w:ascii="Times" w:hAnsi="Times"/>
          <w:color w:val="FF0000"/>
          <w:sz w:val="24"/>
        </w:rPr>
        <w:t>Indigo Group, Inc. 100%</w:t>
        <w:br/>
      </w:r>
      <w:bookmarkStart w:id="2997" w:name="_cp_change_1066"/>
      <w:bookmarkEnd w:id="2997"/>
      <w:r>
        <w:rPr>
          <w:rFonts w:ascii="Times New Roman;Times;serif" w:hAnsi="Times New Roman;Times;serif"/>
          <w:color w:val="FF0000"/>
          <w:sz w:val="24"/>
        </w:rPr>
        <w:t>​</w:t>
      </w:r>
    </w:p>
    <w:p>
      <w:pPr>
        <w:pStyle w:val="TextBody"/>
        <w:bidi w:val="0"/>
        <w:spacing w:lineRule="atLeast" w:line="280" w:before="0" w:after="0"/>
        <w:ind w:left="0" w:right="0" w:hanging="0"/>
        <w:jc w:val="left"/>
        <w:rPr>
          <w:rFonts w:ascii="Times New Roman;Times;serif" w:hAnsi="Times New Roman;Times;serif"/>
          <w:sz w:val="24"/>
        </w:rPr>
      </w:pPr>
      <w:bookmarkStart w:id="2998" w:name="_cp_change_1068"/>
      <w:bookmarkEnd w:id="2998"/>
      <w:r>
        <w:rPr>
          <w:rFonts w:ascii="Times" w:hAnsi="Times"/>
          <w:b/>
          <w:color w:val="FF0000"/>
          <w:sz w:val="24"/>
        </w:rPr>
        <w:t>IGL20 TAMPA LLC</w:t>
      </w:r>
      <w:r>
        <w:rPr>
          <w:rFonts w:ascii="Times New Roman;Times;serif" w:hAnsi="Times New Roman;Times;serif"/>
          <w:color w:val="FF0000"/>
          <w:sz w:val="24"/>
        </w:rPr>
        <w:t xml:space="preserve"> </w:t>
      </w:r>
      <w:r>
        <w:rPr>
          <w:rFonts w:ascii="Times" w:hAnsi="Times"/>
          <w:b/>
          <w:color w:val="FF0000"/>
          <w:sz w:val="24"/>
        </w:rPr>
        <w:t>(limited liability company)</w:t>
      </w:r>
      <w:bookmarkStart w:id="2999" w:name="_cp_change_1067"/>
      <w:bookmarkEnd w:id="2999"/>
    </w:p>
    <w:p>
      <w:pPr>
        <w:pStyle w:val="TextBody"/>
        <w:bidi w:val="0"/>
        <w:spacing w:lineRule="atLeast" w:line="280" w:before="0" w:after="0"/>
        <w:ind w:left="0" w:right="0" w:hanging="0"/>
        <w:jc w:val="left"/>
        <w:rPr>
          <w:rFonts w:ascii="Times" w:hAnsi="Times"/>
          <w:color w:val="FF0000"/>
          <w:sz w:val="24"/>
        </w:rPr>
      </w:pPr>
      <w:bookmarkStart w:id="3000" w:name="_cp_change_1070"/>
      <w:bookmarkEnd w:id="3000"/>
      <w:r>
        <w:rPr>
          <w:rFonts w:ascii="Times" w:hAnsi="Times"/>
          <w:color w:val="FF0000"/>
          <w:sz w:val="24"/>
        </w:rPr>
        <w:t>Date of Formation:August 19, 2020</w:t>
      </w:r>
      <w:bookmarkStart w:id="3001" w:name="_cp_change_1069"/>
      <w:bookmarkEnd w:id="3001"/>
    </w:p>
    <w:p>
      <w:pPr>
        <w:pStyle w:val="TextBody"/>
        <w:bidi w:val="0"/>
        <w:spacing w:lineRule="atLeast" w:line="280" w:before="0" w:after="0"/>
        <w:ind w:left="0" w:right="0" w:hanging="0"/>
        <w:jc w:val="left"/>
        <w:rPr>
          <w:rFonts w:ascii="Times" w:hAnsi="Times"/>
          <w:color w:val="FF0000"/>
          <w:sz w:val="24"/>
        </w:rPr>
      </w:pPr>
      <w:bookmarkStart w:id="3002" w:name="_cp_change_1072"/>
      <w:bookmarkEnd w:id="3002"/>
      <w:r>
        <w:rPr>
          <w:rFonts w:ascii="Times" w:hAnsi="Times"/>
          <w:color w:val="FF0000"/>
          <w:sz w:val="24"/>
        </w:rPr>
        <w:t>State of Formation:Delaware</w:t>
      </w:r>
      <w:bookmarkStart w:id="3003" w:name="_cp_change_1071"/>
      <w:bookmarkEnd w:id="3003"/>
    </w:p>
    <w:p>
      <w:pPr>
        <w:pStyle w:val="TextBody"/>
        <w:bidi w:val="0"/>
        <w:spacing w:lineRule="atLeast" w:line="280" w:before="0" w:after="0"/>
        <w:ind w:left="0" w:right="0" w:hanging="0"/>
        <w:jc w:val="left"/>
        <w:rPr>
          <w:rFonts w:ascii="Times New Roman;Times;serif" w:hAnsi="Times New Roman;Times;serif"/>
          <w:sz w:val="24"/>
        </w:rPr>
      </w:pPr>
      <w:bookmarkStart w:id="3004" w:name="_cp_change_1073"/>
      <w:bookmarkEnd w:id="3004"/>
      <w:r>
        <w:rPr>
          <w:rFonts w:ascii="Times" w:hAnsi="Times"/>
          <w:b w:val="false"/>
          <w:i w:val="false"/>
          <w:caps w:val="false"/>
          <w:smallCaps w:val="false"/>
          <w:color w:val="FF0000"/>
          <w:sz w:val="24"/>
        </w:rPr>
        <w:t>Member:</w:t>
      </w:r>
      <w:r>
        <w:rPr>
          <w:rFonts w:ascii="Times" w:hAnsi="Times"/>
          <w:color w:val="FF0000"/>
          <w:sz w:val="24"/>
        </w:rPr>
        <w:t>Indigo Group Ltd. 100%</w:t>
        <w:br/>
      </w:r>
      <w:bookmarkStart w:id="3005" w:name="_cp_change_1074"/>
      <w:bookmarkEnd w:id="3005"/>
      <w:r>
        <w:rPr>
          <w:rFonts w:ascii="Times New Roman;Times;serif" w:hAnsi="Times New Roman;Times;serif"/>
          <w:color w:val="FF0000"/>
          <w:sz w:val="24"/>
        </w:rPr>
        <w:t>​</w:t>
      </w:r>
    </w:p>
    <w:p>
      <w:pPr>
        <w:pStyle w:val="TextBody"/>
        <w:bidi w:val="0"/>
        <w:spacing w:lineRule="atLeast" w:line="280" w:before="0" w:after="0"/>
        <w:ind w:left="0" w:right="0" w:hanging="0"/>
        <w:jc w:val="left"/>
        <w:rPr>
          <w:rFonts w:ascii="Times New Roman;Times;serif" w:hAnsi="Times New Roman;Times;serif"/>
          <w:sz w:val="24"/>
        </w:rPr>
      </w:pPr>
      <w:bookmarkStart w:id="3006" w:name="_cp_change_1076"/>
      <w:bookmarkEnd w:id="3006"/>
      <w:r>
        <w:rPr>
          <w:rFonts w:ascii="Times" w:hAnsi="Times"/>
          <w:b/>
          <w:color w:val="FF0000"/>
          <w:sz w:val="24"/>
        </w:rPr>
        <w:t>INDIGO DEVELOPMENT LLC</w:t>
      </w:r>
      <w:r>
        <w:rPr>
          <w:rFonts w:ascii="Times New Roman;Times;serif" w:hAnsi="Times New Roman;Times;serif"/>
          <w:color w:val="FF0000"/>
          <w:sz w:val="24"/>
        </w:rPr>
        <w:t xml:space="preserve"> </w:t>
      </w:r>
      <w:r>
        <w:rPr>
          <w:rFonts w:ascii="Times" w:hAnsi="Times"/>
          <w:b/>
          <w:color w:val="FF0000"/>
          <w:sz w:val="24"/>
        </w:rPr>
        <w:t>(limited liability company)</w:t>
      </w:r>
      <w:bookmarkStart w:id="3007" w:name="_cp_change_1075"/>
      <w:bookmarkEnd w:id="3007"/>
    </w:p>
    <w:p>
      <w:pPr>
        <w:pStyle w:val="TextBody"/>
        <w:pBdr/>
        <w:bidi w:val="0"/>
        <w:spacing w:lineRule="atLeast" w:line="280" w:before="0" w:after="0"/>
        <w:ind w:left="10" w:right="0" w:hanging="8540"/>
        <w:jc w:val="both"/>
        <w:rPr>
          <w:rFonts w:ascii="Times" w:hAnsi="Times"/>
          <w:color w:val="FF0000"/>
          <w:sz w:val="24"/>
        </w:rPr>
      </w:pPr>
      <w:bookmarkStart w:id="3008" w:name="_cp_change_1078"/>
      <w:bookmarkEnd w:id="3008"/>
      <w:r>
        <w:rPr>
          <w:rFonts w:ascii="Times" w:hAnsi="Times"/>
          <w:color w:val="FF0000"/>
          <w:sz w:val="24"/>
        </w:rPr>
        <w:t>Date of Formation:                  January 13, 2009</w:t>
      </w:r>
      <w:bookmarkStart w:id="3009" w:name="_cp_change_1077"/>
      <w:bookmarkEnd w:id="3009"/>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6.2 - 3</w:t>
      </w:r>
    </w:p>
    <w:p>
      <w:pPr>
        <w:pStyle w:val="HorizontalLine"/>
        <w:pBdr>
          <w:bottom w:val="double" w:sz="2" w:space="0" w:color="808080"/>
        </w:pBdr>
        <w:bidi w:val="0"/>
        <w:spacing w:before="0" w:after="283"/>
        <w:jc w:val="left"/>
        <w:rPr/>
      </w:pPr>
      <w:r>
        <w:rPr/>
      </w:r>
    </w:p>
    <w:p>
      <w:pPr>
        <w:pStyle w:val="TextBody"/>
        <w:pBdr/>
        <w:bidi w:val="0"/>
        <w:spacing w:lineRule="atLeast" w:line="280" w:before="0" w:after="0"/>
        <w:ind w:left="0" w:right="0" w:hanging="3370"/>
        <w:jc w:val="both"/>
        <w:rPr>
          <w:rFonts w:ascii="Times" w:hAnsi="Times"/>
          <w:color w:val="FF0000"/>
          <w:sz w:val="24"/>
        </w:rPr>
      </w:pPr>
      <w:bookmarkStart w:id="3010" w:name="_cp_change_1080"/>
      <w:bookmarkEnd w:id="3010"/>
      <w:r>
        <w:rPr>
          <w:rFonts w:ascii="Times" w:hAnsi="Times"/>
          <w:color w:val="FF0000"/>
          <w:sz w:val="24"/>
        </w:rPr>
        <w:t>State of Formation:                  Florida</w:t>
      </w:r>
      <w:bookmarkStart w:id="3011" w:name="_cp_change_1079"/>
      <w:bookmarkEnd w:id="3011"/>
      <w:r>
        <mc:AlternateContent>
          <mc:Choice Requires="wps">
            <w:drawing>
              <wp:anchor behindDoc="0" distT="0" distB="0" distL="0" distR="0" simplePos="0" locked="0" layoutInCell="1" allowOverlap="1" relativeHeight="708">
                <wp:simplePos x="0" y="0"/>
                <wp:positionH relativeFrom="column">
                  <wp:align>left</wp:align>
                </wp:positionH>
                <wp:positionV relativeFrom="line">
                  <wp:posOffset>635</wp:posOffset>
                </wp:positionV>
                <wp:extent cx="5943600" cy="175260"/>
                <wp:effectExtent l="0" t="0" r="0" b="0"/>
                <wp:wrapSquare wrapText="right"/>
                <wp:docPr id="707" name="Frame707"/>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0"/>
                              <w:ind w:left="0" w:right="0" w:hanging="0"/>
                              <w:jc w:val="right"/>
                              <w:rPr/>
                            </w:pPr>
                            <w:r>
                              <w:rPr/>
                              <w:t>​</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right"/>
                        <w:rPr/>
                      </w:pPr>
                      <w:r>
                        <w:rPr/>
                        <w:t>​</w:t>
                      </w:r>
                    </w:p>
                  </w:txbxContent>
                </v:textbox>
                <w10:wrap type="square" side="right"/>
              </v:rect>
            </w:pict>
          </mc:Fallback>
        </mc:AlternateContent>
      </w:r>
    </w:p>
    <w:p>
      <w:pPr>
        <w:pStyle w:val="TextBody"/>
        <w:pBdr/>
        <w:bidi w:val="0"/>
        <w:spacing w:lineRule="atLeast" w:line="280" w:before="0" w:after="0"/>
        <w:ind w:left="0" w:right="0" w:hanging="3370"/>
        <w:jc w:val="both"/>
        <w:rPr>
          <w:rFonts w:ascii="Times" w:hAnsi="Times"/>
          <w:color w:val="FF0000"/>
          <w:sz w:val="24"/>
        </w:rPr>
      </w:pPr>
      <w:bookmarkStart w:id="3012" w:name="_cp_change_1082"/>
      <w:bookmarkEnd w:id="3012"/>
      <w:r>
        <w:rPr>
          <w:rFonts w:ascii="Times" w:hAnsi="Times"/>
          <w:color w:val="FF0000"/>
          <w:sz w:val="24"/>
        </w:rPr>
        <w:t>Member:                                  CTO Realty Growth, Inc., 100% Managing Member</w:t>
      </w:r>
      <w:bookmarkStart w:id="3013" w:name="_cp_change_1081"/>
      <w:bookmarkEnd w:id="3013"/>
    </w:p>
    <w:p>
      <w:pPr>
        <w:pStyle w:val="TextBody"/>
        <w:bidi w:val="0"/>
        <w:spacing w:lineRule="atLeast" w:line="280" w:before="0" w:after="0"/>
        <w:ind w:left="0" w:right="0" w:hanging="0"/>
        <w:jc w:val="both"/>
        <w:rPr>
          <w:rFonts w:ascii="Times New Roman;Times;serif" w:hAnsi="Times New Roman;Times;serif"/>
          <w:sz w:val="24"/>
        </w:rPr>
      </w:pPr>
      <w:bookmarkStart w:id="3014" w:name="_cp_change_1084"/>
      <w:bookmarkEnd w:id="3014"/>
      <w:r>
        <w:rPr>
          <w:rFonts w:ascii="Times" w:hAnsi="Times"/>
          <w:b/>
          <w:color w:val="FF0000"/>
          <w:sz w:val="24"/>
        </w:rPr>
        <w:t>INDIGO GROUP INC.</w:t>
      </w:r>
      <w:r>
        <w:rPr>
          <w:rFonts w:ascii="Times New Roman;Times;serif" w:hAnsi="Times New Roman;Times;serif"/>
          <w:color w:val="FF0000"/>
          <w:sz w:val="24"/>
        </w:rPr>
        <w:t xml:space="preserve">  </w:t>
      </w:r>
      <w:r>
        <w:rPr>
          <w:rFonts w:ascii="Times" w:hAnsi="Times"/>
          <w:b/>
          <w:color w:val="FF0000"/>
          <w:sz w:val="24"/>
        </w:rPr>
        <w:t>(corporation)</w:t>
      </w:r>
      <w:bookmarkStart w:id="3015" w:name="_cp_change_1083"/>
      <w:bookmarkEnd w:id="3015"/>
    </w:p>
    <w:tbl>
      <w:tblPr>
        <w:tblW w:w="8980" w:type="dxa"/>
        <w:jc w:val="left"/>
        <w:tblInd w:w="0" w:type="dxa"/>
        <w:tblLayout w:type="fixed"/>
        <w:tblCellMar>
          <w:top w:w="0" w:type="dxa"/>
          <w:left w:w="0" w:type="dxa"/>
          <w:bottom w:w="0" w:type="dxa"/>
          <w:right w:w="0" w:type="dxa"/>
        </w:tblCellMar>
      </w:tblPr>
      <w:tblGrid>
        <w:gridCol w:w="2120"/>
        <w:gridCol w:w="6860"/>
      </w:tblGrid>
      <w:tr>
        <w:trPr/>
        <w:tc>
          <w:tcPr>
            <w:tcW w:w="2120" w:type="dxa"/>
            <w:tcBorders/>
            <w:vAlign w:val="center"/>
          </w:tcPr>
          <w:p>
            <w:pPr>
              <w:pStyle w:val="TableContents"/>
              <w:bidi w:val="0"/>
              <w:spacing w:lineRule="atLeast" w:line="280" w:before="0" w:after="0"/>
              <w:jc w:val="both"/>
              <w:rPr>
                <w:rFonts w:ascii="Times" w:hAnsi="Times"/>
                <w:color w:val="FF0000"/>
                <w:sz w:val="24"/>
              </w:rPr>
            </w:pPr>
            <w:bookmarkStart w:id="3016" w:name="_cp_change_1086"/>
            <w:bookmarkEnd w:id="3016"/>
            <w:r>
              <w:rPr>
                <w:rFonts w:ascii="Times" w:hAnsi="Times"/>
                <w:color w:val="FF0000"/>
                <w:sz w:val="24"/>
              </w:rPr>
              <w:t>Date of Incorporation:</w:t>
            </w:r>
          </w:p>
        </w:tc>
        <w:tc>
          <w:tcPr>
            <w:tcW w:w="6860" w:type="dxa"/>
            <w:tcBorders/>
            <w:vAlign w:val="center"/>
          </w:tcPr>
          <w:p>
            <w:pPr>
              <w:pStyle w:val="TableContents"/>
              <w:bidi w:val="0"/>
              <w:spacing w:lineRule="atLeast" w:line="280" w:before="0" w:after="0"/>
              <w:jc w:val="both"/>
              <w:rPr>
                <w:rFonts w:ascii="Times" w:hAnsi="Times"/>
                <w:color w:val="FF0000"/>
                <w:sz w:val="24"/>
              </w:rPr>
            </w:pPr>
            <w:r>
              <w:rPr>
                <w:rFonts w:ascii="Times" w:hAnsi="Times"/>
                <w:color w:val="FF0000"/>
                <w:sz w:val="24"/>
              </w:rPr>
              <w:t>September 27, 1984, name change amendments 4/7/1987 and 7/23/1991</w:t>
            </w:r>
            <w:bookmarkStart w:id="3017" w:name="_cp_change_1085"/>
            <w:bookmarkEnd w:id="3017"/>
          </w:p>
        </w:tc>
      </w:tr>
    </w:tbl>
    <w:tbl>
      <w:tblPr>
        <w:tblW w:w="2830" w:type="dxa"/>
        <w:jc w:val="left"/>
        <w:tblInd w:w="0" w:type="dxa"/>
        <w:tblLayout w:type="fixed"/>
        <w:tblCellMar>
          <w:top w:w="0" w:type="dxa"/>
          <w:left w:w="0" w:type="dxa"/>
          <w:bottom w:w="0" w:type="dxa"/>
          <w:right w:w="0" w:type="dxa"/>
        </w:tblCellMar>
      </w:tblPr>
      <w:tblGrid>
        <w:gridCol w:w="2135"/>
        <w:gridCol w:w="695"/>
      </w:tblGrid>
      <w:tr>
        <w:trPr/>
        <w:tc>
          <w:tcPr>
            <w:tcW w:w="2135" w:type="dxa"/>
            <w:tcBorders/>
            <w:vAlign w:val="center"/>
          </w:tcPr>
          <w:p>
            <w:pPr>
              <w:pStyle w:val="TableContents"/>
              <w:bidi w:val="0"/>
              <w:spacing w:lineRule="atLeast" w:line="280" w:before="0" w:after="0"/>
              <w:jc w:val="both"/>
              <w:rPr>
                <w:rFonts w:ascii="Times" w:hAnsi="Times"/>
                <w:color w:val="FF0000"/>
                <w:sz w:val="24"/>
              </w:rPr>
            </w:pPr>
            <w:bookmarkStart w:id="3018" w:name="_cp_change_1088"/>
            <w:bookmarkEnd w:id="3018"/>
            <w:r>
              <w:rPr>
                <w:rFonts w:ascii="Times" w:hAnsi="Times"/>
                <w:color w:val="FF0000"/>
                <w:sz w:val="24"/>
              </w:rPr>
              <w:t>State of Incorporation:</w:t>
            </w:r>
          </w:p>
        </w:tc>
        <w:tc>
          <w:tcPr>
            <w:tcW w:w="695" w:type="dxa"/>
            <w:tcBorders/>
            <w:vAlign w:val="center"/>
          </w:tcPr>
          <w:p>
            <w:pPr>
              <w:pStyle w:val="TableContents"/>
              <w:bidi w:val="0"/>
              <w:spacing w:lineRule="atLeast" w:line="280" w:before="0" w:after="0"/>
              <w:jc w:val="both"/>
              <w:rPr>
                <w:rFonts w:ascii="Times" w:hAnsi="Times"/>
                <w:color w:val="FF0000"/>
                <w:sz w:val="24"/>
              </w:rPr>
            </w:pPr>
            <w:r>
              <w:rPr>
                <w:rFonts w:ascii="Times" w:hAnsi="Times"/>
                <w:color w:val="FF0000"/>
                <w:sz w:val="24"/>
              </w:rPr>
              <w:t>Florida</w:t>
            </w:r>
            <w:bookmarkStart w:id="3019" w:name="_cp_change_1087"/>
            <w:bookmarkEnd w:id="3019"/>
          </w:p>
        </w:tc>
      </w:tr>
    </w:tbl>
    <w:p>
      <w:pPr>
        <w:pStyle w:val="TextBody"/>
        <w:bidi w:val="0"/>
        <w:spacing w:lineRule="atLeast" w:line="280" w:before="0" w:after="0"/>
        <w:ind w:left="0" w:right="0" w:hanging="0"/>
        <w:jc w:val="both"/>
        <w:rPr>
          <w:rFonts w:ascii="Times New Roman;Times;serif" w:hAnsi="Times New Roman;Times;serif"/>
          <w:sz w:val="24"/>
        </w:rPr>
      </w:pPr>
      <w:bookmarkStart w:id="3020" w:name="_cp_change_1090"/>
      <w:bookmarkEnd w:id="3020"/>
      <w:r>
        <w:rPr>
          <w:rFonts w:ascii="Times" w:hAnsi="Times"/>
          <w:color w:val="FF0000"/>
          <w:sz w:val="24"/>
        </w:rPr>
        <w:t>Shareholder:</w:t>
      </w:r>
      <w:r>
        <w:rPr>
          <w:rFonts w:ascii="Times New Roman;Times;serif" w:hAnsi="Times New Roman;Times;serif"/>
          <w:color w:val="FF0000"/>
          <w:sz w:val="24"/>
        </w:rPr>
        <w:t xml:space="preserve">   </w:t>
      </w:r>
      <w:r>
        <w:rPr>
          <w:rFonts w:ascii="Times" w:hAnsi="Times"/>
          <w:color w:val="FF0000"/>
          <w:sz w:val="24"/>
        </w:rPr>
        <w:t>CTO Realty Growth, Inc.</w:t>
      </w:r>
      <w:bookmarkStart w:id="3021" w:name="_cp_change_1089"/>
      <w:bookmarkEnd w:id="3021"/>
    </w:p>
    <w:p>
      <w:pPr>
        <w:pStyle w:val="TextBody"/>
        <w:bidi w:val="0"/>
        <w:spacing w:lineRule="atLeast" w:line="280" w:before="0" w:after="0"/>
        <w:ind w:left="0" w:right="0" w:hanging="0"/>
        <w:jc w:val="both"/>
        <w:rPr>
          <w:rFonts w:ascii="Times New Roman;Times;serif" w:hAnsi="Times New Roman;Times;serif"/>
          <w:sz w:val="24"/>
        </w:rPr>
      </w:pPr>
      <w:bookmarkStart w:id="3022" w:name="_cp_change_1092"/>
      <w:bookmarkEnd w:id="3022"/>
      <w:r>
        <w:rPr>
          <w:rFonts w:ascii="Times" w:hAnsi="Times"/>
          <w:b/>
          <w:color w:val="FF0000"/>
          <w:sz w:val="24"/>
        </w:rPr>
        <w:t>INDIGO GROUP LTD</w:t>
      </w:r>
      <w:r>
        <w:rPr>
          <w:rFonts w:ascii="Times New Roman;Times;serif" w:hAnsi="Times New Roman;Times;serif"/>
          <w:color w:val="FF0000"/>
          <w:sz w:val="24"/>
        </w:rPr>
        <w:t xml:space="preserve"> </w:t>
      </w:r>
      <w:r>
        <w:rPr>
          <w:rFonts w:ascii="Times" w:hAnsi="Times"/>
          <w:b/>
          <w:color w:val="FF0000"/>
          <w:sz w:val="24"/>
        </w:rPr>
        <w:t>(limited partnership)</w:t>
      </w:r>
      <w:bookmarkStart w:id="3023" w:name="_cp_change_1091"/>
      <w:bookmarkEnd w:id="3023"/>
    </w:p>
    <w:tbl>
      <w:tblPr>
        <w:tblW w:w="6835" w:type="dxa"/>
        <w:jc w:val="left"/>
        <w:tblInd w:w="0" w:type="dxa"/>
        <w:tblLayout w:type="fixed"/>
        <w:tblCellMar>
          <w:top w:w="0" w:type="dxa"/>
          <w:left w:w="0" w:type="dxa"/>
          <w:bottom w:w="0" w:type="dxa"/>
          <w:right w:w="0" w:type="dxa"/>
        </w:tblCellMar>
      </w:tblPr>
      <w:tblGrid>
        <w:gridCol w:w="1820"/>
        <w:gridCol w:w="5015"/>
      </w:tblGrid>
      <w:tr>
        <w:trPr/>
        <w:tc>
          <w:tcPr>
            <w:tcW w:w="1820" w:type="dxa"/>
            <w:tcBorders/>
            <w:vAlign w:val="center"/>
          </w:tcPr>
          <w:p>
            <w:pPr>
              <w:pStyle w:val="TableContents"/>
              <w:bidi w:val="0"/>
              <w:spacing w:lineRule="atLeast" w:line="280" w:before="0" w:after="0"/>
              <w:jc w:val="both"/>
              <w:rPr>
                <w:rFonts w:ascii="Times" w:hAnsi="Times"/>
                <w:color w:val="FF0000"/>
                <w:sz w:val="24"/>
              </w:rPr>
            </w:pPr>
            <w:bookmarkStart w:id="3024" w:name="_cp_change_1094"/>
            <w:bookmarkEnd w:id="3024"/>
            <w:r>
              <w:rPr>
                <w:rFonts w:ascii="Times" w:hAnsi="Times"/>
                <w:color w:val="FF0000"/>
                <w:sz w:val="24"/>
              </w:rPr>
              <w:t>Date of Formation:</w:t>
            </w:r>
          </w:p>
        </w:tc>
        <w:tc>
          <w:tcPr>
            <w:tcW w:w="5015" w:type="dxa"/>
            <w:tcBorders/>
            <w:vAlign w:val="center"/>
          </w:tcPr>
          <w:p>
            <w:pPr>
              <w:pStyle w:val="TableContents"/>
              <w:bidi w:val="0"/>
              <w:spacing w:lineRule="atLeast" w:line="280" w:before="0" w:after="0"/>
              <w:jc w:val="both"/>
              <w:rPr>
                <w:color w:val="FF0000"/>
              </w:rPr>
            </w:pPr>
            <w:r>
              <w:rPr>
                <w:color w:val="FF0000"/>
              </w:rPr>
              <w:t>   </w:t>
            </w:r>
            <w:r>
              <w:rPr>
                <w:rFonts w:ascii="Times" w:hAnsi="Times"/>
                <w:color w:val="FF0000"/>
                <w:sz w:val="24"/>
              </w:rPr>
              <w:t>April 30, 1987, name change amendment 8/1/1991</w:t>
            </w:r>
            <w:bookmarkStart w:id="3025" w:name="_cp_change_1093"/>
            <w:bookmarkEnd w:id="3025"/>
          </w:p>
        </w:tc>
      </w:tr>
    </w:tbl>
    <w:tbl>
      <w:tblPr>
        <w:tblW w:w="2710" w:type="dxa"/>
        <w:jc w:val="left"/>
        <w:tblInd w:w="0" w:type="dxa"/>
        <w:tblLayout w:type="fixed"/>
        <w:tblCellMar>
          <w:top w:w="0" w:type="dxa"/>
          <w:left w:w="0" w:type="dxa"/>
          <w:bottom w:w="0" w:type="dxa"/>
          <w:right w:w="0" w:type="dxa"/>
        </w:tblCellMar>
      </w:tblPr>
      <w:tblGrid>
        <w:gridCol w:w="1835"/>
        <w:gridCol w:w="875"/>
      </w:tblGrid>
      <w:tr>
        <w:trPr/>
        <w:tc>
          <w:tcPr>
            <w:tcW w:w="1835" w:type="dxa"/>
            <w:tcBorders/>
            <w:vAlign w:val="center"/>
          </w:tcPr>
          <w:p>
            <w:pPr>
              <w:pStyle w:val="TableContents"/>
              <w:bidi w:val="0"/>
              <w:spacing w:lineRule="atLeast" w:line="280" w:before="0" w:after="0"/>
              <w:jc w:val="both"/>
              <w:rPr>
                <w:rFonts w:ascii="Times" w:hAnsi="Times"/>
                <w:color w:val="FF0000"/>
                <w:sz w:val="24"/>
              </w:rPr>
            </w:pPr>
            <w:bookmarkStart w:id="3026" w:name="_cp_change_1096"/>
            <w:bookmarkEnd w:id="3026"/>
            <w:r>
              <w:rPr>
                <w:rFonts w:ascii="Times" w:hAnsi="Times"/>
                <w:color w:val="FF0000"/>
                <w:sz w:val="24"/>
              </w:rPr>
              <w:t>State of Formation:</w:t>
            </w:r>
          </w:p>
        </w:tc>
        <w:tc>
          <w:tcPr>
            <w:tcW w:w="875" w:type="dxa"/>
            <w:tcBorders/>
            <w:vAlign w:val="center"/>
          </w:tcPr>
          <w:p>
            <w:pPr>
              <w:pStyle w:val="TableContents"/>
              <w:bidi w:val="0"/>
              <w:spacing w:lineRule="atLeast" w:line="280" w:before="0" w:after="0"/>
              <w:jc w:val="both"/>
              <w:rPr>
                <w:color w:val="FF0000"/>
              </w:rPr>
            </w:pPr>
            <w:r>
              <w:rPr>
                <w:color w:val="FF0000"/>
              </w:rPr>
              <w:t>   </w:t>
            </w:r>
            <w:r>
              <w:rPr>
                <w:rFonts w:ascii="Times" w:hAnsi="Times"/>
                <w:color w:val="FF0000"/>
                <w:sz w:val="24"/>
              </w:rPr>
              <w:t>Florida</w:t>
            </w:r>
            <w:bookmarkStart w:id="3027" w:name="_cp_change_1095"/>
            <w:bookmarkEnd w:id="3027"/>
          </w:p>
        </w:tc>
      </w:tr>
    </w:tbl>
    <w:p>
      <w:pPr>
        <w:pStyle w:val="TextBody"/>
        <w:bidi w:val="0"/>
        <w:spacing w:lineRule="atLeast" w:line="280" w:before="0" w:after="0"/>
        <w:ind w:left="0" w:right="0" w:hanging="0"/>
        <w:jc w:val="both"/>
        <w:rPr>
          <w:rFonts w:ascii="Times" w:hAnsi="Times"/>
          <w:color w:val="FF0000"/>
          <w:sz w:val="24"/>
        </w:rPr>
      </w:pPr>
      <w:bookmarkStart w:id="3028" w:name="_cp_change_1098"/>
      <w:bookmarkEnd w:id="3028"/>
      <w:r>
        <w:rPr>
          <w:rFonts w:ascii="Times" w:hAnsi="Times"/>
          <w:color w:val="FF0000"/>
          <w:sz w:val="24"/>
        </w:rPr>
        <w:t>Partners:</w:t>
      </w:r>
      <w:bookmarkStart w:id="3029" w:name="_cp_change_1097"/>
      <w:bookmarkEnd w:id="3029"/>
    </w:p>
    <w:p>
      <w:pPr>
        <w:pStyle w:val="TextBody"/>
        <w:bidi w:val="0"/>
        <w:spacing w:before="0" w:after="0"/>
        <w:ind w:left="0" w:right="0" w:hanging="0"/>
        <w:jc w:val="left"/>
        <w:rPr>
          <w:rFonts w:ascii="Times New Roman;Times;serif" w:hAnsi="Times New Roman;Times;serif"/>
          <w:sz w:val="24"/>
        </w:rPr>
      </w:pPr>
      <w:bookmarkStart w:id="3030" w:name="_cp_change_1099"/>
      <w:bookmarkEnd w:id="3030"/>
      <w:r>
        <w:rPr>
          <w:rFonts w:ascii="Times" w:hAnsi="Times"/>
          <w:color w:val="FF0000"/>
          <w:sz w:val="24"/>
        </w:rPr>
        <w:t>Indigo Group Inc</w:t>
      </w:r>
      <w:bookmarkStart w:id="3031" w:name="_cp_change_1100"/>
      <w:bookmarkEnd w:id="3031"/>
      <w:r>
        <w:rPr>
          <w:rFonts w:ascii="Times" w:hAnsi="Times"/>
          <w:color w:val="0000FF"/>
          <w:sz w:val="24"/>
          <w:u w:val="single"/>
        </w:rPr>
        <w:t>See attached</w:t>
      </w:r>
      <w:r>
        <w:rPr>
          <w:rFonts w:ascii="Times" w:hAnsi="Times"/>
          <w:sz w:val="24"/>
        </w:rPr>
        <w:t>.</w:t>
      </w:r>
    </w:p>
    <w:p>
      <w:pPr>
        <w:pStyle w:val="TextBody"/>
        <w:bidi w:val="0"/>
        <w:spacing w:lineRule="atLeast" w:line="280" w:before="0" w:after="0"/>
        <w:ind w:left="0" w:right="0" w:hanging="0"/>
        <w:jc w:val="both"/>
        <w:rPr/>
      </w:pPr>
      <w:bookmarkStart w:id="3032" w:name="_cp_change_1102"/>
      <w:bookmarkEnd w:id="3032"/>
      <w:r>
        <w:rPr>
          <w:color w:val="FF0000"/>
        </w:rPr>
        <w:t xml:space="preserve">  </w:t>
      </w:r>
      <w:r>
        <w:rPr>
          <w:rFonts w:ascii="Times" w:hAnsi="Times"/>
          <w:color w:val="FF0000"/>
          <w:sz w:val="24"/>
        </w:rPr>
        <w:t>(Managing General Partner)</w:t>
      </w:r>
      <w:r>
        <w:rPr>
          <w:rFonts w:ascii="Times New Roman;Times;serif" w:hAnsi="Times New Roman;Times;serif"/>
          <w:color w:val="FF0000"/>
          <w:sz w:val="24"/>
        </w:rPr>
        <w:t xml:space="preserve">    </w:t>
      </w:r>
      <w:r>
        <w:rPr>
          <w:rFonts w:ascii="Times" w:hAnsi="Times"/>
          <w:color w:val="FF0000"/>
          <w:sz w:val="24"/>
        </w:rPr>
        <w:t>1.460%</w:t>
      </w:r>
      <w:bookmarkStart w:id="3033" w:name="_cp_change_1101"/>
      <w:bookmarkEnd w:id="3033"/>
    </w:p>
    <w:p>
      <w:pPr>
        <w:pStyle w:val="TextBody"/>
        <w:bidi w:val="0"/>
        <w:spacing w:lineRule="atLeast" w:line="280" w:before="0" w:after="0"/>
        <w:ind w:left="0" w:right="0" w:hanging="0"/>
        <w:jc w:val="both"/>
        <w:rPr/>
      </w:pPr>
      <w:bookmarkStart w:id="3034" w:name="_cp_change_1104"/>
      <w:bookmarkEnd w:id="3034"/>
      <w:r>
        <w:rPr>
          <w:color w:val="FF0000"/>
        </w:rPr>
        <w:t> </w:t>
      </w:r>
      <w:r>
        <w:rPr>
          <w:rFonts w:ascii="Times" w:hAnsi="Times"/>
          <w:color w:val="FF0000"/>
          <w:sz w:val="24"/>
        </w:rPr>
        <w:t>Palms Del Mar Inc.</w:t>
      </w:r>
      <w:r>
        <w:rPr>
          <w:rFonts w:ascii="Times New Roman;Times;serif" w:hAnsi="Times New Roman;Times;serif"/>
          <w:color w:val="FF0000"/>
          <w:sz w:val="24"/>
        </w:rPr>
        <w:t xml:space="preserve">    </w:t>
      </w:r>
      <w:r>
        <w:rPr>
          <w:rFonts w:ascii="Times" w:hAnsi="Times"/>
          <w:color w:val="FF0000"/>
          <w:sz w:val="24"/>
        </w:rPr>
        <w:t>5.065%</w:t>
      </w:r>
      <w:bookmarkStart w:id="3035" w:name="_cp_change_1103"/>
      <w:bookmarkEnd w:id="3035"/>
    </w:p>
    <w:p>
      <w:pPr>
        <w:pStyle w:val="TextBody"/>
        <w:bidi w:val="0"/>
        <w:spacing w:lineRule="atLeast" w:line="280" w:before="0" w:after="0"/>
        <w:ind w:left="0" w:right="0" w:hanging="0"/>
        <w:jc w:val="both"/>
        <w:rPr>
          <w:color w:val="FF0000"/>
        </w:rPr>
      </w:pPr>
      <w:bookmarkStart w:id="3036" w:name="_cp_change_1106"/>
      <w:bookmarkEnd w:id="3036"/>
      <w:r>
        <w:rPr>
          <w:color w:val="FF0000"/>
        </w:rPr>
        <w:t>   </w:t>
      </w:r>
      <w:r>
        <w:rPr>
          <w:rFonts w:ascii="Times" w:hAnsi="Times"/>
          <w:color w:val="FF0000"/>
          <w:sz w:val="24"/>
        </w:rPr>
        <w:t>(Limited Partner)</w:t>
      </w:r>
      <w:bookmarkStart w:id="3037" w:name="_cp_change_1105"/>
      <w:bookmarkEnd w:id="3037"/>
    </w:p>
    <w:p>
      <w:pPr>
        <w:pStyle w:val="TextBody"/>
        <w:bidi w:val="0"/>
        <w:spacing w:lineRule="atLeast" w:line="280" w:before="0" w:after="0"/>
        <w:ind w:left="0" w:right="0" w:hanging="0"/>
        <w:jc w:val="both"/>
        <w:rPr/>
      </w:pPr>
      <w:bookmarkStart w:id="3038" w:name="_cp_change_1108"/>
      <w:bookmarkEnd w:id="3038"/>
      <w:r>
        <w:rPr>
          <w:color w:val="FF0000"/>
        </w:rPr>
        <w:t> </w:t>
      </w:r>
      <w:r>
        <w:rPr>
          <w:rFonts w:ascii="Times" w:hAnsi="Times"/>
          <w:color w:val="FF0000"/>
          <w:sz w:val="24"/>
        </w:rPr>
        <w:t>CTO Realty Growth, Inc.             93.475%</w:t>
      </w:r>
      <w:bookmarkStart w:id="3039" w:name="_cp_change_1107"/>
      <w:bookmarkEnd w:id="3039"/>
    </w:p>
    <w:p>
      <w:pPr>
        <w:pStyle w:val="TextBody"/>
        <w:bidi w:val="0"/>
        <w:spacing w:before="0" w:after="0"/>
        <w:ind w:left="0" w:right="0" w:hanging="0"/>
        <w:jc w:val="left"/>
        <w:rPr/>
      </w:pPr>
      <w:r>
        <w:rPr/>
        <w:t>​</w:t>
      </w:r>
    </w:p>
    <w:p>
      <w:pPr>
        <w:pStyle w:val="TextBody"/>
        <w:bidi w:val="0"/>
        <w:spacing w:lineRule="atLeast" w:line="280" w:before="0" w:after="0"/>
        <w:ind w:left="0" w:right="0" w:hanging="0"/>
        <w:jc w:val="both"/>
        <w:rPr>
          <w:rFonts w:ascii="Times New Roman;Times;serif" w:hAnsi="Times New Roman;Times;serif"/>
          <w:sz w:val="24"/>
        </w:rPr>
      </w:pPr>
      <w:bookmarkStart w:id="3040" w:name="_cp_change_1110"/>
      <w:bookmarkEnd w:id="3040"/>
      <w:r>
        <w:rPr>
          <w:rFonts w:ascii="Times" w:hAnsi="Times"/>
          <w:b/>
          <w:color w:val="FF0000"/>
          <w:sz w:val="24"/>
        </w:rPr>
        <w:t>LHC15 ATLANTIC DB JV LLC</w:t>
      </w:r>
      <w:r>
        <w:rPr>
          <w:rFonts w:ascii="Times New Roman;Times;serif" w:hAnsi="Times New Roman;Times;serif"/>
          <w:color w:val="FF0000"/>
          <w:sz w:val="24"/>
        </w:rPr>
        <w:t xml:space="preserve"> </w:t>
      </w:r>
      <w:r>
        <w:rPr>
          <w:rFonts w:ascii="Times" w:hAnsi="Times"/>
          <w:b/>
          <w:color w:val="FF0000"/>
          <w:sz w:val="24"/>
        </w:rPr>
        <w:t>(limited liability company)</w:t>
      </w:r>
      <w:bookmarkStart w:id="3041" w:name="_cp_change_1109"/>
      <w:bookmarkEnd w:id="3041"/>
    </w:p>
    <w:p>
      <w:pPr>
        <w:pStyle w:val="TextBody"/>
        <w:bidi w:val="0"/>
        <w:spacing w:lineRule="atLeast" w:line="280" w:before="0" w:after="0"/>
        <w:ind w:left="0" w:right="0" w:hanging="0"/>
        <w:jc w:val="both"/>
        <w:rPr>
          <w:rFonts w:ascii="Times" w:hAnsi="Times"/>
          <w:color w:val="FF0000"/>
          <w:sz w:val="24"/>
        </w:rPr>
      </w:pPr>
      <w:bookmarkStart w:id="3042" w:name="_cp_change_1112"/>
      <w:bookmarkEnd w:id="3042"/>
      <w:r>
        <w:rPr>
          <w:rFonts w:ascii="Times" w:hAnsi="Times"/>
          <w:color w:val="FF0000"/>
          <w:sz w:val="24"/>
        </w:rPr>
        <w:t>Date of Formation:August 3, 2015</w:t>
      </w:r>
      <w:bookmarkStart w:id="3043" w:name="_cp_change_1111"/>
      <w:bookmarkEnd w:id="3043"/>
    </w:p>
    <w:p>
      <w:pPr>
        <w:pStyle w:val="TextBody"/>
        <w:bidi w:val="0"/>
        <w:spacing w:lineRule="atLeast" w:line="280" w:before="0" w:after="0"/>
        <w:ind w:left="0" w:right="0" w:hanging="0"/>
        <w:jc w:val="both"/>
        <w:rPr>
          <w:rFonts w:ascii="Times" w:hAnsi="Times"/>
          <w:color w:val="FF0000"/>
          <w:sz w:val="24"/>
        </w:rPr>
      </w:pPr>
      <w:bookmarkStart w:id="3044" w:name="_cp_change_1114"/>
      <w:bookmarkEnd w:id="3044"/>
      <w:r>
        <w:rPr>
          <w:rFonts w:ascii="Times" w:hAnsi="Times"/>
          <w:color w:val="FF0000"/>
          <w:sz w:val="24"/>
        </w:rPr>
        <w:t>State of Formation:Delaware</w:t>
      </w:r>
      <w:bookmarkStart w:id="3045" w:name="_cp_change_1113"/>
      <w:bookmarkEnd w:id="3045"/>
    </w:p>
    <w:p>
      <w:pPr>
        <w:pStyle w:val="TextBody"/>
        <w:bidi w:val="0"/>
        <w:spacing w:lineRule="atLeast" w:line="280" w:before="0" w:after="0"/>
        <w:ind w:left="0" w:right="0" w:hanging="0"/>
        <w:jc w:val="left"/>
        <w:rPr>
          <w:rFonts w:ascii="Times New Roman;Times;serif" w:hAnsi="Times New Roman;Times;serif"/>
          <w:sz w:val="24"/>
        </w:rPr>
      </w:pPr>
      <w:bookmarkStart w:id="3046" w:name="_cp_change_1116"/>
      <w:bookmarkEnd w:id="3046"/>
      <w:r>
        <w:rPr>
          <w:rFonts w:ascii="Times" w:hAnsi="Times"/>
          <w:b w:val="false"/>
          <w:i w:val="false"/>
          <w:caps w:val="false"/>
          <w:smallCaps w:val="false"/>
          <w:color w:val="FF0000"/>
          <w:sz w:val="24"/>
        </w:rPr>
        <w:t>Member:</w:t>
      </w:r>
      <w:r>
        <w:rPr>
          <w:rFonts w:ascii="Times" w:hAnsi="Times"/>
          <w:color w:val="FF0000"/>
          <w:sz w:val="24"/>
        </w:rPr>
        <w:t>CTO Realty Growth, Inc., 100% Managing Member</w:t>
      </w:r>
      <w:bookmarkStart w:id="3047" w:name="_cp_change_1115"/>
      <w:bookmarkEnd w:id="3047"/>
    </w:p>
    <w:p>
      <w:pPr>
        <w:pStyle w:val="TextBody"/>
        <w:bidi w:val="0"/>
        <w:spacing w:lineRule="atLeast" w:line="280" w:before="0" w:after="0"/>
        <w:ind w:left="0" w:right="0" w:hanging="0"/>
        <w:jc w:val="both"/>
        <w:rPr>
          <w:rFonts w:ascii="Times New Roman;Times;serif" w:hAnsi="Times New Roman;Times;serif"/>
          <w:sz w:val="24"/>
        </w:rPr>
      </w:pPr>
      <w:bookmarkStart w:id="3048" w:name="_cp_change_1118"/>
      <w:bookmarkEnd w:id="3048"/>
      <w:r>
        <w:rPr>
          <w:rFonts w:ascii="Times" w:hAnsi="Times"/>
          <w:b/>
          <w:color w:val="FF0000"/>
          <w:sz w:val="24"/>
        </w:rPr>
        <w:t>LHC15 RIVERSIDE FL LLC</w:t>
      </w:r>
      <w:r>
        <w:rPr>
          <w:rFonts w:ascii="Times New Roman;Times;serif" w:hAnsi="Times New Roman;Times;serif"/>
          <w:color w:val="FF0000"/>
          <w:sz w:val="24"/>
        </w:rPr>
        <w:t xml:space="preserve"> </w:t>
      </w:r>
      <w:r>
        <w:rPr>
          <w:rFonts w:ascii="Times" w:hAnsi="Times"/>
          <w:b/>
          <w:color w:val="FF0000"/>
          <w:sz w:val="24"/>
        </w:rPr>
        <w:t>(limited liability company)</w:t>
      </w:r>
      <w:bookmarkStart w:id="3049" w:name="_cp_change_1117"/>
      <w:bookmarkEnd w:id="3049"/>
    </w:p>
    <w:p>
      <w:pPr>
        <w:pStyle w:val="TextBody"/>
        <w:bidi w:val="0"/>
        <w:spacing w:lineRule="atLeast" w:line="280" w:before="0" w:after="0"/>
        <w:ind w:left="0" w:right="0" w:hanging="0"/>
        <w:jc w:val="both"/>
        <w:rPr>
          <w:rFonts w:ascii="Times" w:hAnsi="Times"/>
          <w:color w:val="FF0000"/>
          <w:sz w:val="24"/>
        </w:rPr>
      </w:pPr>
      <w:bookmarkStart w:id="3050" w:name="_cp_change_1120"/>
      <w:bookmarkEnd w:id="3050"/>
      <w:r>
        <w:rPr>
          <w:rFonts w:ascii="Times" w:hAnsi="Times"/>
          <w:color w:val="FF0000"/>
          <w:sz w:val="24"/>
        </w:rPr>
        <w:t>Date of Formation:June 30, 2015</w:t>
      </w:r>
      <w:bookmarkStart w:id="3051" w:name="_cp_change_1119"/>
      <w:bookmarkEnd w:id="3051"/>
    </w:p>
    <w:p>
      <w:pPr>
        <w:pStyle w:val="TextBody"/>
        <w:bidi w:val="0"/>
        <w:spacing w:lineRule="atLeast" w:line="280" w:before="0" w:after="0"/>
        <w:ind w:left="0" w:right="0" w:hanging="0"/>
        <w:jc w:val="both"/>
        <w:rPr>
          <w:rFonts w:ascii="Times" w:hAnsi="Times"/>
          <w:color w:val="FF0000"/>
          <w:sz w:val="24"/>
        </w:rPr>
      </w:pPr>
      <w:bookmarkStart w:id="3052" w:name="_cp_change_1122"/>
      <w:bookmarkEnd w:id="3052"/>
      <w:r>
        <w:rPr>
          <w:rFonts w:ascii="Times" w:hAnsi="Times"/>
          <w:color w:val="FF0000"/>
          <w:sz w:val="24"/>
        </w:rPr>
        <w:t>State of Formation:Delaware</w:t>
      </w:r>
      <w:bookmarkStart w:id="3053" w:name="_cp_change_1121"/>
      <w:bookmarkEnd w:id="3053"/>
    </w:p>
    <w:p>
      <w:pPr>
        <w:pStyle w:val="TextBody"/>
        <w:bidi w:val="0"/>
        <w:spacing w:lineRule="atLeast" w:line="280" w:before="0" w:after="0"/>
        <w:ind w:left="0" w:right="0" w:hanging="0"/>
        <w:jc w:val="left"/>
        <w:rPr>
          <w:rFonts w:ascii="Times New Roman;Times;serif" w:hAnsi="Times New Roman;Times;serif"/>
          <w:sz w:val="24"/>
        </w:rPr>
      </w:pPr>
      <w:bookmarkStart w:id="3054" w:name="_cp_change_1124"/>
      <w:bookmarkEnd w:id="3054"/>
      <w:r>
        <w:rPr>
          <w:rFonts w:ascii="Times" w:hAnsi="Times"/>
          <w:b w:val="false"/>
          <w:i w:val="false"/>
          <w:caps w:val="false"/>
          <w:smallCaps w:val="false"/>
          <w:color w:val="FF0000"/>
          <w:sz w:val="24"/>
        </w:rPr>
        <w:t>Member:</w:t>
      </w:r>
      <w:r>
        <w:rPr>
          <w:rFonts w:ascii="Times" w:hAnsi="Times"/>
          <w:color w:val="FF0000"/>
          <w:sz w:val="24"/>
        </w:rPr>
        <w:t>CTO Realty Growth, Inc., 100% Managing Member</w:t>
      </w:r>
      <w:bookmarkStart w:id="3055" w:name="_cp_change_1123"/>
      <w:bookmarkEnd w:id="3055"/>
    </w:p>
    <w:p>
      <w:pPr>
        <w:pStyle w:val="TextBody"/>
        <w:bidi w:val="0"/>
        <w:spacing w:lineRule="atLeast" w:line="280" w:before="0" w:after="0"/>
        <w:ind w:left="0" w:right="0" w:hanging="0"/>
        <w:jc w:val="both"/>
        <w:rPr>
          <w:rFonts w:ascii="Times New Roman;Times;serif" w:hAnsi="Times New Roman;Times;serif"/>
          <w:sz w:val="24"/>
        </w:rPr>
      </w:pPr>
      <w:bookmarkStart w:id="3056" w:name="_cp_change_1126"/>
      <w:bookmarkEnd w:id="3056"/>
      <w:r>
        <w:rPr>
          <w:rFonts w:ascii="Times" w:hAnsi="Times"/>
          <w:b/>
          <w:color w:val="FF0000"/>
          <w:sz w:val="24"/>
        </w:rPr>
        <w:t>PALMS DEL MAR INC.</w:t>
      </w:r>
      <w:r>
        <w:rPr>
          <w:rFonts w:ascii="Times New Roman;Times;serif" w:hAnsi="Times New Roman;Times;serif"/>
          <w:color w:val="FF0000"/>
          <w:sz w:val="24"/>
        </w:rPr>
        <w:t xml:space="preserve"> </w:t>
      </w:r>
      <w:r>
        <w:rPr>
          <w:rFonts w:ascii="Times" w:hAnsi="Times"/>
          <w:b/>
          <w:color w:val="FF0000"/>
          <w:sz w:val="24"/>
        </w:rPr>
        <w:t>(corporation)</w:t>
      </w:r>
      <w:bookmarkStart w:id="3057" w:name="_cp_change_1125"/>
      <w:bookmarkEnd w:id="3057"/>
    </w:p>
    <w:p>
      <w:pPr>
        <w:pStyle w:val="TextBody"/>
        <w:pBdr/>
        <w:bidi w:val="0"/>
        <w:spacing w:lineRule="atLeast" w:line="280" w:before="0" w:after="0"/>
        <w:ind w:left="0" w:right="0" w:hanging="3552"/>
        <w:jc w:val="both"/>
        <w:rPr>
          <w:rFonts w:ascii="Times New Roman;Times;serif" w:hAnsi="Times New Roman;Times;serif"/>
          <w:sz w:val="24"/>
        </w:rPr>
      </w:pPr>
      <w:bookmarkStart w:id="3058" w:name="_cp_change_1128"/>
      <w:bookmarkEnd w:id="3058"/>
      <w:r>
        <w:rPr>
          <w:rFonts w:ascii="Times" w:hAnsi="Times"/>
          <w:color w:val="FF0000"/>
          <w:sz w:val="24"/>
        </w:rPr>
        <w:t>Date of formation:</w:t>
      </w:r>
      <w:r>
        <w:rPr>
          <w:rFonts w:ascii="Times New Roman;Times;serif" w:hAnsi="Times New Roman;Times;serif"/>
          <w:color w:val="FF0000"/>
          <w:sz w:val="24"/>
        </w:rPr>
        <w:t xml:space="preserve">   </w:t>
      </w:r>
      <w:r>
        <w:rPr>
          <w:rFonts w:ascii="Times" w:hAnsi="Times"/>
          <w:color w:val="FF0000"/>
          <w:sz w:val="24"/>
        </w:rPr>
        <w:t>May 12, 1978 (Acquired by CTO Realty Growth, Inc., The Predecessor</w:t>
      </w:r>
      <w:bookmarkStart w:id="3059" w:name="_cp_change_1127"/>
      <w:bookmarkEnd w:id="3059"/>
    </w:p>
    <w:p>
      <w:pPr>
        <w:pStyle w:val="TextBody"/>
        <w:bidi w:val="0"/>
        <w:spacing w:lineRule="atLeast" w:line="280" w:before="0" w:after="0"/>
        <w:ind w:left="0" w:right="0" w:hanging="0"/>
        <w:jc w:val="both"/>
        <w:rPr>
          <w:rFonts w:ascii="Times New Roman;Times;serif" w:hAnsi="Times New Roman;Times;serif"/>
          <w:sz w:val="24"/>
        </w:rPr>
      </w:pPr>
      <w:bookmarkStart w:id="3060" w:name="_cp_change_1130"/>
      <w:bookmarkEnd w:id="3060"/>
      <w:r>
        <w:rPr>
          <w:rFonts w:ascii="Times" w:hAnsi="Times"/>
          <w:color w:val="FF0000"/>
          <w:sz w:val="24"/>
        </w:rPr>
        <w:t>State of formation:</w:t>
      </w:r>
      <w:r>
        <w:rPr>
          <w:rFonts w:ascii="Times New Roman;Times;serif" w:hAnsi="Times New Roman;Times;serif"/>
          <w:color w:val="FF0000"/>
          <w:sz w:val="24"/>
        </w:rPr>
        <w:t xml:space="preserve">   </w:t>
      </w:r>
      <w:r>
        <w:rPr>
          <w:rFonts w:ascii="Times" w:hAnsi="Times"/>
          <w:color w:val="FF0000"/>
          <w:sz w:val="24"/>
        </w:rPr>
        <w:t>Florida</w:t>
      </w:r>
      <w:bookmarkStart w:id="3061" w:name="_cp_change_1129"/>
      <w:bookmarkEnd w:id="3061"/>
    </w:p>
    <w:p>
      <w:pPr>
        <w:pStyle w:val="TextBody"/>
        <w:bidi w:val="0"/>
        <w:spacing w:lineRule="atLeast" w:line="280" w:before="0" w:after="0"/>
        <w:ind w:left="0" w:right="0" w:hanging="0"/>
        <w:jc w:val="both"/>
        <w:rPr>
          <w:rFonts w:ascii="Times New Roman;Times;serif" w:hAnsi="Times New Roman;Times;serif"/>
          <w:sz w:val="24"/>
        </w:rPr>
      </w:pPr>
      <w:bookmarkStart w:id="3062" w:name="_cp_change_1132"/>
      <w:bookmarkEnd w:id="3062"/>
      <w:r>
        <w:rPr>
          <w:rFonts w:ascii="Times" w:hAnsi="Times"/>
          <w:color w:val="FF0000"/>
          <w:sz w:val="24"/>
        </w:rPr>
        <w:t xml:space="preserve">Sole Shareholder:       </w:t>
      </w:r>
      <w:r>
        <w:rPr>
          <w:rFonts w:ascii="Times New Roman;Times;serif" w:hAnsi="Times New Roman;Times;serif"/>
          <w:color w:val="FF0000"/>
          <w:sz w:val="24"/>
        </w:rPr>
        <w:t xml:space="preserve">  </w:t>
      </w:r>
      <w:r>
        <w:rPr>
          <w:rFonts w:ascii="Times" w:hAnsi="Times"/>
          <w:color w:val="FF0000"/>
          <w:sz w:val="24"/>
        </w:rPr>
        <w:t>CTO Realty Growth, Inc.</w:t>
      </w:r>
      <w:bookmarkStart w:id="3063" w:name="_cp_change_1131"/>
      <w:bookmarkEnd w:id="3063"/>
    </w:p>
    <w:p>
      <w:pPr>
        <w:pStyle w:val="TextBody"/>
        <w:bidi w:val="0"/>
        <w:spacing w:lineRule="atLeast" w:line="280" w:before="0" w:after="0"/>
        <w:ind w:left="0" w:right="0" w:hanging="0"/>
        <w:jc w:val="left"/>
        <w:rPr>
          <w:rFonts w:ascii="Times New Roman;Times;serif" w:hAnsi="Times New Roman;Times;serif"/>
          <w:sz w:val="24"/>
        </w:rPr>
      </w:pPr>
      <w:bookmarkStart w:id="3064" w:name="_cp_change_1134"/>
      <w:bookmarkEnd w:id="3064"/>
      <w:r>
        <w:rPr>
          <w:rFonts w:ascii="Times" w:hAnsi="Times"/>
          <w:b/>
          <w:color w:val="FF0000"/>
          <w:sz w:val="24"/>
        </w:rPr>
        <w:t>CTO21 AL OUTPARCEL LLC</w:t>
      </w:r>
      <w:r>
        <w:rPr>
          <w:rFonts w:ascii="Times New Roman;Times;serif" w:hAnsi="Times New Roman;Times;serif"/>
          <w:color w:val="FF0000"/>
          <w:sz w:val="24"/>
        </w:rPr>
        <w:t xml:space="preserve"> </w:t>
      </w:r>
      <w:r>
        <w:rPr>
          <w:rFonts w:ascii="Times" w:hAnsi="Times"/>
          <w:b/>
          <w:color w:val="FF0000"/>
          <w:sz w:val="24"/>
        </w:rPr>
        <w:t>(limited liability company)</w:t>
      </w:r>
      <w:bookmarkStart w:id="3065" w:name="_cp_change_1133"/>
      <w:bookmarkEnd w:id="3065"/>
    </w:p>
    <w:p>
      <w:pPr>
        <w:pStyle w:val="TextBody"/>
        <w:bidi w:val="0"/>
        <w:spacing w:lineRule="atLeast" w:line="280" w:before="0" w:after="0"/>
        <w:ind w:left="0" w:right="0" w:hanging="0"/>
        <w:jc w:val="left"/>
        <w:rPr>
          <w:rFonts w:ascii="Times" w:hAnsi="Times"/>
          <w:color w:val="FF0000"/>
          <w:sz w:val="24"/>
        </w:rPr>
      </w:pPr>
      <w:bookmarkStart w:id="3066" w:name="_cp_change_1136"/>
      <w:bookmarkEnd w:id="3066"/>
      <w:r>
        <w:rPr>
          <w:rFonts w:ascii="Times" w:hAnsi="Times"/>
          <w:color w:val="FF0000"/>
          <w:sz w:val="24"/>
        </w:rPr>
        <w:t>Date of Formation:December 23, 2021</w:t>
      </w:r>
      <w:bookmarkStart w:id="3067" w:name="_cp_change_1135"/>
      <w:bookmarkEnd w:id="3067"/>
    </w:p>
    <w:p>
      <w:pPr>
        <w:pStyle w:val="TextBody"/>
        <w:bidi w:val="0"/>
        <w:spacing w:lineRule="atLeast" w:line="280" w:before="0" w:after="0"/>
        <w:ind w:left="0" w:right="0" w:hanging="0"/>
        <w:jc w:val="left"/>
        <w:rPr>
          <w:rFonts w:ascii="Times" w:hAnsi="Times"/>
          <w:color w:val="FF0000"/>
          <w:sz w:val="24"/>
        </w:rPr>
      </w:pPr>
      <w:bookmarkStart w:id="3068" w:name="_cp_change_1138"/>
      <w:bookmarkEnd w:id="3068"/>
      <w:r>
        <w:rPr>
          <w:rFonts w:ascii="Times" w:hAnsi="Times"/>
          <w:color w:val="FF0000"/>
          <w:sz w:val="24"/>
        </w:rPr>
        <w:t>State of Formation:Delaware</w:t>
      </w:r>
      <w:bookmarkStart w:id="3069" w:name="_cp_change_1137"/>
      <w:bookmarkEnd w:id="3069"/>
    </w:p>
    <w:p>
      <w:pPr>
        <w:pStyle w:val="TextBody"/>
        <w:bidi w:val="0"/>
        <w:spacing w:lineRule="atLeast" w:line="280" w:before="0" w:after="0"/>
        <w:ind w:left="0" w:right="0" w:hanging="0"/>
        <w:jc w:val="left"/>
        <w:rPr>
          <w:rFonts w:ascii="Times New Roman;Times;serif" w:hAnsi="Times New Roman;Times;serif"/>
          <w:sz w:val="24"/>
        </w:rPr>
      </w:pPr>
      <w:bookmarkStart w:id="3070" w:name="_cp_change_1140"/>
      <w:bookmarkEnd w:id="3070"/>
      <w:r>
        <w:rPr>
          <w:rFonts w:ascii="Times" w:hAnsi="Times"/>
          <w:b w:val="false"/>
          <w:i w:val="false"/>
          <w:caps w:val="false"/>
          <w:smallCaps w:val="false"/>
          <w:color w:val="FF0000"/>
          <w:sz w:val="24"/>
        </w:rPr>
        <w:t>Member:</w:t>
      </w:r>
      <w:r>
        <w:rPr>
          <w:rFonts w:ascii="Times" w:hAnsi="Times"/>
          <w:color w:val="FF0000"/>
          <w:sz w:val="24"/>
        </w:rPr>
        <w:t>CTO Realty Growth, Inc., 100%</w:t>
      </w:r>
      <w:bookmarkStart w:id="3071" w:name="_cp_change_1139"/>
      <w:bookmarkEnd w:id="3071"/>
    </w:p>
    <w:p>
      <w:pPr>
        <w:pStyle w:val="TextBody"/>
        <w:bidi w:val="0"/>
        <w:spacing w:lineRule="atLeast" w:line="280" w:before="0" w:after="0"/>
        <w:ind w:left="0" w:right="0" w:hanging="0"/>
        <w:jc w:val="left"/>
        <w:rPr>
          <w:rFonts w:ascii="Times New Roman;Times;serif" w:hAnsi="Times New Roman;Times;serif"/>
          <w:sz w:val="24"/>
        </w:rPr>
      </w:pPr>
      <w:bookmarkStart w:id="3072" w:name="_cp_change_1142"/>
      <w:bookmarkEnd w:id="3072"/>
      <w:r>
        <w:rPr>
          <w:rFonts w:ascii="Times" w:hAnsi="Times"/>
          <w:b/>
          <w:color w:val="FF0000"/>
          <w:sz w:val="24"/>
        </w:rPr>
        <w:t>CTO21 EXCHANGE LLC</w:t>
      </w:r>
      <w:r>
        <w:rPr>
          <w:rFonts w:ascii="Times New Roman;Times;serif" w:hAnsi="Times New Roman;Times;serif"/>
          <w:color w:val="FF0000"/>
          <w:sz w:val="24"/>
        </w:rPr>
        <w:t xml:space="preserve"> </w:t>
      </w:r>
      <w:r>
        <w:rPr>
          <w:rFonts w:ascii="Times" w:hAnsi="Times"/>
          <w:b/>
          <w:color w:val="FF0000"/>
          <w:sz w:val="24"/>
        </w:rPr>
        <w:t>(limited liability company)</w:t>
      </w:r>
      <w:bookmarkStart w:id="3073" w:name="_cp_change_1141"/>
      <w:bookmarkEnd w:id="3073"/>
    </w:p>
    <w:p>
      <w:pPr>
        <w:pStyle w:val="TextBody"/>
        <w:bidi w:val="0"/>
        <w:spacing w:lineRule="atLeast" w:line="280" w:before="0" w:after="0"/>
        <w:ind w:left="0" w:right="0" w:hanging="0"/>
        <w:jc w:val="left"/>
        <w:rPr>
          <w:rFonts w:ascii="Times" w:hAnsi="Times"/>
          <w:color w:val="FF0000"/>
          <w:sz w:val="24"/>
        </w:rPr>
      </w:pPr>
      <w:bookmarkStart w:id="3074" w:name="_cp_change_1144"/>
      <w:bookmarkEnd w:id="3074"/>
      <w:r>
        <w:rPr>
          <w:rFonts w:ascii="Times" w:hAnsi="Times"/>
          <w:color w:val="FF0000"/>
          <w:sz w:val="24"/>
        </w:rPr>
        <w:t>Date of Formation:December 14, 2021</w:t>
      </w:r>
      <w:bookmarkStart w:id="3075" w:name="_cp_change_1143"/>
      <w:bookmarkEnd w:id="3075"/>
    </w:p>
    <w:p>
      <w:pPr>
        <w:pStyle w:val="TextBody"/>
        <w:bidi w:val="0"/>
        <w:spacing w:lineRule="atLeast" w:line="280" w:before="0" w:after="0"/>
        <w:ind w:left="0" w:right="0" w:hanging="0"/>
        <w:jc w:val="left"/>
        <w:rPr>
          <w:rFonts w:ascii="Times" w:hAnsi="Times"/>
          <w:color w:val="FF0000"/>
          <w:sz w:val="24"/>
        </w:rPr>
      </w:pPr>
      <w:bookmarkStart w:id="3076" w:name="_cp_change_1146"/>
      <w:bookmarkEnd w:id="3076"/>
      <w:r>
        <w:rPr>
          <w:rFonts w:ascii="Times" w:hAnsi="Times"/>
          <w:color w:val="FF0000"/>
          <w:sz w:val="24"/>
        </w:rPr>
        <w:t>State of Formation:Delaware</w:t>
      </w:r>
      <w:bookmarkStart w:id="3077" w:name="_cp_change_1145"/>
      <w:bookmarkEnd w:id="3077"/>
    </w:p>
    <w:p>
      <w:pPr>
        <w:pStyle w:val="TextBody"/>
        <w:bidi w:val="0"/>
        <w:spacing w:lineRule="atLeast" w:line="280" w:before="0" w:after="0"/>
        <w:ind w:left="0" w:right="0" w:hanging="0"/>
        <w:jc w:val="left"/>
        <w:rPr>
          <w:rFonts w:ascii="Times New Roman;Times;serif" w:hAnsi="Times New Roman;Times;serif"/>
          <w:sz w:val="24"/>
        </w:rPr>
      </w:pPr>
      <w:bookmarkStart w:id="3078" w:name="_cp_change_1148"/>
      <w:bookmarkEnd w:id="3078"/>
      <w:r>
        <w:rPr>
          <w:rFonts w:ascii="Times" w:hAnsi="Times"/>
          <w:b w:val="false"/>
          <w:i w:val="false"/>
          <w:caps w:val="false"/>
          <w:smallCaps w:val="false"/>
          <w:color w:val="FF0000"/>
          <w:sz w:val="24"/>
        </w:rPr>
        <w:t>Member:</w:t>
      </w:r>
      <w:r>
        <w:rPr>
          <w:rFonts w:ascii="Times" w:hAnsi="Times"/>
          <w:color w:val="FF0000"/>
          <w:sz w:val="24"/>
        </w:rPr>
        <w:t>CTO Realty Growth, Inc., 100%</w:t>
      </w:r>
      <w:bookmarkStart w:id="3079" w:name="_cp_change_1147"/>
      <w:bookmarkEnd w:id="3079"/>
    </w:p>
    <w:p>
      <w:pPr>
        <w:pStyle w:val="TextBody"/>
        <w:bidi w:val="0"/>
        <w:spacing w:lineRule="atLeast" w:line="280" w:before="0" w:after="0"/>
        <w:ind w:left="0" w:right="0" w:hanging="0"/>
        <w:jc w:val="left"/>
        <w:rPr>
          <w:rFonts w:ascii="Times New Roman;Times;serif" w:hAnsi="Times New Roman;Times;serif"/>
          <w:sz w:val="24"/>
        </w:rPr>
      </w:pPr>
      <w:bookmarkStart w:id="3080" w:name="_cp_change_1150"/>
      <w:bookmarkEnd w:id="3080"/>
      <w:r>
        <w:rPr>
          <w:rFonts w:ascii="Times" w:hAnsi="Times"/>
          <w:b/>
          <w:color w:val="FF0000"/>
          <w:sz w:val="24"/>
        </w:rPr>
        <w:t>CTO21 SANTA FE LLC</w:t>
      </w:r>
      <w:r>
        <w:rPr>
          <w:rFonts w:ascii="Times New Roman;Times;serif" w:hAnsi="Times New Roman;Times;serif"/>
          <w:color w:val="FF0000"/>
          <w:sz w:val="24"/>
        </w:rPr>
        <w:t xml:space="preserve"> </w:t>
      </w:r>
      <w:r>
        <w:rPr>
          <w:rFonts w:ascii="Times" w:hAnsi="Times"/>
          <w:b/>
          <w:color w:val="FF0000"/>
          <w:sz w:val="24"/>
        </w:rPr>
        <w:t>(limited liability company)</w:t>
      </w:r>
      <w:bookmarkStart w:id="3081" w:name="_cp_change_1149"/>
      <w:bookmarkEnd w:id="3081"/>
    </w:p>
    <w:p>
      <w:pPr>
        <w:pStyle w:val="TextBody"/>
        <w:bidi w:val="0"/>
        <w:spacing w:lineRule="atLeast" w:line="280" w:before="0" w:after="0"/>
        <w:ind w:left="0" w:right="0" w:hanging="0"/>
        <w:jc w:val="left"/>
        <w:rPr>
          <w:rFonts w:ascii="Times" w:hAnsi="Times"/>
          <w:color w:val="FF0000"/>
          <w:sz w:val="24"/>
        </w:rPr>
      </w:pPr>
      <w:bookmarkStart w:id="3082" w:name="_cp_change_1152"/>
      <w:bookmarkEnd w:id="3082"/>
      <w:r>
        <w:rPr>
          <w:rFonts w:ascii="Times" w:hAnsi="Times"/>
          <w:color w:val="FF0000"/>
          <w:sz w:val="24"/>
        </w:rPr>
        <w:t>Date of Formation:November 19, 2021</w:t>
      </w:r>
      <w:bookmarkStart w:id="3083" w:name="_cp_change_1151"/>
      <w:bookmarkEnd w:id="3083"/>
    </w:p>
    <w:p>
      <w:pPr>
        <w:pStyle w:val="TextBody"/>
        <w:bidi w:val="0"/>
        <w:spacing w:lineRule="atLeast" w:line="280" w:before="0" w:after="0"/>
        <w:ind w:left="0" w:right="0" w:hanging="0"/>
        <w:jc w:val="left"/>
        <w:rPr>
          <w:rFonts w:ascii="Times" w:hAnsi="Times"/>
          <w:color w:val="FF0000"/>
          <w:sz w:val="24"/>
        </w:rPr>
      </w:pPr>
      <w:bookmarkStart w:id="3084" w:name="_cp_change_1154"/>
      <w:bookmarkEnd w:id="3084"/>
      <w:r>
        <w:rPr>
          <w:rFonts w:ascii="Times" w:hAnsi="Times"/>
          <w:color w:val="FF0000"/>
          <w:sz w:val="24"/>
        </w:rPr>
        <w:t>State of Formation:Delaware</w:t>
      </w:r>
      <w:bookmarkStart w:id="3085" w:name="_cp_change_1153"/>
      <w:bookmarkEnd w:id="3085"/>
    </w:p>
    <w:p>
      <w:pPr>
        <w:pStyle w:val="TextBody"/>
        <w:bidi w:val="0"/>
        <w:spacing w:lineRule="atLeast" w:line="280" w:before="0" w:after="0"/>
        <w:ind w:left="0" w:right="0" w:hanging="0"/>
        <w:jc w:val="left"/>
        <w:rPr>
          <w:rFonts w:ascii="Times New Roman;Times;serif" w:hAnsi="Times New Roman;Times;serif"/>
          <w:sz w:val="24"/>
        </w:rPr>
      </w:pPr>
      <w:bookmarkStart w:id="3086" w:name="_cp_change_1156"/>
      <w:bookmarkEnd w:id="3086"/>
      <w:r>
        <w:rPr>
          <w:rFonts w:ascii="Times" w:hAnsi="Times"/>
          <w:b w:val="false"/>
          <w:i w:val="false"/>
          <w:caps w:val="false"/>
          <w:smallCaps w:val="false"/>
          <w:color w:val="FF0000"/>
          <w:sz w:val="24"/>
        </w:rPr>
        <w:t>Member:</w:t>
      </w:r>
      <w:r>
        <w:rPr>
          <w:rFonts w:ascii="Times" w:hAnsi="Times"/>
          <w:color w:val="FF0000"/>
          <w:sz w:val="24"/>
        </w:rPr>
        <w:t>CTO Realty Growth, Inc., 100%</w:t>
      </w:r>
      <w:bookmarkStart w:id="3087" w:name="_cp_change_1155"/>
      <w:bookmarkEnd w:id="3087"/>
    </w:p>
    <w:p>
      <w:pPr>
        <w:pStyle w:val="TextBody"/>
        <w:bidi w:val="0"/>
        <w:spacing w:lineRule="atLeast" w:line="280" w:before="0" w:after="0"/>
        <w:ind w:left="0" w:right="0" w:hanging="0"/>
        <w:jc w:val="left"/>
        <w:rPr>
          <w:rFonts w:ascii="Times New Roman;Times;serif" w:hAnsi="Times New Roman;Times;serif"/>
          <w:sz w:val="24"/>
        </w:rPr>
      </w:pPr>
      <w:bookmarkStart w:id="3088" w:name="_cp_change_1158"/>
      <w:bookmarkEnd w:id="3088"/>
      <w:r>
        <w:rPr>
          <w:rFonts w:ascii="Times" w:hAnsi="Times"/>
          <w:b/>
          <w:color w:val="FF0000"/>
          <w:sz w:val="24"/>
        </w:rPr>
        <w:t>CTO21 BUFORD 1 LLC</w:t>
      </w:r>
      <w:r>
        <w:rPr>
          <w:rFonts w:ascii="Times New Roman;Times;serif" w:hAnsi="Times New Roman;Times;serif"/>
          <w:color w:val="FF0000"/>
          <w:sz w:val="24"/>
        </w:rPr>
        <w:t xml:space="preserve"> </w:t>
      </w:r>
      <w:r>
        <w:rPr>
          <w:rFonts w:ascii="Times" w:hAnsi="Times"/>
          <w:b/>
          <w:color w:val="FF0000"/>
          <w:sz w:val="24"/>
        </w:rPr>
        <w:t>(limited liability company)</w:t>
      </w:r>
      <w:bookmarkStart w:id="3089" w:name="_cp_change_1157"/>
      <w:bookmarkEnd w:id="3089"/>
    </w:p>
    <w:p>
      <w:pPr>
        <w:pStyle w:val="TextBody"/>
        <w:bidi w:val="0"/>
        <w:spacing w:lineRule="atLeast" w:line="280" w:before="0" w:after="0"/>
        <w:ind w:left="0" w:right="0" w:hanging="0"/>
        <w:jc w:val="left"/>
        <w:rPr>
          <w:rFonts w:ascii="Times" w:hAnsi="Times"/>
          <w:color w:val="FF0000"/>
          <w:sz w:val="24"/>
        </w:rPr>
      </w:pPr>
      <w:bookmarkStart w:id="3090" w:name="_cp_change_1160"/>
      <w:bookmarkEnd w:id="3090"/>
      <w:r>
        <w:rPr>
          <w:rFonts w:ascii="Times" w:hAnsi="Times"/>
          <w:color w:val="FF0000"/>
          <w:sz w:val="24"/>
        </w:rPr>
        <w:t>Date of Formation:December 9, 2021</w:t>
      </w:r>
      <w:bookmarkStart w:id="3091" w:name="_cp_change_1159"/>
      <w:bookmarkEnd w:id="3091"/>
    </w:p>
    <w:p>
      <w:pPr>
        <w:pStyle w:val="TextBody"/>
        <w:bidi w:val="0"/>
        <w:spacing w:lineRule="atLeast" w:line="280" w:before="0" w:after="0"/>
        <w:ind w:left="0" w:right="0" w:hanging="0"/>
        <w:jc w:val="left"/>
        <w:rPr>
          <w:rFonts w:ascii="Times" w:hAnsi="Times"/>
          <w:color w:val="FF0000"/>
          <w:sz w:val="24"/>
        </w:rPr>
      </w:pPr>
      <w:bookmarkStart w:id="3092" w:name="_cp_change_1162"/>
      <w:bookmarkEnd w:id="3092"/>
      <w:r>
        <w:rPr>
          <w:rFonts w:ascii="Times" w:hAnsi="Times"/>
          <w:color w:val="FF0000"/>
          <w:sz w:val="24"/>
        </w:rPr>
        <w:t>State of Formation:Delaware</w:t>
      </w:r>
      <w:bookmarkStart w:id="3093" w:name="_cp_change_1161"/>
      <w:bookmarkEnd w:id="3093"/>
    </w:p>
    <w:p>
      <w:pPr>
        <w:pStyle w:val="TextBody"/>
        <w:bidi w:val="0"/>
        <w:spacing w:lineRule="atLeast" w:line="280" w:before="0" w:after="0"/>
        <w:ind w:left="0" w:right="0" w:hanging="0"/>
        <w:jc w:val="left"/>
        <w:rPr>
          <w:rFonts w:ascii="Times New Roman;Times;serif" w:hAnsi="Times New Roman;Times;serif"/>
          <w:sz w:val="24"/>
        </w:rPr>
      </w:pPr>
      <w:bookmarkStart w:id="3094" w:name="_cp_change_1164"/>
      <w:bookmarkEnd w:id="3094"/>
      <w:r>
        <w:rPr>
          <w:rFonts w:ascii="Times" w:hAnsi="Times"/>
          <w:b w:val="false"/>
          <w:i w:val="false"/>
          <w:caps w:val="false"/>
          <w:smallCaps w:val="false"/>
          <w:color w:val="FF0000"/>
          <w:sz w:val="24"/>
        </w:rPr>
        <w:t>Member:</w:t>
      </w:r>
      <w:r>
        <w:rPr>
          <w:rFonts w:ascii="Times" w:hAnsi="Times"/>
          <w:color w:val="FF0000"/>
          <w:sz w:val="24"/>
        </w:rPr>
        <w:t>CTO Realty Growth, Inc., 100%</w:t>
      </w:r>
      <w:bookmarkStart w:id="3095" w:name="_cp_change_1163"/>
      <w:bookmarkEnd w:id="3095"/>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6.2 - 4</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rFonts w:ascii="Times New Roman;Times;serif" w:hAnsi="Times New Roman;Times;serif"/>
          <w:sz w:val="24"/>
        </w:rPr>
      </w:pPr>
      <w:bookmarkStart w:id="3096" w:name="_cp_change_1166"/>
      <w:bookmarkEnd w:id="3096"/>
      <w:r>
        <w:rPr>
          <w:rFonts w:ascii="Times" w:hAnsi="Times"/>
          <w:b/>
          <w:color w:val="FF0000"/>
          <w:sz w:val="24"/>
        </w:rPr>
        <w:t>IGI21 KATY LLC</w:t>
      </w:r>
      <w:r>
        <w:rPr>
          <w:rFonts w:ascii="Times New Roman;Times;serif" w:hAnsi="Times New Roman;Times;serif"/>
          <w:color w:val="FF0000"/>
          <w:sz w:val="24"/>
        </w:rPr>
        <w:t xml:space="preserve"> </w:t>
      </w:r>
      <w:r>
        <w:rPr>
          <w:rFonts w:ascii="Times" w:hAnsi="Times"/>
          <w:b/>
          <w:color w:val="FF0000"/>
          <w:sz w:val="24"/>
        </w:rPr>
        <w:t>(limited liability company)</w:t>
      </w:r>
      <w:bookmarkStart w:id="3097" w:name="_cp_change_1165"/>
      <w:bookmarkEnd w:id="3097"/>
      <w:r>
        <mc:AlternateContent>
          <mc:Choice Requires="wps">
            <w:drawing>
              <wp:anchor behindDoc="0" distT="0" distB="0" distL="0" distR="0" simplePos="0" locked="0" layoutInCell="1" allowOverlap="1" relativeHeight="709">
                <wp:simplePos x="0" y="0"/>
                <wp:positionH relativeFrom="column">
                  <wp:align>left</wp:align>
                </wp:positionH>
                <wp:positionV relativeFrom="line">
                  <wp:posOffset>635</wp:posOffset>
                </wp:positionV>
                <wp:extent cx="5943600" cy="175260"/>
                <wp:effectExtent l="0" t="0" r="0" b="0"/>
                <wp:wrapSquare wrapText="right"/>
                <wp:docPr id="708" name="Frame708"/>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0"/>
                              <w:ind w:left="0" w:right="0" w:hanging="0"/>
                              <w:jc w:val="right"/>
                              <w:rPr/>
                            </w:pPr>
                            <w:r>
                              <w:rPr/>
                              <w:t>​</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right"/>
                        <w:rPr/>
                      </w:pPr>
                      <w:r>
                        <w:rPr/>
                        <w:t>​</w:t>
                      </w:r>
                    </w:p>
                  </w:txbxContent>
                </v:textbox>
                <w10:wrap type="square" side="right"/>
              </v:rect>
            </w:pict>
          </mc:Fallback>
        </mc:AlternateContent>
      </w:r>
    </w:p>
    <w:p>
      <w:pPr>
        <w:pStyle w:val="TextBody"/>
        <w:bidi w:val="0"/>
        <w:spacing w:lineRule="atLeast" w:line="280" w:before="0" w:after="0"/>
        <w:ind w:left="0" w:right="0" w:hanging="0"/>
        <w:jc w:val="left"/>
        <w:rPr>
          <w:rFonts w:ascii="Times" w:hAnsi="Times"/>
          <w:color w:val="FF0000"/>
          <w:sz w:val="24"/>
        </w:rPr>
      </w:pPr>
      <w:bookmarkStart w:id="3098" w:name="_cp_change_1168"/>
      <w:bookmarkEnd w:id="3098"/>
      <w:r>
        <w:rPr>
          <w:rFonts w:ascii="Times" w:hAnsi="Times"/>
          <w:color w:val="FF0000"/>
          <w:sz w:val="24"/>
        </w:rPr>
        <w:t>Date of Formation:December 14, 2021</w:t>
      </w:r>
      <w:bookmarkStart w:id="3099" w:name="_cp_change_1167"/>
      <w:bookmarkEnd w:id="3099"/>
    </w:p>
    <w:p>
      <w:pPr>
        <w:pStyle w:val="TextBody"/>
        <w:bidi w:val="0"/>
        <w:spacing w:lineRule="atLeast" w:line="280" w:before="0" w:after="0"/>
        <w:ind w:left="0" w:right="0" w:hanging="0"/>
        <w:jc w:val="left"/>
        <w:rPr>
          <w:rFonts w:ascii="Times" w:hAnsi="Times"/>
          <w:color w:val="FF0000"/>
          <w:sz w:val="24"/>
        </w:rPr>
      </w:pPr>
      <w:bookmarkStart w:id="3100" w:name="_cp_change_1170"/>
      <w:bookmarkEnd w:id="3100"/>
      <w:r>
        <w:rPr>
          <w:rFonts w:ascii="Times" w:hAnsi="Times"/>
          <w:color w:val="FF0000"/>
          <w:sz w:val="24"/>
        </w:rPr>
        <w:t>State of Formation:Delaware</w:t>
      </w:r>
      <w:bookmarkStart w:id="3101" w:name="_cp_change_1169"/>
      <w:bookmarkEnd w:id="3101"/>
    </w:p>
    <w:p>
      <w:pPr>
        <w:pStyle w:val="TextBody"/>
        <w:bidi w:val="0"/>
        <w:spacing w:lineRule="atLeast" w:line="280" w:before="0" w:after="0"/>
        <w:ind w:left="0" w:right="0" w:hanging="0"/>
        <w:jc w:val="left"/>
        <w:rPr>
          <w:rFonts w:ascii="Times New Roman;Times;serif" w:hAnsi="Times New Roman;Times;serif"/>
          <w:sz w:val="24"/>
        </w:rPr>
      </w:pPr>
      <w:bookmarkStart w:id="3102" w:name="_cp_change_1172"/>
      <w:bookmarkEnd w:id="3102"/>
      <w:r>
        <w:rPr>
          <w:rFonts w:ascii="Times" w:hAnsi="Times"/>
          <w:b w:val="false"/>
          <w:i w:val="false"/>
          <w:caps w:val="false"/>
          <w:smallCaps w:val="false"/>
          <w:color w:val="FF0000"/>
          <w:sz w:val="24"/>
        </w:rPr>
        <w:t>Member:</w:t>
      </w:r>
      <w:r>
        <w:rPr>
          <w:rFonts w:ascii="Times" w:hAnsi="Times"/>
          <w:color w:val="FF0000"/>
          <w:sz w:val="24"/>
        </w:rPr>
        <w:t>Indigo Group Inc., 100%</w:t>
      </w:r>
      <w:bookmarkStart w:id="3103" w:name="_cp_change_1171"/>
      <w:bookmarkEnd w:id="3103"/>
    </w:p>
    <w:p>
      <w:pPr>
        <w:pStyle w:val="TextBody"/>
        <w:bidi w:val="0"/>
        <w:spacing w:lineRule="atLeast" w:line="280" w:before="0" w:after="0"/>
        <w:ind w:left="0" w:right="0" w:hanging="0"/>
        <w:jc w:val="left"/>
        <w:rPr>
          <w:rFonts w:ascii="Times New Roman;Times;serif" w:hAnsi="Times New Roman;Times;serif"/>
          <w:sz w:val="24"/>
        </w:rPr>
      </w:pPr>
      <w:bookmarkStart w:id="3104" w:name="_cp_change_1174"/>
      <w:bookmarkEnd w:id="3104"/>
      <w:r>
        <w:rPr>
          <w:rFonts w:ascii="Times" w:hAnsi="Times"/>
          <w:b/>
          <w:color w:val="FF0000"/>
          <w:sz w:val="24"/>
        </w:rPr>
        <w:t>CTO22 WATERSTAR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05" w:name="_cp_change_1173"/>
      <w:bookmarkEnd w:id="3105"/>
    </w:p>
    <w:p>
      <w:pPr>
        <w:pStyle w:val="TextBody"/>
        <w:bidi w:val="0"/>
        <w:spacing w:lineRule="atLeast" w:line="280" w:before="0" w:after="0"/>
        <w:ind w:left="0" w:right="0" w:hanging="0"/>
        <w:jc w:val="left"/>
        <w:rPr>
          <w:rFonts w:ascii="Times" w:hAnsi="Times"/>
          <w:color w:val="FF0000"/>
          <w:sz w:val="24"/>
        </w:rPr>
      </w:pPr>
      <w:bookmarkStart w:id="3106" w:name="_cp_change_1176"/>
      <w:bookmarkEnd w:id="3106"/>
      <w:r>
        <w:rPr>
          <w:rFonts w:ascii="Times" w:hAnsi="Times"/>
          <w:color w:val="FF0000"/>
          <w:sz w:val="24"/>
        </w:rPr>
        <w:t>Date of Formation:March 9, 2022</w:t>
      </w:r>
      <w:bookmarkStart w:id="3107" w:name="_cp_change_1175"/>
      <w:bookmarkEnd w:id="3107"/>
    </w:p>
    <w:p>
      <w:pPr>
        <w:pStyle w:val="TextBody"/>
        <w:bidi w:val="0"/>
        <w:spacing w:lineRule="atLeast" w:line="280" w:before="0" w:after="0"/>
        <w:ind w:left="0" w:right="0" w:hanging="0"/>
        <w:jc w:val="left"/>
        <w:rPr>
          <w:rFonts w:ascii="Times" w:hAnsi="Times"/>
          <w:color w:val="FF0000"/>
          <w:sz w:val="24"/>
        </w:rPr>
      </w:pPr>
      <w:bookmarkStart w:id="3108" w:name="_cp_change_1178"/>
      <w:bookmarkEnd w:id="3108"/>
      <w:r>
        <w:rPr>
          <w:rFonts w:ascii="Times" w:hAnsi="Times"/>
          <w:color w:val="FF0000"/>
          <w:sz w:val="24"/>
        </w:rPr>
        <w:t>State of Formation:Delaware</w:t>
      </w:r>
      <w:bookmarkStart w:id="3109" w:name="_cp_change_1177"/>
      <w:bookmarkEnd w:id="3109"/>
    </w:p>
    <w:p>
      <w:pPr>
        <w:pStyle w:val="TextBody"/>
        <w:bidi w:val="0"/>
        <w:spacing w:lineRule="atLeast" w:line="280" w:before="0" w:after="0"/>
        <w:ind w:left="0" w:right="0" w:hanging="0"/>
        <w:jc w:val="left"/>
        <w:rPr>
          <w:rFonts w:ascii="Times New Roman;Times;serif" w:hAnsi="Times New Roman;Times;serif"/>
          <w:sz w:val="24"/>
        </w:rPr>
      </w:pPr>
      <w:bookmarkStart w:id="3110" w:name="_cp_change_1180"/>
      <w:bookmarkEnd w:id="3110"/>
      <w:r>
        <w:rPr>
          <w:rFonts w:ascii="Times" w:hAnsi="Times"/>
          <w:b w:val="false"/>
          <w:i w:val="false"/>
          <w:caps w:val="false"/>
          <w:smallCaps w:val="false"/>
          <w:color w:val="FF0000"/>
          <w:sz w:val="24"/>
        </w:rPr>
        <w:t>Member:</w:t>
      </w:r>
      <w:r>
        <w:rPr>
          <w:rFonts w:ascii="Times" w:hAnsi="Times"/>
          <w:color w:val="FF0000"/>
          <w:sz w:val="24"/>
        </w:rPr>
        <w:t>CTO Realty Growth, Inc., 100%</w:t>
      </w:r>
      <w:bookmarkStart w:id="3111" w:name="_cp_change_1179"/>
      <w:bookmarkEnd w:id="3111"/>
    </w:p>
    <w:p>
      <w:pPr>
        <w:pStyle w:val="TextBody"/>
        <w:bidi w:val="0"/>
        <w:spacing w:lineRule="atLeast" w:line="280" w:before="0" w:after="0"/>
        <w:ind w:left="0" w:right="0" w:hanging="0"/>
        <w:jc w:val="left"/>
        <w:rPr>
          <w:rFonts w:ascii="Times New Roman;Times;serif" w:hAnsi="Times New Roman;Times;serif"/>
          <w:sz w:val="24"/>
        </w:rPr>
      </w:pPr>
      <w:bookmarkStart w:id="3112" w:name="_cp_change_1182"/>
      <w:bookmarkEnd w:id="3112"/>
      <w:r>
        <w:rPr>
          <w:rFonts w:ascii="Times" w:hAnsi="Times"/>
          <w:b/>
          <w:color w:val="FF0000"/>
          <w:sz w:val="24"/>
        </w:rPr>
        <w:t>CTO22 WATTERS CREEK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13" w:name="_cp_change_1181"/>
      <w:bookmarkEnd w:id="3113"/>
    </w:p>
    <w:p>
      <w:pPr>
        <w:pStyle w:val="TextBody"/>
        <w:bidi w:val="0"/>
        <w:spacing w:lineRule="atLeast" w:line="280" w:before="0" w:after="0"/>
        <w:ind w:left="0" w:right="0" w:hanging="0"/>
        <w:jc w:val="left"/>
        <w:rPr>
          <w:rFonts w:ascii="Times" w:hAnsi="Times"/>
          <w:color w:val="FF0000"/>
          <w:sz w:val="24"/>
        </w:rPr>
      </w:pPr>
      <w:bookmarkStart w:id="3114" w:name="_cp_change_1184"/>
      <w:bookmarkEnd w:id="3114"/>
      <w:r>
        <w:rPr>
          <w:rFonts w:ascii="Times" w:hAnsi="Times"/>
          <w:color w:val="FF0000"/>
          <w:sz w:val="24"/>
        </w:rPr>
        <w:t>Date of Formation:March 15, 2022</w:t>
      </w:r>
      <w:bookmarkStart w:id="3115" w:name="_cp_change_1183"/>
      <w:bookmarkEnd w:id="3115"/>
    </w:p>
    <w:p>
      <w:pPr>
        <w:pStyle w:val="TextBody"/>
        <w:bidi w:val="0"/>
        <w:spacing w:lineRule="atLeast" w:line="280" w:before="0" w:after="0"/>
        <w:ind w:left="0" w:right="0" w:hanging="0"/>
        <w:jc w:val="left"/>
        <w:rPr>
          <w:rFonts w:ascii="Times" w:hAnsi="Times"/>
          <w:color w:val="FF0000"/>
          <w:sz w:val="24"/>
        </w:rPr>
      </w:pPr>
      <w:bookmarkStart w:id="3116" w:name="_cp_change_1186"/>
      <w:bookmarkEnd w:id="3116"/>
      <w:r>
        <w:rPr>
          <w:rFonts w:ascii="Times" w:hAnsi="Times"/>
          <w:color w:val="FF0000"/>
          <w:sz w:val="24"/>
        </w:rPr>
        <w:t>State of Formation:Delaware</w:t>
      </w:r>
      <w:bookmarkStart w:id="3117" w:name="_cp_change_1185"/>
      <w:bookmarkEnd w:id="3117"/>
    </w:p>
    <w:p>
      <w:pPr>
        <w:pStyle w:val="TextBody"/>
        <w:bidi w:val="0"/>
        <w:spacing w:lineRule="atLeast" w:line="280" w:before="0" w:after="0"/>
        <w:ind w:left="0" w:right="0" w:hanging="0"/>
        <w:jc w:val="left"/>
        <w:rPr>
          <w:rFonts w:ascii="Times New Roman;Times;serif" w:hAnsi="Times New Roman;Times;serif"/>
          <w:sz w:val="24"/>
        </w:rPr>
      </w:pPr>
      <w:bookmarkStart w:id="3118" w:name="_cp_change_1188"/>
      <w:bookmarkEnd w:id="3118"/>
      <w:r>
        <w:rPr>
          <w:rFonts w:ascii="Times" w:hAnsi="Times"/>
          <w:b w:val="false"/>
          <w:i w:val="false"/>
          <w:caps w:val="false"/>
          <w:smallCaps w:val="false"/>
          <w:color w:val="FF0000"/>
          <w:sz w:val="24"/>
        </w:rPr>
        <w:t>Member:</w:t>
      </w:r>
      <w:r>
        <w:rPr>
          <w:rFonts w:ascii="Times" w:hAnsi="Times"/>
          <w:color w:val="FF0000"/>
          <w:sz w:val="24"/>
        </w:rPr>
        <w:t>CTO Realty Growth, Inc., 100%</w:t>
      </w:r>
      <w:bookmarkStart w:id="3119" w:name="_cp_change_1187"/>
      <w:bookmarkEnd w:id="3119"/>
    </w:p>
    <w:p>
      <w:pPr>
        <w:pStyle w:val="TextBody"/>
        <w:bidi w:val="0"/>
        <w:spacing w:lineRule="atLeast" w:line="280" w:before="0" w:after="0"/>
        <w:ind w:left="0" w:right="0" w:hanging="0"/>
        <w:jc w:val="left"/>
        <w:rPr>
          <w:rFonts w:ascii="Times New Roman;Times;serif" w:hAnsi="Times New Roman;Times;serif"/>
          <w:sz w:val="24"/>
        </w:rPr>
      </w:pPr>
      <w:bookmarkStart w:id="3120" w:name="_cp_change_1190"/>
      <w:bookmarkEnd w:id="3120"/>
      <w:r>
        <w:rPr>
          <w:rFonts w:ascii="Times" w:hAnsi="Times"/>
          <w:b/>
          <w:color w:val="FF0000"/>
          <w:sz w:val="24"/>
        </w:rPr>
        <w:t>CTO22 SHORT PUMP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21" w:name="_cp_change_1189"/>
      <w:bookmarkEnd w:id="3121"/>
    </w:p>
    <w:p>
      <w:pPr>
        <w:pStyle w:val="TextBody"/>
        <w:bidi w:val="0"/>
        <w:spacing w:lineRule="atLeast" w:line="280" w:before="0" w:after="0"/>
        <w:ind w:left="0" w:right="0" w:hanging="0"/>
        <w:jc w:val="left"/>
        <w:rPr>
          <w:rFonts w:ascii="Times" w:hAnsi="Times"/>
          <w:color w:val="FF0000"/>
          <w:sz w:val="24"/>
        </w:rPr>
      </w:pPr>
      <w:bookmarkStart w:id="3122" w:name="_cp_change_1192"/>
      <w:bookmarkEnd w:id="3122"/>
      <w:r>
        <w:rPr>
          <w:rFonts w:ascii="Times" w:hAnsi="Times"/>
          <w:color w:val="FF0000"/>
          <w:sz w:val="24"/>
        </w:rPr>
        <w:t>Date of Formation:August 15, 2022</w:t>
      </w:r>
      <w:bookmarkStart w:id="3123" w:name="_cp_change_1191"/>
      <w:bookmarkEnd w:id="3123"/>
    </w:p>
    <w:p>
      <w:pPr>
        <w:pStyle w:val="TextBody"/>
        <w:bidi w:val="0"/>
        <w:spacing w:lineRule="atLeast" w:line="280" w:before="0" w:after="0"/>
        <w:ind w:left="0" w:right="0" w:hanging="0"/>
        <w:jc w:val="left"/>
        <w:rPr>
          <w:rFonts w:ascii="Times" w:hAnsi="Times"/>
          <w:color w:val="FF0000"/>
          <w:sz w:val="24"/>
        </w:rPr>
      </w:pPr>
      <w:bookmarkStart w:id="3124" w:name="_cp_change_1194"/>
      <w:bookmarkEnd w:id="3124"/>
      <w:r>
        <w:rPr>
          <w:rFonts w:ascii="Times" w:hAnsi="Times"/>
          <w:color w:val="FF0000"/>
          <w:sz w:val="24"/>
        </w:rPr>
        <w:t>State of Formation:Delaware</w:t>
      </w:r>
      <w:bookmarkStart w:id="3125" w:name="_cp_change_1193"/>
      <w:bookmarkEnd w:id="3125"/>
    </w:p>
    <w:p>
      <w:pPr>
        <w:pStyle w:val="TextBody"/>
        <w:bidi w:val="0"/>
        <w:spacing w:lineRule="atLeast" w:line="280" w:before="0" w:after="0"/>
        <w:ind w:left="0" w:right="0" w:hanging="0"/>
        <w:jc w:val="left"/>
        <w:rPr>
          <w:rFonts w:ascii="Times New Roman;Times;serif" w:hAnsi="Times New Roman;Times;serif"/>
          <w:sz w:val="24"/>
        </w:rPr>
      </w:pPr>
      <w:bookmarkStart w:id="3126" w:name="_cp_change_1196"/>
      <w:bookmarkEnd w:id="3126"/>
      <w:r>
        <w:rPr>
          <w:rFonts w:ascii="Times" w:hAnsi="Times"/>
          <w:b w:val="false"/>
          <w:i w:val="false"/>
          <w:caps w:val="false"/>
          <w:smallCaps w:val="false"/>
          <w:color w:val="FF0000"/>
          <w:sz w:val="24"/>
        </w:rPr>
        <w:t>Member:</w:t>
      </w:r>
      <w:r>
        <w:rPr>
          <w:rFonts w:ascii="Times" w:hAnsi="Times"/>
          <w:color w:val="FF0000"/>
          <w:sz w:val="24"/>
        </w:rPr>
        <w:t>CTO Realty Growth, Inc., 100%</w:t>
      </w:r>
      <w:bookmarkStart w:id="3127" w:name="_cp_change_1195"/>
      <w:bookmarkEnd w:id="3127"/>
    </w:p>
    <w:p>
      <w:pPr>
        <w:pStyle w:val="TextBody"/>
        <w:bidi w:val="0"/>
        <w:spacing w:lineRule="atLeast" w:line="280" w:before="0" w:after="0"/>
        <w:ind w:left="0" w:right="0" w:hanging="0"/>
        <w:jc w:val="left"/>
        <w:rPr>
          <w:rFonts w:ascii="Times New Roman;Times;serif" w:hAnsi="Times New Roman;Times;serif"/>
          <w:sz w:val="24"/>
        </w:rPr>
      </w:pPr>
      <w:bookmarkStart w:id="3128" w:name="_cp_change_1198"/>
      <w:bookmarkEnd w:id="3128"/>
      <w:r>
        <w:rPr>
          <w:rFonts w:ascii="Times" w:hAnsi="Times"/>
          <w:b/>
          <w:color w:val="FF0000"/>
          <w:sz w:val="24"/>
        </w:rPr>
        <w:t>CTO22 MADISON YARDS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29" w:name="_cp_change_1197"/>
      <w:bookmarkEnd w:id="3129"/>
    </w:p>
    <w:p>
      <w:pPr>
        <w:pStyle w:val="TextBody"/>
        <w:bidi w:val="0"/>
        <w:spacing w:lineRule="atLeast" w:line="280" w:before="0" w:after="0"/>
        <w:ind w:left="0" w:right="0" w:hanging="0"/>
        <w:jc w:val="left"/>
        <w:rPr>
          <w:rFonts w:ascii="Times" w:hAnsi="Times"/>
          <w:color w:val="FF0000"/>
          <w:sz w:val="24"/>
        </w:rPr>
      </w:pPr>
      <w:bookmarkStart w:id="3130" w:name="_cp_change_1200"/>
      <w:bookmarkEnd w:id="3130"/>
      <w:r>
        <w:rPr>
          <w:rFonts w:ascii="Times" w:hAnsi="Times"/>
          <w:color w:val="FF0000"/>
          <w:sz w:val="24"/>
        </w:rPr>
        <w:t>Date of Formation:June 14, 2022</w:t>
      </w:r>
      <w:bookmarkStart w:id="3131" w:name="_cp_change_1199"/>
      <w:bookmarkEnd w:id="3131"/>
    </w:p>
    <w:p>
      <w:pPr>
        <w:pStyle w:val="TextBody"/>
        <w:bidi w:val="0"/>
        <w:spacing w:lineRule="atLeast" w:line="280" w:before="0" w:after="0"/>
        <w:ind w:left="0" w:right="0" w:hanging="0"/>
        <w:jc w:val="left"/>
        <w:rPr>
          <w:rFonts w:ascii="Times" w:hAnsi="Times"/>
          <w:color w:val="FF0000"/>
          <w:sz w:val="24"/>
        </w:rPr>
      </w:pPr>
      <w:bookmarkStart w:id="3132" w:name="_cp_change_1202"/>
      <w:bookmarkEnd w:id="3132"/>
      <w:r>
        <w:rPr>
          <w:rFonts w:ascii="Times" w:hAnsi="Times"/>
          <w:color w:val="FF0000"/>
          <w:sz w:val="24"/>
        </w:rPr>
        <w:t>State of Formation:Delaware</w:t>
      </w:r>
      <w:bookmarkStart w:id="3133" w:name="_cp_change_1201"/>
      <w:bookmarkEnd w:id="3133"/>
    </w:p>
    <w:p>
      <w:pPr>
        <w:pStyle w:val="TextBody"/>
        <w:bidi w:val="0"/>
        <w:spacing w:lineRule="atLeast" w:line="280" w:before="0" w:after="0"/>
        <w:ind w:left="0" w:right="0" w:hanging="0"/>
        <w:jc w:val="left"/>
        <w:rPr>
          <w:rFonts w:ascii="Times New Roman;Times;serif" w:hAnsi="Times New Roman;Times;serif"/>
          <w:sz w:val="24"/>
        </w:rPr>
      </w:pPr>
      <w:bookmarkStart w:id="3134" w:name="_cp_change_1204"/>
      <w:bookmarkEnd w:id="3134"/>
      <w:r>
        <w:rPr>
          <w:rFonts w:ascii="Times" w:hAnsi="Times"/>
          <w:b w:val="false"/>
          <w:i w:val="false"/>
          <w:caps w:val="false"/>
          <w:smallCaps w:val="false"/>
          <w:color w:val="FF0000"/>
          <w:sz w:val="24"/>
        </w:rPr>
        <w:t>Member:</w:t>
      </w:r>
      <w:r>
        <w:rPr>
          <w:rFonts w:ascii="Times" w:hAnsi="Times"/>
          <w:color w:val="FF0000"/>
          <w:sz w:val="24"/>
        </w:rPr>
        <w:t>CTO Realty Growth, Inc., 100%</w:t>
      </w:r>
      <w:bookmarkStart w:id="3135" w:name="_cp_change_1203"/>
      <w:bookmarkEnd w:id="3135"/>
    </w:p>
    <w:p>
      <w:pPr>
        <w:pStyle w:val="TextBody"/>
        <w:bidi w:val="0"/>
        <w:spacing w:lineRule="atLeast" w:line="280" w:before="0" w:after="0"/>
        <w:ind w:left="0" w:right="0" w:hanging="0"/>
        <w:jc w:val="left"/>
        <w:rPr>
          <w:rFonts w:ascii="Times New Roman;Times;serif" w:hAnsi="Times New Roman;Times;serif"/>
          <w:sz w:val="24"/>
        </w:rPr>
      </w:pPr>
      <w:bookmarkStart w:id="3136" w:name="_cp_change_1206"/>
      <w:bookmarkEnd w:id="3136"/>
      <w:r>
        <w:rPr>
          <w:rFonts w:ascii="Times" w:hAnsi="Times"/>
          <w:b/>
          <w:color w:val="FF0000"/>
          <w:sz w:val="24"/>
        </w:rPr>
        <w:t>CTO21 WINTER PARK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37" w:name="_cp_change_1205"/>
      <w:bookmarkEnd w:id="3137"/>
    </w:p>
    <w:p>
      <w:pPr>
        <w:pStyle w:val="TextBody"/>
        <w:bidi w:val="0"/>
        <w:spacing w:lineRule="atLeast" w:line="280" w:before="0" w:after="0"/>
        <w:ind w:left="0" w:right="0" w:hanging="0"/>
        <w:jc w:val="left"/>
        <w:rPr>
          <w:rFonts w:ascii="Times" w:hAnsi="Times"/>
          <w:color w:val="FF0000"/>
          <w:sz w:val="24"/>
        </w:rPr>
      </w:pPr>
      <w:bookmarkStart w:id="3138" w:name="_cp_change_1208"/>
      <w:bookmarkEnd w:id="3138"/>
      <w:r>
        <w:rPr>
          <w:rFonts w:ascii="Times" w:hAnsi="Times"/>
          <w:color w:val="FF0000"/>
          <w:sz w:val="24"/>
        </w:rPr>
        <w:t>Date of Formation:November 29, 2021</w:t>
      </w:r>
      <w:bookmarkStart w:id="3139" w:name="_cp_change_1207"/>
      <w:bookmarkEnd w:id="3139"/>
    </w:p>
    <w:p>
      <w:pPr>
        <w:pStyle w:val="TextBody"/>
        <w:bidi w:val="0"/>
        <w:spacing w:lineRule="atLeast" w:line="280" w:before="0" w:after="0"/>
        <w:ind w:left="0" w:right="0" w:hanging="0"/>
        <w:jc w:val="left"/>
        <w:rPr>
          <w:rFonts w:ascii="Times" w:hAnsi="Times"/>
          <w:color w:val="FF0000"/>
          <w:sz w:val="24"/>
        </w:rPr>
      </w:pPr>
      <w:bookmarkStart w:id="3140" w:name="_cp_change_1210"/>
      <w:bookmarkEnd w:id="3140"/>
      <w:r>
        <w:rPr>
          <w:rFonts w:ascii="Times" w:hAnsi="Times"/>
          <w:color w:val="FF0000"/>
          <w:sz w:val="24"/>
        </w:rPr>
        <w:t>State of Formation:Delaware</w:t>
      </w:r>
      <w:bookmarkStart w:id="3141" w:name="_cp_change_1209"/>
      <w:bookmarkEnd w:id="3141"/>
    </w:p>
    <w:p>
      <w:pPr>
        <w:pStyle w:val="TextBody"/>
        <w:bidi w:val="0"/>
        <w:spacing w:lineRule="atLeast" w:line="280" w:before="0" w:after="0"/>
        <w:ind w:left="0" w:right="0" w:hanging="0"/>
        <w:jc w:val="left"/>
        <w:rPr>
          <w:rFonts w:ascii="Times New Roman;Times;serif" w:hAnsi="Times New Roman;Times;serif"/>
          <w:sz w:val="24"/>
        </w:rPr>
      </w:pPr>
      <w:bookmarkStart w:id="3142" w:name="_cp_change_1212"/>
      <w:bookmarkEnd w:id="3142"/>
      <w:r>
        <w:rPr>
          <w:rFonts w:ascii="Times" w:hAnsi="Times"/>
          <w:b w:val="false"/>
          <w:i w:val="false"/>
          <w:caps w:val="false"/>
          <w:smallCaps w:val="false"/>
          <w:color w:val="FF0000"/>
          <w:sz w:val="24"/>
        </w:rPr>
        <w:t>Member:</w:t>
      </w:r>
      <w:r>
        <w:rPr>
          <w:rFonts w:ascii="Times" w:hAnsi="Times"/>
          <w:color w:val="FF0000"/>
          <w:sz w:val="24"/>
        </w:rPr>
        <w:t>CTO Realty Growth, Inc., 100%</w:t>
      </w:r>
      <w:bookmarkStart w:id="3143" w:name="_cp_change_1211"/>
      <w:bookmarkEnd w:id="3143"/>
    </w:p>
    <w:p>
      <w:pPr>
        <w:pStyle w:val="TextBody"/>
        <w:bidi w:val="0"/>
        <w:spacing w:lineRule="atLeast" w:line="280" w:before="0" w:after="0"/>
        <w:ind w:left="0" w:right="0" w:hanging="0"/>
        <w:jc w:val="left"/>
        <w:rPr>
          <w:rFonts w:ascii="Times New Roman;Times;serif" w:hAnsi="Times New Roman;Times;serif"/>
          <w:sz w:val="24"/>
        </w:rPr>
      </w:pPr>
      <w:bookmarkStart w:id="3144" w:name="_cp_change_1214"/>
      <w:bookmarkEnd w:id="3144"/>
      <w:r>
        <w:rPr>
          <w:rFonts w:ascii="Times" w:hAnsi="Times"/>
          <w:b/>
          <w:color w:val="FF0000"/>
          <w:sz w:val="24"/>
        </w:rPr>
        <w:t>CTO21 Carolina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45" w:name="_cp_change_1213"/>
      <w:bookmarkEnd w:id="3145"/>
    </w:p>
    <w:p>
      <w:pPr>
        <w:pStyle w:val="TextBody"/>
        <w:bidi w:val="0"/>
        <w:spacing w:lineRule="atLeast" w:line="280" w:before="0" w:after="0"/>
        <w:ind w:left="0" w:right="0" w:hanging="0"/>
        <w:jc w:val="left"/>
        <w:rPr>
          <w:rFonts w:ascii="Times" w:hAnsi="Times"/>
          <w:color w:val="FF0000"/>
          <w:sz w:val="24"/>
        </w:rPr>
      </w:pPr>
      <w:bookmarkStart w:id="3146" w:name="_cp_change_1216"/>
      <w:bookmarkEnd w:id="3146"/>
      <w:r>
        <w:rPr>
          <w:rFonts w:ascii="Times" w:hAnsi="Times"/>
          <w:color w:val="FF0000"/>
          <w:sz w:val="24"/>
        </w:rPr>
        <w:t>Date of Formation:July 16, 2024</w:t>
      </w:r>
      <w:bookmarkStart w:id="3147" w:name="_cp_change_1215"/>
      <w:bookmarkEnd w:id="3147"/>
    </w:p>
    <w:p>
      <w:pPr>
        <w:pStyle w:val="TextBody"/>
        <w:bidi w:val="0"/>
        <w:spacing w:lineRule="atLeast" w:line="280" w:before="0" w:after="0"/>
        <w:ind w:left="0" w:right="0" w:hanging="0"/>
        <w:jc w:val="left"/>
        <w:rPr>
          <w:rFonts w:ascii="Times" w:hAnsi="Times"/>
          <w:color w:val="FF0000"/>
          <w:sz w:val="24"/>
        </w:rPr>
      </w:pPr>
      <w:bookmarkStart w:id="3148" w:name="_cp_change_1218"/>
      <w:bookmarkEnd w:id="3148"/>
      <w:r>
        <w:rPr>
          <w:rFonts w:ascii="Times" w:hAnsi="Times"/>
          <w:color w:val="FF0000"/>
          <w:sz w:val="24"/>
        </w:rPr>
        <w:t>State of Formation:Delaware</w:t>
      </w:r>
      <w:bookmarkStart w:id="3149" w:name="_cp_change_1217"/>
      <w:bookmarkEnd w:id="3149"/>
    </w:p>
    <w:p>
      <w:pPr>
        <w:pStyle w:val="TextBody"/>
        <w:bidi w:val="0"/>
        <w:spacing w:lineRule="atLeast" w:line="280" w:before="0" w:after="0"/>
        <w:ind w:left="0" w:right="0" w:hanging="0"/>
        <w:jc w:val="left"/>
        <w:rPr>
          <w:rFonts w:ascii="Times New Roman;Times;serif" w:hAnsi="Times New Roman;Times;serif"/>
          <w:sz w:val="24"/>
        </w:rPr>
      </w:pPr>
      <w:bookmarkStart w:id="3150" w:name="_cp_change_1220"/>
      <w:bookmarkEnd w:id="3150"/>
      <w:r>
        <w:rPr>
          <w:rFonts w:ascii="Times" w:hAnsi="Times"/>
          <w:b w:val="false"/>
          <w:i w:val="false"/>
          <w:caps w:val="false"/>
          <w:smallCaps w:val="false"/>
          <w:color w:val="FF0000"/>
          <w:sz w:val="24"/>
        </w:rPr>
        <w:t xml:space="preserve">Member: </w:t>
      </w:r>
      <w:r>
        <w:rPr>
          <w:rFonts w:ascii="Times" w:hAnsi="Times"/>
          <w:color w:val="FF0000"/>
          <w:sz w:val="24"/>
        </w:rPr>
        <w:t>CTO Realty Growth, Inc., 100%</w:t>
      </w:r>
      <w:bookmarkStart w:id="3151" w:name="_cp_change_1219"/>
      <w:bookmarkEnd w:id="3151"/>
    </w:p>
    <w:p>
      <w:pPr>
        <w:pStyle w:val="TextBody"/>
        <w:bidi w:val="0"/>
        <w:spacing w:lineRule="atLeast" w:line="280" w:before="0" w:after="0"/>
        <w:ind w:left="0" w:right="0" w:hanging="0"/>
        <w:jc w:val="left"/>
        <w:rPr>
          <w:rFonts w:ascii="Times New Roman;Times;serif" w:hAnsi="Times New Roman;Times;serif"/>
          <w:sz w:val="24"/>
        </w:rPr>
      </w:pPr>
      <w:bookmarkStart w:id="3152" w:name="_cp_change_1222"/>
      <w:bookmarkEnd w:id="3152"/>
      <w:r>
        <w:rPr>
          <w:rFonts w:ascii="Times" w:hAnsi="Times"/>
          <w:b/>
          <w:color w:val="FF0000"/>
          <w:sz w:val="24"/>
        </w:rPr>
        <w:t>CTO24 Brandon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53" w:name="_cp_change_1221"/>
      <w:bookmarkEnd w:id="3153"/>
    </w:p>
    <w:p>
      <w:pPr>
        <w:pStyle w:val="TextBody"/>
        <w:bidi w:val="0"/>
        <w:spacing w:lineRule="atLeast" w:line="280" w:before="0" w:after="0"/>
        <w:ind w:left="0" w:right="0" w:hanging="0"/>
        <w:jc w:val="left"/>
        <w:rPr>
          <w:rFonts w:ascii="Times" w:hAnsi="Times"/>
          <w:color w:val="FF0000"/>
          <w:sz w:val="24"/>
        </w:rPr>
      </w:pPr>
      <w:bookmarkStart w:id="3154" w:name="_cp_change_1224"/>
      <w:bookmarkEnd w:id="3154"/>
      <w:r>
        <w:rPr>
          <w:rFonts w:ascii="Times" w:hAnsi="Times"/>
          <w:color w:val="FF0000"/>
          <w:sz w:val="24"/>
        </w:rPr>
        <w:t>Date of Formation:July 16, 2024</w:t>
      </w:r>
      <w:bookmarkStart w:id="3155" w:name="_cp_change_1223"/>
      <w:bookmarkEnd w:id="3155"/>
    </w:p>
    <w:p>
      <w:pPr>
        <w:pStyle w:val="TextBody"/>
        <w:bidi w:val="0"/>
        <w:spacing w:lineRule="atLeast" w:line="280" w:before="0" w:after="0"/>
        <w:ind w:left="0" w:right="0" w:hanging="0"/>
        <w:jc w:val="left"/>
        <w:rPr>
          <w:rFonts w:ascii="Times" w:hAnsi="Times"/>
          <w:color w:val="FF0000"/>
          <w:sz w:val="24"/>
        </w:rPr>
      </w:pPr>
      <w:bookmarkStart w:id="3156" w:name="_cp_change_1226"/>
      <w:bookmarkEnd w:id="3156"/>
      <w:r>
        <w:rPr>
          <w:rFonts w:ascii="Times" w:hAnsi="Times"/>
          <w:color w:val="FF0000"/>
          <w:sz w:val="24"/>
        </w:rPr>
        <w:t>State of Formation:Delaware</w:t>
      </w:r>
      <w:bookmarkStart w:id="3157" w:name="_cp_change_1225"/>
      <w:bookmarkEnd w:id="3157"/>
    </w:p>
    <w:p>
      <w:pPr>
        <w:pStyle w:val="TextBody"/>
        <w:bidi w:val="0"/>
        <w:spacing w:lineRule="atLeast" w:line="280" w:before="0" w:after="0"/>
        <w:ind w:left="0" w:right="0" w:hanging="0"/>
        <w:jc w:val="left"/>
        <w:rPr>
          <w:rFonts w:ascii="Times New Roman;Times;serif" w:hAnsi="Times New Roman;Times;serif"/>
          <w:sz w:val="24"/>
        </w:rPr>
      </w:pPr>
      <w:bookmarkStart w:id="3158" w:name="_cp_change_1228"/>
      <w:bookmarkEnd w:id="3158"/>
      <w:r>
        <w:rPr>
          <w:rFonts w:ascii="Times" w:hAnsi="Times"/>
          <w:color w:val="FF0000"/>
          <w:sz w:val="24"/>
        </w:rPr>
        <w:t>Member:</w:t>
      </w:r>
      <w:r>
        <w:rPr>
          <w:rFonts w:ascii="Times New Roman;Times;serif" w:hAnsi="Times New Roman;Times;serif"/>
          <w:color w:val="FF0000"/>
          <w:sz w:val="24"/>
        </w:rPr>
        <w:t xml:space="preserve"> </w:t>
      </w:r>
      <w:r>
        <w:rPr>
          <w:rFonts w:ascii="Times" w:hAnsi="Times"/>
          <w:color w:val="FF0000"/>
          <w:sz w:val="24"/>
        </w:rPr>
        <w:t>CTO Realty Growth, Inc., 100%</w:t>
      </w:r>
      <w:bookmarkStart w:id="3159" w:name="_cp_change_1227"/>
      <w:bookmarkEnd w:id="3159"/>
    </w:p>
    <w:p>
      <w:pPr>
        <w:pStyle w:val="TextBody"/>
        <w:bidi w:val="0"/>
        <w:spacing w:lineRule="atLeast" w:line="280" w:before="0" w:after="0"/>
        <w:ind w:left="0" w:right="0" w:hanging="0"/>
        <w:jc w:val="left"/>
        <w:rPr>
          <w:rFonts w:ascii="Times New Roman;Times;serif" w:hAnsi="Times New Roman;Times;serif"/>
          <w:sz w:val="24"/>
        </w:rPr>
      </w:pPr>
      <w:bookmarkStart w:id="3160" w:name="_cp_change_1230"/>
      <w:bookmarkEnd w:id="3160"/>
      <w:r>
        <w:rPr>
          <w:rFonts w:ascii="Times" w:hAnsi="Times"/>
          <w:b/>
          <w:color w:val="FF0000"/>
          <w:sz w:val="24"/>
        </w:rPr>
        <w:t>CTO24 Millenia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61" w:name="_cp_change_1229"/>
      <w:bookmarkEnd w:id="3161"/>
    </w:p>
    <w:p>
      <w:pPr>
        <w:pStyle w:val="TextBody"/>
        <w:bidi w:val="0"/>
        <w:spacing w:lineRule="atLeast" w:line="280" w:before="0" w:after="0"/>
        <w:ind w:left="0" w:right="0" w:hanging="0"/>
        <w:jc w:val="left"/>
        <w:rPr>
          <w:rFonts w:ascii="Times" w:hAnsi="Times"/>
          <w:color w:val="FF0000"/>
          <w:sz w:val="24"/>
        </w:rPr>
      </w:pPr>
      <w:bookmarkStart w:id="3162" w:name="_cp_change_1232"/>
      <w:bookmarkEnd w:id="3162"/>
      <w:r>
        <w:rPr>
          <w:rFonts w:ascii="Times" w:hAnsi="Times"/>
          <w:color w:val="FF0000"/>
          <w:sz w:val="24"/>
        </w:rPr>
        <w:t>Date of Formation:July 16, 2024</w:t>
      </w:r>
      <w:bookmarkStart w:id="3163" w:name="_cp_change_1231"/>
      <w:bookmarkEnd w:id="3163"/>
    </w:p>
    <w:p>
      <w:pPr>
        <w:pStyle w:val="TextBody"/>
        <w:bidi w:val="0"/>
        <w:spacing w:lineRule="atLeast" w:line="280" w:before="0" w:after="0"/>
        <w:ind w:left="0" w:right="0" w:hanging="0"/>
        <w:jc w:val="left"/>
        <w:rPr>
          <w:rFonts w:ascii="Times" w:hAnsi="Times"/>
          <w:color w:val="FF0000"/>
          <w:sz w:val="24"/>
        </w:rPr>
      </w:pPr>
      <w:bookmarkStart w:id="3164" w:name="_cp_change_1234"/>
      <w:bookmarkEnd w:id="3164"/>
      <w:r>
        <w:rPr>
          <w:rFonts w:ascii="Times" w:hAnsi="Times"/>
          <w:color w:val="FF0000"/>
          <w:sz w:val="24"/>
        </w:rPr>
        <w:t>State of Formation:Delaware</w:t>
      </w:r>
      <w:bookmarkStart w:id="3165" w:name="_cp_change_1233"/>
      <w:bookmarkEnd w:id="3165"/>
    </w:p>
    <w:p>
      <w:pPr>
        <w:pStyle w:val="TextBody"/>
        <w:bidi w:val="0"/>
        <w:spacing w:lineRule="atLeast" w:line="280" w:before="0" w:after="0"/>
        <w:ind w:left="0" w:right="0" w:hanging="0"/>
        <w:jc w:val="left"/>
        <w:rPr>
          <w:rFonts w:ascii="Times" w:hAnsi="Times"/>
          <w:color w:val="FF0000"/>
          <w:sz w:val="24"/>
        </w:rPr>
      </w:pPr>
      <w:bookmarkStart w:id="3166" w:name="_cp_change_1236"/>
      <w:bookmarkEnd w:id="3166"/>
      <w:r>
        <w:rPr>
          <w:rFonts w:ascii="Times" w:hAnsi="Times"/>
          <w:color w:val="FF0000"/>
          <w:sz w:val="24"/>
        </w:rPr>
        <w:t>Member: CTO Realty Growth, Inc., 100%</w:t>
      </w:r>
      <w:bookmarkStart w:id="3167" w:name="_cp_change_1235"/>
      <w:bookmarkEnd w:id="3167"/>
    </w:p>
    <w:p>
      <w:pPr>
        <w:pStyle w:val="TextBody"/>
        <w:bidi w:val="0"/>
        <w:spacing w:lineRule="atLeast" w:line="280" w:before="0" w:after="0"/>
        <w:ind w:left="0" w:right="0" w:hanging="0"/>
        <w:jc w:val="left"/>
        <w:rPr>
          <w:rFonts w:ascii="Times New Roman;Times;serif" w:hAnsi="Times New Roman;Times;serif"/>
          <w:sz w:val="24"/>
        </w:rPr>
      </w:pPr>
      <w:bookmarkStart w:id="3168" w:name="_cp_change_1238"/>
      <w:bookmarkEnd w:id="3168"/>
      <w:r>
        <w:rPr>
          <w:rFonts w:ascii="Times" w:hAnsi="Times"/>
          <w:b/>
          <w:color w:val="FF0000"/>
          <w:sz w:val="24"/>
        </w:rPr>
        <w:t>CTO23 Rockwall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69" w:name="_cp_change_1237"/>
      <w:bookmarkEnd w:id="3169"/>
    </w:p>
    <w:p>
      <w:pPr>
        <w:pStyle w:val="TextBody"/>
        <w:bidi w:val="0"/>
        <w:spacing w:lineRule="atLeast" w:line="280" w:before="0" w:after="0"/>
        <w:ind w:left="0" w:right="0" w:hanging="0"/>
        <w:jc w:val="left"/>
        <w:rPr>
          <w:rFonts w:ascii="Times" w:hAnsi="Times"/>
          <w:color w:val="FF0000"/>
          <w:sz w:val="24"/>
        </w:rPr>
      </w:pPr>
      <w:bookmarkStart w:id="3170" w:name="_cp_change_1240"/>
      <w:bookmarkEnd w:id="3170"/>
      <w:r>
        <w:rPr>
          <w:rFonts w:ascii="Times" w:hAnsi="Times"/>
          <w:color w:val="FF0000"/>
          <w:sz w:val="24"/>
        </w:rPr>
        <w:t>Date of Formation:May 4, 2023</w:t>
      </w:r>
      <w:bookmarkStart w:id="3171" w:name="_cp_change_1239"/>
      <w:bookmarkEnd w:id="3171"/>
    </w:p>
    <w:p>
      <w:pPr>
        <w:pStyle w:val="TextBody"/>
        <w:bidi w:val="0"/>
        <w:spacing w:lineRule="atLeast" w:line="280" w:before="0" w:after="0"/>
        <w:ind w:left="0" w:right="0" w:hanging="0"/>
        <w:jc w:val="left"/>
        <w:rPr>
          <w:rFonts w:ascii="Times" w:hAnsi="Times"/>
          <w:color w:val="FF0000"/>
          <w:sz w:val="24"/>
        </w:rPr>
      </w:pPr>
      <w:bookmarkStart w:id="3172" w:name="_cp_change_1242"/>
      <w:bookmarkEnd w:id="3172"/>
      <w:r>
        <w:rPr>
          <w:rFonts w:ascii="Times" w:hAnsi="Times"/>
          <w:color w:val="FF0000"/>
          <w:sz w:val="24"/>
        </w:rPr>
        <w:t>State of Formation:Delaware</w:t>
      </w:r>
      <w:bookmarkStart w:id="3173" w:name="_cp_change_1241"/>
      <w:bookmarkEnd w:id="3173"/>
    </w:p>
    <w:p>
      <w:pPr>
        <w:pStyle w:val="TextBody"/>
        <w:bidi w:val="0"/>
        <w:spacing w:lineRule="atLeast" w:line="280" w:before="0" w:after="0"/>
        <w:ind w:left="0" w:right="0" w:hanging="0"/>
        <w:jc w:val="left"/>
        <w:rPr>
          <w:rFonts w:ascii="Times" w:hAnsi="Times"/>
          <w:color w:val="FF0000"/>
          <w:sz w:val="24"/>
        </w:rPr>
      </w:pPr>
      <w:bookmarkStart w:id="3174" w:name="_cp_change_1244"/>
      <w:bookmarkEnd w:id="3174"/>
      <w:r>
        <w:rPr>
          <w:rFonts w:ascii="Times" w:hAnsi="Times"/>
          <w:color w:val="FF0000"/>
          <w:sz w:val="24"/>
        </w:rPr>
        <w:t>Member: CTO Realty Growth, Inc., 100%</w:t>
      </w:r>
      <w:bookmarkStart w:id="3175" w:name="_cp_change_1243"/>
      <w:bookmarkEnd w:id="3175"/>
    </w:p>
    <w:p>
      <w:pPr>
        <w:pStyle w:val="TextBody"/>
        <w:bidi w:val="0"/>
        <w:spacing w:lineRule="atLeast" w:line="280" w:before="0" w:after="0"/>
        <w:ind w:left="0" w:right="0" w:hanging="0"/>
        <w:jc w:val="left"/>
        <w:rPr>
          <w:rFonts w:ascii="Times New Roman;Times;serif" w:hAnsi="Times New Roman;Times;serif"/>
          <w:sz w:val="24"/>
        </w:rPr>
      </w:pPr>
      <w:bookmarkStart w:id="3176" w:name="_cp_change_1246"/>
      <w:bookmarkEnd w:id="3176"/>
      <w:r>
        <w:rPr>
          <w:rFonts w:ascii="Times" w:hAnsi="Times"/>
          <w:b/>
          <w:color w:val="FF0000"/>
          <w:sz w:val="24"/>
        </w:rPr>
        <w:t>CTO24 MSTC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77" w:name="_cp_change_1245"/>
      <w:bookmarkEnd w:id="3177"/>
    </w:p>
    <w:p>
      <w:pPr>
        <w:pStyle w:val="TextBody"/>
        <w:bidi w:val="0"/>
        <w:spacing w:lineRule="atLeast" w:line="280" w:before="0" w:after="0"/>
        <w:ind w:left="0" w:right="0" w:hanging="0"/>
        <w:jc w:val="left"/>
        <w:rPr>
          <w:rFonts w:ascii="Times" w:hAnsi="Times"/>
          <w:color w:val="FF0000"/>
          <w:sz w:val="24"/>
        </w:rPr>
      </w:pPr>
      <w:bookmarkStart w:id="3178" w:name="_cp_change_1248"/>
      <w:bookmarkEnd w:id="3178"/>
      <w:r>
        <w:rPr>
          <w:rFonts w:ascii="Times" w:hAnsi="Times"/>
          <w:color w:val="FF0000"/>
          <w:sz w:val="24"/>
        </w:rPr>
        <w:t>Date of Formation:February 15, 2024</w:t>
      </w:r>
      <w:bookmarkStart w:id="3179" w:name="_cp_change_1247"/>
      <w:bookmarkEnd w:id="3179"/>
    </w:p>
    <w:p>
      <w:pPr>
        <w:pStyle w:val="TextBody"/>
        <w:bidi w:val="0"/>
        <w:spacing w:lineRule="atLeast" w:line="280" w:before="0" w:after="0"/>
        <w:ind w:left="0" w:right="0" w:hanging="0"/>
        <w:jc w:val="left"/>
        <w:rPr>
          <w:rFonts w:ascii="Times" w:hAnsi="Times"/>
          <w:color w:val="FF0000"/>
          <w:sz w:val="24"/>
        </w:rPr>
      </w:pPr>
      <w:bookmarkStart w:id="3180" w:name="_cp_change_1250"/>
      <w:bookmarkEnd w:id="3180"/>
      <w:r>
        <w:rPr>
          <w:rFonts w:ascii="Times" w:hAnsi="Times"/>
          <w:color w:val="FF0000"/>
          <w:sz w:val="24"/>
        </w:rPr>
        <w:t>State of Formation:Delaware</w:t>
      </w:r>
      <w:bookmarkStart w:id="3181" w:name="_cp_change_1249"/>
      <w:bookmarkEnd w:id="3181"/>
    </w:p>
    <w:p>
      <w:pPr>
        <w:pStyle w:val="TextBody"/>
        <w:bidi w:val="0"/>
        <w:spacing w:lineRule="atLeast" w:line="280" w:before="0" w:after="0"/>
        <w:ind w:left="0" w:right="0" w:hanging="0"/>
        <w:jc w:val="left"/>
        <w:rPr>
          <w:rFonts w:ascii="Times" w:hAnsi="Times"/>
          <w:color w:val="FF0000"/>
          <w:sz w:val="24"/>
        </w:rPr>
      </w:pPr>
      <w:bookmarkStart w:id="3182" w:name="_cp_change_1252"/>
      <w:bookmarkEnd w:id="3182"/>
      <w:r>
        <w:rPr>
          <w:rFonts w:ascii="Times" w:hAnsi="Times"/>
          <w:color w:val="FF0000"/>
          <w:sz w:val="24"/>
        </w:rPr>
        <w:t>Member: CTO Realty Growth, Inc., 100%</w:t>
      </w:r>
      <w:bookmarkStart w:id="3183" w:name="_cp_change_1251"/>
      <w:bookmarkEnd w:id="3183"/>
    </w:p>
    <w:p>
      <w:pPr>
        <w:pStyle w:val="TextBody"/>
        <w:bidi w:val="0"/>
        <w:spacing w:lineRule="atLeast" w:line="280" w:before="0" w:after="0"/>
        <w:ind w:left="0" w:right="0" w:hanging="0"/>
        <w:jc w:val="left"/>
        <w:rPr>
          <w:color w:val="FF0000"/>
        </w:rPr>
      </w:pPr>
      <w:bookmarkStart w:id="3184" w:name="_cp_change_1254"/>
      <w:bookmarkStart w:id="3185" w:name="_cp_change_1253"/>
      <w:bookmarkEnd w:id="3184"/>
      <w:bookmarkEnd w:id="3185"/>
      <w:r>
        <w:rPr>
          <w:color w:val="FF0000"/>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6.2 - 5</w:t>
      </w:r>
    </w:p>
    <w:p>
      <w:pPr>
        <w:pStyle w:val="HorizontalLine"/>
        <w:pBdr>
          <w:bottom w:val="double" w:sz="2" w:space="0" w:color="808080"/>
        </w:pBdr>
        <w:bidi w:val="0"/>
        <w:spacing w:before="0" w:after="283"/>
        <w:jc w:val="left"/>
        <w:rPr/>
      </w:pPr>
      <w:r>
        <w:rPr/>
      </w:r>
    </w:p>
    <w:p>
      <w:pPr>
        <w:pStyle w:val="TextBody"/>
        <w:bidi w:val="0"/>
        <w:spacing w:lineRule="atLeast" w:line="280" w:before="0" w:after="0"/>
        <w:ind w:left="0" w:right="0" w:hanging="0"/>
        <w:jc w:val="left"/>
        <w:rPr>
          <w:rFonts w:ascii="Times New Roman;Times;serif" w:hAnsi="Times New Roman;Times;serif"/>
          <w:sz w:val="24"/>
        </w:rPr>
      </w:pPr>
      <w:bookmarkStart w:id="3186" w:name="_cp_change_1256"/>
      <w:bookmarkEnd w:id="3186"/>
      <w:r>
        <w:rPr>
          <w:rFonts w:ascii="Times" w:hAnsi="Times"/>
          <w:b/>
          <w:color w:val="FF0000"/>
          <w:sz w:val="24"/>
        </w:rPr>
        <w:t>CTO23 Founders DAL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87" w:name="_cp_change_1255"/>
      <w:bookmarkEnd w:id="3187"/>
      <w:r>
        <mc:AlternateContent>
          <mc:Choice Requires="wps">
            <w:drawing>
              <wp:anchor behindDoc="0" distT="0" distB="0" distL="0" distR="0" simplePos="0" locked="0" layoutInCell="1" allowOverlap="1" relativeHeight="710">
                <wp:simplePos x="0" y="0"/>
                <wp:positionH relativeFrom="column">
                  <wp:align>left</wp:align>
                </wp:positionH>
                <wp:positionV relativeFrom="line">
                  <wp:posOffset>635</wp:posOffset>
                </wp:positionV>
                <wp:extent cx="5943600" cy="175260"/>
                <wp:effectExtent l="0" t="0" r="0" b="0"/>
                <wp:wrapSquare wrapText="right"/>
                <wp:docPr id="709" name="Frame709"/>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0"/>
                              <w:ind w:left="0" w:right="0" w:hanging="0"/>
                              <w:jc w:val="right"/>
                              <w:rPr/>
                            </w:pPr>
                            <w:r>
                              <w:rPr/>
                              <w:t>​</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right"/>
                        <w:rPr/>
                      </w:pPr>
                      <w:r>
                        <w:rPr/>
                        <w:t>​</w:t>
                      </w:r>
                    </w:p>
                  </w:txbxContent>
                </v:textbox>
                <w10:wrap type="square" side="right"/>
              </v:rect>
            </w:pict>
          </mc:Fallback>
        </mc:AlternateContent>
      </w:r>
    </w:p>
    <w:p>
      <w:pPr>
        <w:pStyle w:val="TextBody"/>
        <w:bidi w:val="0"/>
        <w:spacing w:lineRule="atLeast" w:line="280" w:before="0" w:after="0"/>
        <w:ind w:left="0" w:right="0" w:hanging="0"/>
        <w:jc w:val="left"/>
        <w:rPr>
          <w:rFonts w:ascii="Times" w:hAnsi="Times"/>
          <w:color w:val="FF0000"/>
          <w:sz w:val="24"/>
        </w:rPr>
      </w:pPr>
      <w:bookmarkStart w:id="3188" w:name="_cp_change_1258"/>
      <w:bookmarkEnd w:id="3188"/>
      <w:r>
        <w:rPr>
          <w:rFonts w:ascii="Times" w:hAnsi="Times"/>
          <w:color w:val="FF0000"/>
          <w:sz w:val="24"/>
        </w:rPr>
        <w:t>Date of Formation:January 5, 2023</w:t>
      </w:r>
      <w:bookmarkStart w:id="3189" w:name="_cp_change_1257"/>
      <w:bookmarkEnd w:id="3189"/>
    </w:p>
    <w:p>
      <w:pPr>
        <w:pStyle w:val="TextBody"/>
        <w:bidi w:val="0"/>
        <w:spacing w:lineRule="atLeast" w:line="280" w:before="0" w:after="0"/>
        <w:ind w:left="0" w:right="0" w:hanging="0"/>
        <w:jc w:val="left"/>
        <w:rPr>
          <w:rFonts w:ascii="Times" w:hAnsi="Times"/>
          <w:color w:val="FF0000"/>
          <w:sz w:val="24"/>
        </w:rPr>
      </w:pPr>
      <w:bookmarkStart w:id="3190" w:name="_cp_change_1260"/>
      <w:bookmarkEnd w:id="3190"/>
      <w:r>
        <w:rPr>
          <w:rFonts w:ascii="Times" w:hAnsi="Times"/>
          <w:color w:val="FF0000"/>
          <w:sz w:val="24"/>
        </w:rPr>
        <w:t>State of Formation:Delaware</w:t>
      </w:r>
      <w:bookmarkStart w:id="3191" w:name="_cp_change_1259"/>
      <w:bookmarkEnd w:id="3191"/>
    </w:p>
    <w:p>
      <w:pPr>
        <w:pStyle w:val="TextBody"/>
        <w:bidi w:val="0"/>
        <w:spacing w:lineRule="atLeast" w:line="280" w:before="0" w:after="0"/>
        <w:ind w:left="0" w:right="0" w:hanging="0"/>
        <w:jc w:val="left"/>
        <w:rPr>
          <w:rFonts w:ascii="Times" w:hAnsi="Times"/>
          <w:color w:val="FF0000"/>
          <w:sz w:val="24"/>
        </w:rPr>
      </w:pPr>
      <w:bookmarkStart w:id="3192" w:name="_cp_change_1262"/>
      <w:bookmarkEnd w:id="3192"/>
      <w:r>
        <w:rPr>
          <w:rFonts w:ascii="Times" w:hAnsi="Times"/>
          <w:color w:val="FF0000"/>
          <w:sz w:val="24"/>
        </w:rPr>
        <w:t>Member: CTO Realty Growth, Inc., 100%</w:t>
      </w:r>
      <w:bookmarkStart w:id="3193" w:name="_cp_change_1261"/>
      <w:bookmarkEnd w:id="3193"/>
    </w:p>
    <w:p>
      <w:pPr>
        <w:pStyle w:val="TextBody"/>
        <w:bidi w:val="0"/>
        <w:spacing w:lineRule="atLeast" w:line="280" w:before="0" w:after="0"/>
        <w:ind w:left="0" w:right="0" w:hanging="0"/>
        <w:jc w:val="left"/>
        <w:rPr>
          <w:rFonts w:ascii="Times New Roman;Times;serif" w:hAnsi="Times New Roman;Times;serif"/>
          <w:sz w:val="24"/>
        </w:rPr>
      </w:pPr>
      <w:bookmarkStart w:id="3194" w:name="_cp_change_1264"/>
      <w:bookmarkEnd w:id="3194"/>
      <w:r>
        <w:rPr>
          <w:rFonts w:ascii="Times" w:hAnsi="Times"/>
          <w:b/>
          <w:color w:val="FF0000"/>
          <w:sz w:val="24"/>
        </w:rPr>
        <w:t>CTO23 Forsyth Land LLC</w:t>
      </w:r>
      <w:r>
        <w:rPr>
          <w:rFonts w:ascii="Times New Roman;Times;serif" w:hAnsi="Times New Roman;Times;serif"/>
          <w:color w:val="FF0000"/>
          <w:sz w:val="24"/>
        </w:rPr>
        <w:t xml:space="preserve"> </w:t>
      </w:r>
      <w:r>
        <w:rPr>
          <w:rFonts w:ascii="Times" w:hAnsi="Times"/>
          <w:b/>
          <w:color w:val="FF0000"/>
          <w:sz w:val="24"/>
        </w:rPr>
        <w:t>(limited liability company)</w:t>
      </w:r>
      <w:bookmarkStart w:id="3195" w:name="_cp_change_1263"/>
      <w:bookmarkEnd w:id="3195"/>
    </w:p>
    <w:p>
      <w:pPr>
        <w:pStyle w:val="TextBody"/>
        <w:bidi w:val="0"/>
        <w:spacing w:lineRule="atLeast" w:line="280" w:before="0" w:after="0"/>
        <w:ind w:left="0" w:right="0" w:hanging="0"/>
        <w:jc w:val="left"/>
        <w:rPr>
          <w:rFonts w:ascii="Times" w:hAnsi="Times"/>
          <w:color w:val="FF0000"/>
          <w:sz w:val="24"/>
        </w:rPr>
      </w:pPr>
      <w:bookmarkStart w:id="3196" w:name="_cp_change_1266"/>
      <w:bookmarkEnd w:id="3196"/>
      <w:r>
        <w:rPr>
          <w:rFonts w:ascii="Times" w:hAnsi="Times"/>
          <w:color w:val="FF0000"/>
          <w:sz w:val="24"/>
        </w:rPr>
        <w:t>Date of Formation:August 22, 2023</w:t>
      </w:r>
      <w:bookmarkStart w:id="3197" w:name="_cp_change_1265"/>
      <w:bookmarkEnd w:id="3197"/>
    </w:p>
    <w:p>
      <w:pPr>
        <w:pStyle w:val="TextBody"/>
        <w:bidi w:val="0"/>
        <w:spacing w:lineRule="atLeast" w:line="280" w:before="0" w:after="0"/>
        <w:ind w:left="0" w:right="0" w:hanging="0"/>
        <w:jc w:val="left"/>
        <w:rPr>
          <w:rFonts w:ascii="Times" w:hAnsi="Times"/>
          <w:color w:val="FF0000"/>
          <w:sz w:val="24"/>
        </w:rPr>
      </w:pPr>
      <w:bookmarkStart w:id="3198" w:name="_cp_change_1268"/>
      <w:bookmarkEnd w:id="3198"/>
      <w:r>
        <w:rPr>
          <w:rFonts w:ascii="Times" w:hAnsi="Times"/>
          <w:color w:val="FF0000"/>
          <w:sz w:val="24"/>
        </w:rPr>
        <w:t>State of Formation:Delaware</w:t>
      </w:r>
      <w:bookmarkStart w:id="3199" w:name="_cp_change_1267"/>
      <w:bookmarkEnd w:id="3199"/>
    </w:p>
    <w:p>
      <w:pPr>
        <w:pStyle w:val="TextBody"/>
        <w:bidi w:val="0"/>
        <w:spacing w:lineRule="atLeast" w:line="280" w:before="0" w:after="0"/>
        <w:ind w:left="0" w:right="0" w:hanging="0"/>
        <w:jc w:val="left"/>
        <w:rPr>
          <w:rFonts w:ascii="Times" w:hAnsi="Times"/>
          <w:color w:val="FF0000"/>
          <w:sz w:val="24"/>
        </w:rPr>
      </w:pPr>
      <w:bookmarkStart w:id="3200" w:name="_cp_change_1270"/>
      <w:bookmarkEnd w:id="3200"/>
      <w:r>
        <w:rPr>
          <w:rFonts w:ascii="Times" w:hAnsi="Times"/>
          <w:color w:val="FF0000"/>
          <w:sz w:val="24"/>
        </w:rPr>
        <w:t>Member: CTO Realty Growth, Inc., 100%</w:t>
      </w:r>
      <w:bookmarkStart w:id="3201" w:name="_cp_change_1269"/>
      <w:bookmarkEnd w:id="3201"/>
    </w:p>
    <w:p>
      <w:pPr>
        <w:pStyle w:val="TextBody"/>
        <w:bidi w:val="0"/>
        <w:spacing w:lineRule="atLeast" w:line="280" w:before="0" w:after="0"/>
        <w:ind w:left="0" w:right="0" w:hanging="0"/>
        <w:jc w:val="left"/>
        <w:rPr>
          <w:rFonts w:ascii="Times New Roman;Times;serif" w:hAnsi="Times New Roman;Times;serif"/>
          <w:sz w:val="24"/>
        </w:rPr>
      </w:pPr>
      <w:bookmarkStart w:id="3202" w:name="_cp_change_1272"/>
      <w:bookmarkEnd w:id="3202"/>
      <w:r>
        <w:rPr>
          <w:rFonts w:ascii="Times" w:hAnsi="Times"/>
          <w:b/>
          <w:color w:val="FF0000"/>
          <w:sz w:val="24"/>
        </w:rPr>
        <w:t>CTO22 Forsyth LLC</w:t>
      </w:r>
      <w:r>
        <w:rPr>
          <w:rFonts w:ascii="Times New Roman;Times;serif" w:hAnsi="Times New Roman;Times;serif"/>
          <w:color w:val="FF0000"/>
          <w:sz w:val="24"/>
        </w:rPr>
        <w:t xml:space="preserve"> </w:t>
      </w:r>
      <w:r>
        <w:rPr>
          <w:rFonts w:ascii="Times" w:hAnsi="Times"/>
          <w:b/>
          <w:color w:val="FF0000"/>
          <w:sz w:val="24"/>
        </w:rPr>
        <w:t>(limited liability company)</w:t>
      </w:r>
      <w:bookmarkStart w:id="3203" w:name="_cp_change_1271"/>
      <w:bookmarkEnd w:id="3203"/>
    </w:p>
    <w:p>
      <w:pPr>
        <w:pStyle w:val="TextBody"/>
        <w:bidi w:val="0"/>
        <w:spacing w:lineRule="atLeast" w:line="280" w:before="0" w:after="0"/>
        <w:ind w:left="0" w:right="0" w:hanging="0"/>
        <w:jc w:val="left"/>
        <w:rPr>
          <w:rFonts w:ascii="Times" w:hAnsi="Times"/>
          <w:color w:val="FF0000"/>
          <w:sz w:val="24"/>
        </w:rPr>
      </w:pPr>
      <w:bookmarkStart w:id="3204" w:name="_cp_change_1274"/>
      <w:bookmarkEnd w:id="3204"/>
      <w:r>
        <w:rPr>
          <w:rFonts w:ascii="Times" w:hAnsi="Times"/>
          <w:color w:val="FF0000"/>
          <w:sz w:val="24"/>
        </w:rPr>
        <w:t>Date of Formation:September 15, 2022</w:t>
      </w:r>
      <w:bookmarkStart w:id="3205" w:name="_cp_change_1273"/>
      <w:bookmarkEnd w:id="3205"/>
    </w:p>
    <w:p>
      <w:pPr>
        <w:pStyle w:val="TextBody"/>
        <w:bidi w:val="0"/>
        <w:spacing w:lineRule="atLeast" w:line="280" w:before="0" w:after="0"/>
        <w:ind w:left="0" w:right="0" w:hanging="0"/>
        <w:jc w:val="left"/>
        <w:rPr>
          <w:rFonts w:ascii="Times" w:hAnsi="Times"/>
          <w:color w:val="FF0000"/>
          <w:sz w:val="24"/>
        </w:rPr>
      </w:pPr>
      <w:bookmarkStart w:id="3206" w:name="_cp_change_1276"/>
      <w:bookmarkEnd w:id="3206"/>
      <w:r>
        <w:rPr>
          <w:rFonts w:ascii="Times" w:hAnsi="Times"/>
          <w:color w:val="FF0000"/>
          <w:sz w:val="24"/>
        </w:rPr>
        <w:t>State of Formation:Delaware</w:t>
      </w:r>
      <w:bookmarkStart w:id="3207" w:name="_cp_change_1275"/>
      <w:bookmarkEnd w:id="3207"/>
    </w:p>
    <w:p>
      <w:pPr>
        <w:pStyle w:val="TextBody"/>
        <w:bidi w:val="0"/>
        <w:spacing w:before="0" w:after="0"/>
        <w:ind w:left="0" w:right="0" w:hanging="0"/>
        <w:jc w:val="left"/>
        <w:rPr>
          <w:rFonts w:ascii="Times New Roman;Times;serif" w:hAnsi="Times New Roman;Times;serif"/>
          <w:sz w:val="24"/>
        </w:rPr>
      </w:pPr>
      <w:bookmarkStart w:id="3208" w:name="_cp_change_1277"/>
      <w:bookmarkEnd w:id="3208"/>
      <w:r>
        <w:rPr>
          <w:rFonts w:ascii="Times" w:hAnsi="Times"/>
          <w:b w:val="false"/>
          <w:i w:val="false"/>
          <w:caps w:val="false"/>
          <w:smallCaps w:val="false"/>
          <w:color w:val="FF0000"/>
          <w:sz w:val="24"/>
        </w:rPr>
        <w:t xml:space="preserve">Member: </w:t>
      </w:r>
      <w:r>
        <w:rPr>
          <w:rFonts w:ascii="Times" w:hAnsi="Times"/>
          <w:color w:val="FF0000"/>
          <w:sz w:val="24"/>
        </w:rPr>
        <w:t>CTO Realty Growth, Inc., 100%</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6.2 - 6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b/>
          <w:sz w:val="24"/>
        </w:rPr>
        <w:t>Schedule</w:t>
      </w:r>
      <w:r>
        <w:rPr>
          <w:rFonts w:ascii="Times New Roman;Times;serif" w:hAnsi="Times New Roman;Times;serif"/>
          <w:smallCaps/>
          <w:sz w:val="24"/>
        </w:rPr>
        <w:t xml:space="preserve"> </w:t>
      </w:r>
      <w:r>
        <w:rPr>
          <w:rFonts w:ascii="Times New Roman;Times;serif" w:hAnsi="Times New Roman;Times;serif"/>
          <w:b/>
          <w:smallCaps/>
          <w:sz w:val="24"/>
        </w:rPr>
        <w:t>6.6</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Material Adverse Change</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NONE.</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b/>
          <w:sz w:val="24"/>
        </w:rPr>
        <w:t>Schedule</w:t>
      </w:r>
      <w:r>
        <w:rPr>
          <w:rFonts w:ascii="Times New Roman;Times;serif" w:hAnsi="Times New Roman;Times;serif"/>
          <w:smallCaps/>
          <w:sz w:val="24"/>
        </w:rPr>
        <w:t xml:space="preserve"> </w:t>
      </w:r>
      <w:r>
        <w:rPr>
          <w:rFonts w:ascii="Times New Roman;Times;serif" w:hAnsi="Times New Roman;Times;serif"/>
          <w:b/>
          <w:smallCaps/>
          <w:sz w:val="24"/>
        </w:rPr>
        <w:t>6.11</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Litigation</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Schedule 6.11 is qualified in its entirety by reference to specific provisions of the Credit Agreement to which it relates, and to the extent such provisions contain representations and warranties, this Schedule 6.11 is intended to only qualify and shall not be deemed to expand in any way the scope or effect of any such representations and warranties.  Capitalized terms used herein but not defined herein shall have the meanings ascribed to them in the Credit Agreement.  Inclusion of information herein shall not be construed as an admission that such information is material to the Borrower or to any of the Subsidiaries.  Matters reflected in this Schedule are not necessarily limited to matters required by the Credit Agreement to be reflected herein.  Any such additional matters are included herein for informational purposes and do not necessarily include other matters of similar nature.  Headings have been inserted herein for convenience of reference only and shall to no extent have the effect of amending or changing the express description of this Schedule in the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b/>
          <w:sz w:val="24"/>
        </w:rPr>
        <w:t>Schedule</w:t>
      </w:r>
      <w:r>
        <w:rPr>
          <w:rFonts w:ascii="Times New Roman;Times;serif" w:hAnsi="Times New Roman;Times;serif"/>
          <w:smallCaps/>
          <w:sz w:val="24"/>
        </w:rPr>
        <w:t xml:space="preserve"> </w:t>
      </w:r>
      <w:r>
        <w:rPr>
          <w:rFonts w:ascii="Times New Roman;Times;serif" w:hAnsi="Times New Roman;Times;serif"/>
          <w:b/>
          <w:smallCaps/>
          <w:sz w:val="24"/>
        </w:rPr>
        <w:t xml:space="preserve">6.17 </w:t>
      </w:r>
    </w:p>
    <w:p>
      <w:pPr>
        <w:pStyle w:val="TextBody"/>
        <w:bidi w:val="0"/>
        <w:spacing w:before="36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Environmental Issues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Schedule 6.17 is qualified in its entirety by reference to specific provisions of the Credit Agreement to which it relates, and to the extent such provisions contain representations and warranties, this Schedule 6.17 is intended to only qualify and shall not be deemed to expand in any way the scope or effect of any such representations and warranties.  Capitalized terms used herein but not defined herein shall have the meanings ascribed to them in the Credit Agreement.  Inclusion of information herein shall not be construed as an admission that such information is material to the Borrower or to any of the Subsidiaries.  Matters reflected in this Schedule are not necessarily limited to matters required by the Credit Agreement to be reflected herein.  Any such additional matters are included herein for informational purposes and do not necessarily include other matters of similar nature.  Headings have been inserted herein for convenience of reference only and shall to no extent have the effect of amending or changing the express description of this Schedule in the Credit Agreement.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760" w:right="0" w:hanging="0"/>
        <w:jc w:val="center"/>
        <w:rPr>
          <w:smallCaps/>
        </w:rPr>
      </w:pPr>
      <w:r>
        <w:rPr>
          <w:smallCaps/>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b/>
          <w:sz w:val="24"/>
        </w:rPr>
        <w:t>Schedule</w:t>
      </w:r>
      <w:r>
        <w:rPr>
          <w:rFonts w:ascii="Times New Roman;Times;serif" w:hAnsi="Times New Roman;Times;serif"/>
          <w:smallCaps/>
          <w:sz w:val="24"/>
        </w:rPr>
        <w:t xml:space="preserve"> </w:t>
      </w:r>
      <w:r>
        <w:rPr>
          <w:rFonts w:ascii="Times New Roman;Times;serif" w:hAnsi="Times New Roman;Times;serif"/>
          <w:b/>
          <w:smallCaps/>
          <w:sz w:val="24"/>
        </w:rPr>
        <w:t>8.7</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 xml:space="preserve">Existing Liens </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tLeast" w:line="142" w:before="0" w:after="0"/>
        <w:ind w:left="0" w:right="0" w:hanging="0"/>
        <w:jc w:val="left"/>
        <w:rPr/>
      </w:pPr>
      <w:bookmarkStart w:id="3209" w:name="cto-20250930xex31d1.htm"/>
      <w:bookmarkStart w:id="3210" w:name="kscto20250930xex31d1"/>
      <w:bookmarkEnd w:id="3209"/>
      <w:bookmarkEnd w:id="3210"/>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John P. Albright, certify that:</w:t>
      </w:r>
    </w:p>
    <w:tbl>
      <w:tblPr>
        <w:tblW w:w="6715" w:type="dxa"/>
        <w:jc w:val="left"/>
        <w:tblInd w:w="0" w:type="dxa"/>
        <w:tblLayout w:type="fixed"/>
        <w:tblCellMar>
          <w:top w:w="0" w:type="dxa"/>
          <w:left w:w="0" w:type="dxa"/>
          <w:bottom w:w="0" w:type="dxa"/>
          <w:right w:w="0" w:type="dxa"/>
        </w:tblCellMar>
      </w:tblPr>
      <w:tblGrid>
        <w:gridCol w:w="170"/>
        <w:gridCol w:w="65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CTO Realty Growth,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October 28, 2025</w:t>
      </w:r>
    </w:p>
    <w:tbl>
      <w:tblPr>
        <w:tblW w:w="3886" w:type="dxa"/>
        <w:jc w:val="left"/>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92710" cy="175260"/>
                      <wp:effectExtent l="0" t="0" r="0" b="0"/>
                      <wp:wrapNone/>
                      <wp:docPr id="710" name="Frame71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0"/>
              <w:ind w:left="0" w:right="0" w:hanging="0"/>
              <w:jc w:val="left"/>
              <w:rPr/>
            </w:pPr>
            <w:r>
              <w:rPr/>
              <w:t>​</w:t>
            </w:r>
          </w:p>
        </w:tc>
        <w:tc>
          <w:tcPr>
            <w:tcW w:w="705"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3211" w:name="cto-20250930xex31d2.htm"/>
      <w:bookmarkStart w:id="3212" w:name="kscto20250930xex31d2"/>
      <w:bookmarkEnd w:id="3211"/>
      <w:bookmarkEnd w:id="3212"/>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Philip R. Mays, certify that:</w:t>
      </w:r>
    </w:p>
    <w:tbl>
      <w:tblPr>
        <w:tblW w:w="6715" w:type="dxa"/>
        <w:jc w:val="left"/>
        <w:tblInd w:w="0" w:type="dxa"/>
        <w:tblLayout w:type="fixed"/>
        <w:tblCellMar>
          <w:top w:w="0" w:type="dxa"/>
          <w:left w:w="0" w:type="dxa"/>
          <w:bottom w:w="0" w:type="dxa"/>
          <w:right w:w="0" w:type="dxa"/>
        </w:tblCellMar>
      </w:tblPr>
      <w:tblGrid>
        <w:gridCol w:w="170"/>
        <w:gridCol w:w="654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CTO Realty Growth,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October 28, 2025</w:t>
      </w:r>
    </w:p>
    <w:tbl>
      <w:tblPr>
        <w:tblW w:w="6961" w:type="dxa"/>
        <w:jc w:val="left"/>
        <w:tblInd w:w="0" w:type="dxa"/>
        <w:tblLayout w:type="fixed"/>
        <w:tblCellMar>
          <w:top w:w="0" w:type="dxa"/>
          <w:left w:w="0" w:type="dxa"/>
          <w:bottom w:w="0" w:type="dxa"/>
          <w:right w:w="0" w:type="dxa"/>
        </w:tblCellMar>
      </w:tblPr>
      <w:tblGrid>
        <w:gridCol w:w="421"/>
        <w:gridCol w:w="146"/>
        <w:gridCol w:w="5152"/>
        <w:gridCol w:w="1088"/>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267335" cy="175260"/>
                      <wp:effectExtent l="0" t="0" r="0" b="0"/>
                      <wp:wrapNone/>
                      <wp:docPr id="711" name="Frame71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92710" cy="175260"/>
                      <wp:effectExtent l="0" t="0" r="0" b="0"/>
                      <wp:wrapNone/>
                      <wp:docPr id="712" name="Frame71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3271520" cy="175260"/>
                      <wp:effectExtent l="0" t="0" r="0" b="0"/>
                      <wp:wrapNone/>
                      <wp:docPr id="713" name="Frame713"/>
                      <a:graphic xmlns:a="http://schemas.openxmlformats.org/drawingml/2006/main">
                        <a:graphicData uri="http://schemas.microsoft.com/office/word/2010/wordprocessingShape">
                          <wps:wsp>
                            <wps:cNvSpPr txBox="1"/>
                            <wps:spPr>
                              <a:xfrm>
                                <a:off x="0" y="0"/>
                                <a:ext cx="3271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788670" cy="175260"/>
                      <wp:effectExtent l="0" t="0" r="0" b="0"/>
                      <wp:wrapNone/>
                      <wp:docPr id="714" name="Frame714"/>
                      <a:graphic xmlns:a="http://schemas.openxmlformats.org/drawingml/2006/main">
                        <a:graphicData uri="http://schemas.microsoft.com/office/word/2010/wordprocessingShape">
                          <wps:wsp>
                            <wps:cNvSpPr txBox="1"/>
                            <wps:spPr>
                              <a:xfrm>
                                <a:off x="0" y="0"/>
                                <a:ext cx="788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Mays, Senior Vice President, Chief Financial Officer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213" w:name="cto-20250930xex32d1.htm"/>
      <w:bookmarkStart w:id="3214" w:name="kscto20250930xex32d1"/>
      <w:bookmarkEnd w:id="3213"/>
      <w:bookmarkEnd w:id="3214"/>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CTO Realty Growth, Inc. (the “Company”) on Form 10-Q for the period ended September 30, 2025, as filed with the Securities and Exchange Commission on the date hereof (the “Report”), I, John P. Albright, President and Chief Executive Officer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October 28, 2025</w:t>
      </w:r>
    </w:p>
    <w:tbl>
      <w:tblPr>
        <w:tblW w:w="3886" w:type="dxa"/>
        <w:jc w:val="center"/>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67335" cy="175260"/>
                      <wp:effectExtent l="0" t="0" r="0" b="0"/>
                      <wp:wrapNone/>
                      <wp:docPr id="715" name="Frame71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92710" cy="175260"/>
                      <wp:effectExtent l="0" t="0" r="0" b="0"/>
                      <wp:wrapNone/>
                      <wp:docPr id="716" name="Frame7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1659890" cy="175260"/>
                      <wp:effectExtent l="0" t="0" r="0" b="0"/>
                      <wp:wrapNone/>
                      <wp:docPr id="717" name="Frame717"/>
                      <a:graphic xmlns:a="http://schemas.openxmlformats.org/drawingml/2006/main">
                        <a:graphicData uri="http://schemas.microsoft.com/office/word/2010/wordprocessingShape">
                          <wps:wsp>
                            <wps:cNvSpPr txBox="1"/>
                            <wps:spPr>
                              <a:xfrm>
                                <a:off x="0" y="0"/>
                                <a:ext cx="165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448310" cy="175260"/>
                      <wp:effectExtent l="0" t="0" r="0" b="0"/>
                      <wp:wrapNone/>
                      <wp:docPr id="718" name="Frame71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215" w:name="cto-20250930xex32d2.htm"/>
      <w:bookmarkStart w:id="3216" w:name="kscto20250930xex32d2"/>
      <w:bookmarkEnd w:id="3215"/>
      <w:bookmarkEnd w:id="3216"/>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CTO Realty Growth, Inc. (the “Company”) on Form 10-Q for the period ended September 30, 2025,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October 28, 2025</w:t>
      </w:r>
    </w:p>
    <w:tbl>
      <w:tblPr>
        <w:tblW w:w="6961" w:type="dxa"/>
        <w:jc w:val="left"/>
        <w:tblInd w:w="0" w:type="dxa"/>
        <w:tblLayout w:type="fixed"/>
        <w:tblCellMar>
          <w:top w:w="0" w:type="dxa"/>
          <w:left w:w="0" w:type="dxa"/>
          <w:bottom w:w="0" w:type="dxa"/>
          <w:right w:w="0" w:type="dxa"/>
        </w:tblCellMar>
      </w:tblPr>
      <w:tblGrid>
        <w:gridCol w:w="421"/>
        <w:gridCol w:w="146"/>
        <w:gridCol w:w="5152"/>
        <w:gridCol w:w="1088"/>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92710" cy="175260"/>
                      <wp:effectExtent l="0" t="0" r="0" b="0"/>
                      <wp:wrapNone/>
                      <wp:docPr id="719" name="Frame7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2" w:type="dxa"/>
            <w:tcBorders/>
            <w:vAlign w:val="center"/>
          </w:tcPr>
          <w:p>
            <w:pPr>
              <w:pStyle w:val="TableContents"/>
              <w:bidi w:val="0"/>
              <w:spacing w:before="0" w:after="0"/>
              <w:ind w:left="0" w:right="0" w:hanging="0"/>
              <w:jc w:val="left"/>
              <w:rPr/>
            </w:pPr>
            <w:r>
              <w:rPr/>
              <w:t>​</w:t>
            </w:r>
          </w:p>
        </w:tc>
        <w:tc>
          <w:tcPr>
            <w:tcW w:w="1242"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6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Mays, Senior Vice President, Chief Financial Officer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 w:name="Times">
    <w:altName w:val="Times New Roman"/>
    <w:charset w:val="01"/>
    <w:family w:val="auto"/>
    <w:pitch w:val="default"/>
  </w:font>
  <w:font w:name="Times New Roman Bold">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023795/000119312521023648/d113606dex31.htm" TargetMode="External"/><Relationship Id="rId3" Type="http://schemas.openxmlformats.org/officeDocument/2006/relationships/hyperlink" Target="https://www.sec.gov/Archives/edgar/data/23795/000119312521206336/d124719dex32.htm" TargetMode="External"/><Relationship Id="rId4" Type="http://schemas.openxmlformats.org/officeDocument/2006/relationships/hyperlink" Target="https://www.sec.gov/Archives/edgar/data/23795/000110465924043097/tm2410761d1_ex3-1.htm" TargetMode="External"/><Relationship Id="rId5" Type="http://schemas.openxmlformats.org/officeDocument/2006/relationships/hyperlink" Target="https://www.sec.gov/Archives/edgar/data/23795/000155837023001536/cto-20230216xex3d1.htm" TargetMode="External"/><Relationship Id="rId6" Type="http://schemas.openxmlformats.org/officeDocument/2006/relationships/hyperlink" Target="https://www.sec.gov/Archives/edgar/data/0000023795/000119312521023648/d113606dex4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104217</Words>
  <Characters>565552</Characters>
  <CharactersWithSpaces>670694</CharactersWithSpaces>
  <Paragraphs>12446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