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to-20240331x10q.htm"/>
        <w:bookmarkStart w:id="1" w:name="kscto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lineRule="auto" w:line="283" w:before="0" w:after="0"/>
        <w:ind w:left="0" w:right="0" w:firstLine="90"/>
        <w:jc w:val="center"/>
        <w:rPr>
          <w:rFonts w:ascii="Times New Roman;Times;serif" w:hAnsi="Times New Roman;Times;serif"/>
          <w:b/>
          <w:sz w:val="32"/>
        </w:rPr>
      </w:pPr>
      <w:bookmarkStart w:id="2" w:name="_b58e166d_b08d_414b_ad7c_6a238d8d4524"/>
      <w:bookmarkEnd w:id="2"/>
      <w:r>
        <w:rPr>
          <w:rFonts w:ascii="Times New Roman;Times;serif" w:hAnsi="Times New Roman;Times;serif"/>
          <w:b/>
          <w:sz w:val="32"/>
        </w:rPr>
        <w:t>UNITED STATES</w:t>
      </w:r>
    </w:p>
    <w:p>
      <w:pPr>
        <w:pStyle w:val="TextBody"/>
        <w:bidi w:val="0"/>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3"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3" w:before="0" w:after="0"/>
              <w:jc w:val="left"/>
              <w:rPr/>
            </w:pPr>
            <w:r>
              <w:rPr/>
              <w:t>☒</w:t>
            </w:r>
          </w:p>
        </w:tc>
        <w:tc>
          <w:tcPr>
            <w:tcW w:w="9874" w:type="dxa"/>
            <w:tcBorders/>
            <w:vAlign w:val="center"/>
          </w:tcPr>
          <w:p>
            <w:pPr>
              <w:pStyle w:val="TableContents"/>
              <w:bidi w:val="0"/>
              <w:spacing w:lineRule="auto" w:line="283" w:before="0" w:after="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2024</w:t>
      </w:r>
    </w:p>
    <w:p>
      <w:pPr>
        <w:pStyle w:val="TextBody"/>
        <w:bidi w:val="0"/>
        <w:spacing w:lineRule="auto" w:line="283" w:before="0" w:after="0"/>
        <w:ind w:left="0" w:right="0" w:hanging="0"/>
        <w:jc w:val="left"/>
        <w:rPr>
          <w:rFonts w:ascii="Times New Roman;Times;serif" w:hAnsi="Times New Roman;Times;serif"/>
          <w:b/>
          <w:sz w:val="18"/>
        </w:rPr>
      </w:pPr>
      <w:r>
        <w:rPr>
          <w:rFonts w:ascii="Times New Roman;Times;serif" w:hAnsi="Times New Roman;Times;serif"/>
          <w:b/>
          <w:sz w:val="18"/>
        </w:rPr>
        <w:t>OR</w:t>
      </w:r>
    </w:p>
    <w:p>
      <w:pPr>
        <w:pStyle w:val="TextBody"/>
        <w:bidi w:val="0"/>
        <w:spacing w:lineRule="auto" w:line="283"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3" w:before="0" w:after="0"/>
              <w:jc w:val="left"/>
              <w:rPr/>
            </w:pPr>
            <w:r>
              <w:rPr/>
              <w:t>☐</w:t>
            </w:r>
          </w:p>
        </w:tc>
        <w:tc>
          <w:tcPr>
            <w:tcW w:w="9874" w:type="dxa"/>
            <w:tcBorders/>
            <w:vAlign w:val="center"/>
          </w:tcPr>
          <w:p>
            <w:pPr>
              <w:pStyle w:val="TableContents"/>
              <w:bidi w:val="0"/>
              <w:spacing w:lineRule="auto" w:line="283" w:before="0" w:after="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001-11350</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44"/>
        </w:rPr>
      </w:pPr>
      <w:r>
        <w:rPr>
          <w:rFonts w:ascii="Times New Roman;Times;serif" w:hAnsi="Times New Roman;Times;serif"/>
          <w:b/>
          <w:sz w:val="44"/>
        </w:rPr>
        <w:t>CTO REALTY GROWTH, INC.</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Normal"/>
        <w:bidi w:val="0"/>
        <w:spacing w:before="0" w:after="0"/>
        <w:jc w:val="left"/>
        <w:rPr>
          <w:sz w:val="4"/>
          <w:szCs w:val="4"/>
        </w:rPr>
      </w:pPr>
      <w:r>
        <w:rPr>
          <w:sz w:val="4"/>
          <w:szCs w:val="4"/>
        </w:rPr>
      </w:r>
      <w:bookmarkStart w:id="3" w:name="Tc_Nd_lcExJhkevTavqz12eHA_7_2"/>
      <w:bookmarkStart w:id="4" w:name="Tc_MM9pcdySq0KbaBE8W0ODhw_7_0"/>
      <w:bookmarkStart w:id="5" w:name="Tc_Z1Yx8g7yUUS0TK2WAYlyKQ_6_0"/>
      <w:bookmarkStart w:id="6" w:name="Tc_49i4o4YvSEO-G2B0eJqjRQ_5_0"/>
      <w:bookmarkStart w:id="7" w:name="Tc_GOKOcQAVLkip0Yu9ZGC5fQ_3_2"/>
      <w:bookmarkStart w:id="8" w:name="Tc_mYy890xVUk-RqgeWR00drA_3_0"/>
      <w:bookmarkStart w:id="9" w:name="Tc_sBfQSIsv4EKCZwALUTOvJA_2_2"/>
      <w:bookmarkStart w:id="10" w:name="Tc_8k6otMiOwUGDv-1zNHpjvw_2_0"/>
      <w:bookmarkStart w:id="11" w:name="_e7f04234_4853_40af_8d15_bacdf7a29870"/>
      <w:bookmarkStart w:id="12" w:name="Tc_Nd_lcExJhkevTavqz12eHA_7_2"/>
      <w:bookmarkStart w:id="13" w:name="Tc_MM9pcdySq0KbaBE8W0ODhw_7_0"/>
      <w:bookmarkStart w:id="14" w:name="Tc_Z1Yx8g7yUUS0TK2WAYlyKQ_6_0"/>
      <w:bookmarkStart w:id="15" w:name="Tc_49i4o4YvSEO-G2B0eJqjRQ_5_0"/>
      <w:bookmarkStart w:id="16" w:name="Tc_GOKOcQAVLkip0Yu9ZGC5fQ_3_2"/>
      <w:bookmarkStart w:id="17" w:name="Tc_mYy890xVUk-RqgeWR00drA_3_0"/>
      <w:bookmarkStart w:id="18" w:name="Tc_sBfQSIsv4EKCZwALUTOvJA_2_2"/>
      <w:bookmarkStart w:id="19" w:name="Tc_8k6otMiOwUGDv-1zNHpjvw_2_0"/>
      <w:bookmarkStart w:id="20" w:name="_e7f04234_4853_40af_8d15_bacdf7a29870"/>
      <w:bookmarkEnd w:id="12"/>
      <w:bookmarkEnd w:id="13"/>
      <w:bookmarkEnd w:id="14"/>
      <w:bookmarkEnd w:id="15"/>
      <w:bookmarkEnd w:id="16"/>
      <w:bookmarkEnd w:id="17"/>
      <w:bookmarkEnd w:id="18"/>
      <w:bookmarkEnd w:id="19"/>
      <w:bookmarkEnd w:id="20"/>
    </w:p>
    <w:tbl>
      <w:tblPr>
        <w:tblW w:w="4963" w:type="dxa"/>
        <w:jc w:val="left"/>
        <w:tblInd w:w="0" w:type="dxa"/>
        <w:tblLayout w:type="fixed"/>
        <w:tblCellMar>
          <w:top w:w="0" w:type="dxa"/>
          <w:left w:w="0" w:type="dxa"/>
          <w:bottom w:w="0" w:type="dxa"/>
          <w:right w:w="0" w:type="dxa"/>
        </w:tblCellMar>
      </w:tblPr>
      <w:tblGrid>
        <w:gridCol w:w="3076"/>
        <w:gridCol w:w="326"/>
        <w:gridCol w:w="1561"/>
      </w:tblGrid>
      <w:tr>
        <w:trPr/>
        <w:tc>
          <w:tcPr>
            <w:tcW w:w="3076" w:type="dxa"/>
            <w:tcBorders/>
            <w:vAlign w:val="center"/>
          </w:tcPr>
          <w:p>
            <w:pPr>
              <w:pStyle w:val="TableContents"/>
              <w:bidi w:val="0"/>
              <w:spacing w:lineRule="auto" w:line="283" w:before="0" w:after="0"/>
              <w:ind w:left="0" w:right="0" w:hanging="0"/>
              <w:jc w:val="left"/>
              <w:rPr/>
            </w:pPr>
            <w:r>
              <w:rPr/>
              <w:t>​</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left"/>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26" w:type="dxa"/>
            <w:tcBorders/>
            <w:vAlign w:val="center"/>
          </w:tcPr>
          <w:p>
            <w:pPr>
              <w:pStyle w:val="TableContents"/>
              <w:bidi w:val="0"/>
              <w:spacing w:lineRule="auto" w:line="283" w:before="0" w:after="0"/>
              <w:ind w:left="0" w:right="0" w:hanging="0"/>
              <w:jc w:val="left"/>
              <w:rPr/>
            </w:pPr>
            <w:r>
              <w:rPr/>
              <w:t>    </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59-0483700</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lineRule="auto" w:line="283" w:before="0" w:after="0"/>
              <w:ind w:left="0" w:right="0" w:hanging="0"/>
              <w:jc w:val="center"/>
              <w:rPr/>
            </w:pPr>
            <w:r>
              <w:rPr/>
              <w:t>​</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8"/>
              </w:rPr>
              <w:t>369 N. New York Avenue,</w:t>
            </w:r>
            <w:r>
              <w:rPr>
                <w:rFonts w:ascii="Times New Roman;Times;serif" w:hAnsi="Times New Roman;Times;serif"/>
                <w:sz w:val="20"/>
              </w:rPr>
              <w:t xml:space="preserve"> </w:t>
            </w:r>
            <w:r>
              <w:rPr>
                <w:rFonts w:ascii="Times New Roman;Times;serif" w:hAnsi="Times New Roman;Times;serif"/>
                <w:b/>
                <w:sz w:val="18"/>
              </w:rPr>
              <w:t>Suite 201</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lineRule="auto" w:line="283" w:before="0" w:after="0"/>
        <w:ind w:left="0" w:right="0" w:hanging="0"/>
        <w:jc w:val="left"/>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(386) 274-2202</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lineRule="auto" w:line="283" w:before="0" w:after="0"/>
        <w:ind w:left="0" w:right="0" w:hanging="0"/>
        <w:jc w:val="center"/>
        <w:rPr/>
      </w:pPr>
      <w:r>
        <w:rPr/>
        <w:t>​</w:t>
      </w:r>
    </w:p>
    <w:tbl>
      <w:tblPr>
        <w:tblW w:w="6451" w:type="dxa"/>
        <w:jc w:val="left"/>
        <w:tblInd w:w="0" w:type="dxa"/>
        <w:tblLayout w:type="fixed"/>
        <w:tblCellMar>
          <w:top w:w="0" w:type="dxa"/>
          <w:left w:w="0" w:type="dxa"/>
          <w:bottom w:w="0" w:type="dxa"/>
          <w:right w:w="0" w:type="dxa"/>
        </w:tblCellMar>
      </w:tblPr>
      <w:tblGrid>
        <w:gridCol w:w="6451"/>
      </w:tblGrid>
      <w:tr>
        <w:trPr/>
        <w:tc>
          <w:tcPr>
            <w:tcW w:w="6451" w:type="dxa"/>
            <w:tcBorders/>
            <w:vAlign w:val="center"/>
          </w:tcPr>
          <w:p>
            <w:pPr>
              <w:pStyle w:val="TableContents"/>
              <w:bidi w:val="0"/>
              <w:spacing w:before="0" w:after="0"/>
              <w:ind w:left="0" w:right="0" w:hanging="0"/>
              <w:jc w:val="left"/>
              <w:rPr/>
            </w:pPr>
            <w:r>
              <w:rPr/>
              <w:t>​</w:t>
            </w:r>
          </w:p>
        </w:tc>
      </w:tr>
      <w:tr>
        <w:trPr/>
        <w:tc>
          <w:tcPr>
            <w:tcW w:w="645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r>
      <w:tr>
        <w:trPr/>
        <w:tc>
          <w:tcPr>
            <w:tcW w:w="645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tc>
      </w:tr>
    </w:tbl>
    <w:p>
      <w:pPr>
        <w:pStyle w:val="TextBody"/>
        <w:bidi w:val="0"/>
        <w:spacing w:lineRule="auto" w:line="283" w:before="0" w:after="0"/>
        <w:ind w:left="0" w:right="0" w:hanging="0"/>
        <w:jc w:val="center"/>
        <w:rPr/>
      </w:pPr>
      <w:r>
        <w:rPr/>
        <w:t>​</w:t>
      </w:r>
    </w:p>
    <w:p>
      <w:pPr>
        <w:pStyle w:val="TextBody"/>
        <w:bidi w:val="0"/>
        <w:spacing w:lineRule="auto" w:line="283" w:before="0" w:after="24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1" w:name="Tc_N2G05lsgMkKcCqAQF47JhA_1_4"/>
      <w:bookmarkStart w:id="22" w:name="Tc_B3uY8v_fc0eKk5w9ztcDxg_1_2"/>
      <w:bookmarkStart w:id="23" w:name="Tc_-n-mHLhTREGqUda3Xir9EQ_1_0"/>
      <w:bookmarkStart w:id="24" w:name="_9ee89ae9_cb0e_4a1f_81e2_41375375d8db"/>
      <w:bookmarkStart w:id="25" w:name="Tc_N2G05lsgMkKcCqAQF47JhA_1_4"/>
      <w:bookmarkStart w:id="26" w:name="Tc_B3uY8v_fc0eKk5w9ztcDxg_1_2"/>
      <w:bookmarkStart w:id="27" w:name="Tc_-n-mHLhTREGqUda3Xir9EQ_1_0"/>
      <w:bookmarkStart w:id="28" w:name="_9ee89ae9_cb0e_4a1f_81e2_41375375d8db"/>
      <w:bookmarkEnd w:id="25"/>
      <w:bookmarkEnd w:id="26"/>
      <w:bookmarkEnd w:id="27"/>
      <w:bookmarkEnd w:id="28"/>
    </w:p>
    <w:tbl>
      <w:tblPr>
        <w:tblW w:w="8860" w:type="dxa"/>
        <w:jc w:val="left"/>
        <w:tblInd w:w="0" w:type="dxa"/>
        <w:tblLayout w:type="fixed"/>
        <w:tblCellMar>
          <w:top w:w="0" w:type="dxa"/>
          <w:left w:w="0" w:type="dxa"/>
          <w:bottom w:w="0" w:type="dxa"/>
          <w:right w:w="0" w:type="dxa"/>
        </w:tblCellMar>
      </w:tblPr>
      <w:tblGrid>
        <w:gridCol w:w="3226"/>
        <w:gridCol w:w="326"/>
        <w:gridCol w:w="1441"/>
        <w:gridCol w:w="326"/>
        <w:gridCol w:w="354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bottom w:val="single" w:sz="2" w:space="0" w:color="000000"/>
            </w:tcBorders>
            <w:tcMar>
              <w:bottom w:w="28" w:type="dxa"/>
            </w:tcMar>
            <w:vAlign w:val="center"/>
          </w:tcPr>
          <w:p>
            <w:pPr>
              <w:pStyle w:val="TableContents"/>
              <w:pBdr/>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lineRule="auto" w:line="283" w:before="0" w:after="0"/>
              <w:ind w:left="0" w:right="0" w:hanging="0"/>
              <w:jc w:val="center"/>
              <w:rPr/>
            </w:pPr>
            <w:r>
              <w:rPr/>
              <w:t>    </w:t>
            </w:r>
          </w:p>
        </w:tc>
        <w:tc>
          <w:tcPr>
            <w:tcW w:w="1441"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pPr>
            <w:r>
              <w:rPr/>
              <w:t>    </w:t>
            </w:r>
          </w:p>
        </w:tc>
        <w:tc>
          <w:tcPr>
            <w:tcW w:w="3541"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226"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Common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26" w:type="dxa"/>
            <w:tcBorders/>
            <w:vAlign w:val="center"/>
          </w:tcPr>
          <w:p>
            <w:pPr>
              <w:pStyle w:val="TableContents"/>
              <w:bidi w:val="0"/>
              <w:spacing w:lineRule="auto" w:line="283" w:before="0" w:after="0"/>
              <w:ind w:left="0" w:right="0" w:hanging="0"/>
              <w:jc w:val="left"/>
              <w:rPr/>
            </w:pPr>
            <w:r>
              <w:rPr/>
              <w:t>​</w:t>
            </w:r>
          </w:p>
        </w:tc>
        <w:tc>
          <w:tcPr>
            <w:tcW w:w="1441"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CTO</w:t>
            </w:r>
          </w:p>
        </w:tc>
        <w:tc>
          <w:tcPr>
            <w:tcW w:w="326" w:type="dxa"/>
            <w:tcBorders/>
            <w:vAlign w:val="center"/>
          </w:tcPr>
          <w:p>
            <w:pPr>
              <w:pStyle w:val="TableContents"/>
              <w:bidi w:val="0"/>
              <w:spacing w:lineRule="auto" w:line="283" w:before="0" w:after="0"/>
              <w:ind w:left="0" w:right="0" w:hanging="0"/>
              <w:jc w:val="left"/>
              <w:rPr/>
            </w:pPr>
            <w:r>
              <w:rPr/>
              <w:t>​</w:t>
            </w:r>
          </w:p>
        </w:tc>
        <w:tc>
          <w:tcPr>
            <w:tcW w:w="3541"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r>
        <w:trPr/>
        <w:tc>
          <w:tcPr>
            <w:tcW w:w="3226" w:type="dxa"/>
            <w:tcBorders/>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6.375% Series A Cumulative Redeemable </w:t>
            </w:r>
          </w:p>
          <w:p>
            <w:pPr>
              <w:pStyle w:val="TableContents"/>
              <w:bidi w:val="0"/>
              <w:spacing w:lineRule="auto" w:line="283" w:before="0" w:after="0"/>
              <w:ind w:left="0" w:right="0" w:hanging="0"/>
              <w:jc w:val="center"/>
              <w:rPr>
                <w:rFonts w:ascii="Times New Roman;Times;serif" w:hAnsi="Times New Roman;Times;serif"/>
                <w:sz w:val="16"/>
              </w:rPr>
            </w:pPr>
            <w:r>
              <w:rPr>
                <w:rFonts w:ascii="Times New Roman;Times;serif" w:hAnsi="Times New Roman;Times;serif"/>
                <w:b/>
                <w:sz w:val="16"/>
              </w:rPr>
              <w:t>Preferred Stock, $0.01</w:t>
            </w:r>
            <w:r>
              <w:rPr>
                <w:rFonts w:ascii="Times New Roman;Times;serif" w:hAnsi="Times New Roman;Times;serif"/>
                <w:sz w:val="16"/>
              </w:rPr>
              <w:t xml:space="preserve"> </w:t>
            </w:r>
            <w:r>
              <w:rPr>
                <w:rFonts w:ascii="Times New Roman;Times;serif" w:hAnsi="Times New Roman;Times;serif"/>
                <w:b/>
                <w:sz w:val="16"/>
              </w:rPr>
              <w:t>par value per share</w:t>
            </w:r>
          </w:p>
        </w:tc>
        <w:tc>
          <w:tcPr>
            <w:tcW w:w="326" w:type="dxa"/>
            <w:tcBorders/>
            <w:vAlign w:val="center"/>
          </w:tcPr>
          <w:p>
            <w:pPr>
              <w:pStyle w:val="TableContents"/>
              <w:bidi w:val="0"/>
              <w:spacing w:lineRule="auto" w:line="283" w:before="0" w:after="0"/>
              <w:ind w:left="0" w:right="0" w:hanging="0"/>
              <w:jc w:val="left"/>
              <w:rPr/>
            </w:pPr>
            <w:r>
              <w:rPr/>
              <w:t>​</w:t>
            </w:r>
          </w:p>
        </w:tc>
        <w:tc>
          <w:tcPr>
            <w:tcW w:w="1441" w:type="dxa"/>
            <w:tcBorders/>
            <w:vAlign w:val="center"/>
          </w:tcPr>
          <w:p>
            <w:pPr>
              <w:pStyle w:val="TableContents"/>
              <w:bidi w:val="0"/>
              <w:spacing w:lineRule="auto" w:line="283" w:before="0" w:after="0"/>
              <w:ind w:left="0" w:right="0" w:hanging="0"/>
              <w:jc w:val="center"/>
              <w:rPr/>
            </w:pPr>
            <w:r>
              <w:rPr/>
              <w:t>​</w:t>
            </w:r>
          </w:p>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CTO</w:t>
            </w:r>
            <w:r>
              <w:rPr>
                <w:rFonts w:ascii="Times New Roman;Times;serif" w:hAnsi="Times New Roman;Times;serif"/>
                <w:sz w:val="18"/>
              </w:rPr>
              <w:t>-</w:t>
            </w:r>
            <w:r>
              <w:rPr>
                <w:rFonts w:ascii="Times New Roman;Times;serif" w:hAnsi="Times New Roman;Times;serif"/>
                <w:b/>
                <w:sz w:val="16"/>
              </w:rPr>
              <w:t>PA</w:t>
            </w:r>
          </w:p>
        </w:tc>
        <w:tc>
          <w:tcPr>
            <w:tcW w:w="326" w:type="dxa"/>
            <w:tcBorders/>
            <w:vAlign w:val="center"/>
          </w:tcPr>
          <w:p>
            <w:pPr>
              <w:pStyle w:val="TableContents"/>
              <w:bidi w:val="0"/>
              <w:spacing w:lineRule="auto" w:line="283" w:before="0" w:after="0"/>
              <w:ind w:left="0" w:right="0" w:hanging="0"/>
              <w:jc w:val="left"/>
              <w:rPr/>
            </w:pPr>
            <w:r>
              <w:rPr/>
              <w:t>​</w:t>
            </w:r>
          </w:p>
        </w:tc>
        <w:tc>
          <w:tcPr>
            <w:tcW w:w="3541" w:type="dxa"/>
            <w:tcBorders/>
            <w:vAlign w:val="center"/>
          </w:tcPr>
          <w:p>
            <w:pPr>
              <w:pStyle w:val="TableContents"/>
              <w:bidi w:val="0"/>
              <w:spacing w:lineRule="auto" w:line="283" w:before="0" w:after="0"/>
              <w:ind w:left="0" w:right="0" w:hanging="0"/>
              <w:jc w:val="center"/>
              <w:rPr/>
            </w:pPr>
            <w:r>
              <w:rPr/>
              <w:t>​</w:t>
            </w:r>
          </w:p>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lineRule="auto" w:line="283" w:before="0" w:after="0"/>
        <w:ind w:left="0" w:right="0" w:firstLine="490"/>
        <w:jc w:val="left"/>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3" w:before="0" w:after="0"/>
        <w:ind w:left="0" w:right="0" w:hanging="0"/>
        <w:jc w:val="left"/>
        <w:rPr/>
      </w:pPr>
      <w:r>
        <w:rPr/>
        <w:t>​</w:t>
      </w:r>
    </w:p>
    <w:p>
      <w:pPr>
        <w:pStyle w:val="Normal"/>
        <w:bidi w:val="0"/>
        <w:spacing w:before="0" w:after="0"/>
        <w:jc w:val="left"/>
        <w:rPr>
          <w:sz w:val="4"/>
          <w:szCs w:val="4"/>
        </w:rPr>
      </w:pPr>
      <w:r>
        <w:rPr>
          <w:sz w:val="4"/>
          <w:szCs w:val="4"/>
        </w:rPr>
      </w:r>
      <w:bookmarkStart w:id="29" w:name="Tc_vEH0YltQjkWrdGIzREml-w_5_3"/>
      <w:bookmarkStart w:id="30" w:name="Tc_RPl3gxHlYUGFhzrOhcoWgA_3_3"/>
      <w:bookmarkStart w:id="31" w:name="Tc_yQ_gdfYWCUSyiG_lLZXxIg_3_1"/>
      <w:bookmarkStart w:id="32" w:name="Tc_0555lIymuUamc7kHziPFdA_3_0"/>
      <w:bookmarkStart w:id="33" w:name="Tc_57MvcRxCfk2MCdHZ82E-Sg_1_4"/>
      <w:bookmarkStart w:id="34" w:name="Tc_yqCuPD1r7UWFRNyfNypEQQ_1_1"/>
      <w:bookmarkStart w:id="35" w:name="Tc_B07ov9rf3UGyFYO3vrWqIQ_1_0"/>
      <w:bookmarkStart w:id="36" w:name="_438bff81_bee6_4cb5_8c90_bddb2def7978"/>
      <w:bookmarkStart w:id="37" w:name="Tc_vEH0YltQjkWrdGIzREml-w_5_3"/>
      <w:bookmarkStart w:id="38" w:name="Tc_RPl3gxHlYUGFhzrOhcoWgA_3_3"/>
      <w:bookmarkStart w:id="39" w:name="Tc_yQ_gdfYWCUSyiG_lLZXxIg_3_1"/>
      <w:bookmarkStart w:id="40" w:name="Tc_0555lIymuUamc7kHziPFdA_3_0"/>
      <w:bookmarkStart w:id="41" w:name="Tc_57MvcRxCfk2MCdHZ82E-Sg_1_4"/>
      <w:bookmarkStart w:id="42" w:name="Tc_yqCuPD1r7UWFRNyfNypEQQ_1_1"/>
      <w:bookmarkStart w:id="43" w:name="Tc_B07ov9rf3UGyFYO3vrWqIQ_1_0"/>
      <w:bookmarkStart w:id="44" w:name="_438bff81_bee6_4cb5_8c90_bddb2def7978"/>
      <w:bookmarkEnd w:id="37"/>
      <w:bookmarkEnd w:id="38"/>
      <w:bookmarkEnd w:id="39"/>
      <w:bookmarkEnd w:id="40"/>
      <w:bookmarkEnd w:id="41"/>
      <w:bookmarkEnd w:id="42"/>
      <w:bookmarkEnd w:id="43"/>
      <w:bookmarkEnd w:id="44"/>
    </w:p>
    <w:tbl>
      <w:tblPr>
        <w:tblW w:w="4808" w:type="dxa"/>
        <w:jc w:val="left"/>
        <w:tblInd w:w="0" w:type="dxa"/>
        <w:tblLayout w:type="fixed"/>
        <w:tblCellMar>
          <w:top w:w="0" w:type="dxa"/>
          <w:left w:w="0" w:type="dxa"/>
          <w:bottom w:w="0" w:type="dxa"/>
          <w:right w:w="0" w:type="dxa"/>
        </w:tblCellMar>
      </w:tblPr>
      <w:tblGrid>
        <w:gridCol w:w="1771"/>
        <w:gridCol w:w="436"/>
        <w:gridCol w:w="109"/>
        <w:gridCol w:w="2131"/>
        <w:gridCol w:w="361"/>
      </w:tblGrid>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436" w:type="dxa"/>
            <w:tcBorders/>
            <w:vAlign w:val="center"/>
          </w:tcPr>
          <w:p>
            <w:pPr>
              <w:pStyle w:val="TableContents"/>
              <w:bidi w:val="0"/>
              <w:spacing w:lineRule="auto" w:line="283" w:before="0" w:after="0"/>
              <w:ind w:left="0" w:right="0" w:hanging="0"/>
              <w:jc w:val="left"/>
              <w:rPr/>
            </w:pPr>
            <w:r>
              <w:rPr/>
              <w:t>☐  </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lineRule="auto" w:line="283" w:before="0" w:after="0"/>
              <w:ind w:left="0" w:right="0" w:hanging="0"/>
              <w:jc w:val="left"/>
              <w:rPr/>
            </w:pPr>
            <w:r>
              <w:rPr/>
              <w:t>☐</w:t>
            </w:r>
          </w:p>
        </w:tc>
      </w:tr>
    </w:tbl>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3" w:before="0" w:after="0"/>
        <w:ind w:left="0" w:right="0" w:hanging="0"/>
        <w:jc w:val="both"/>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As of April 25, 2024, there were 22,946,442 shares of the registrant’s common stock, $0.01 par value per share, outstanding.</w:t>
      </w:r>
    </w:p>
    <w:p>
      <w:pPr>
        <w:pStyle w:val="TextBody"/>
        <w:bidi w:val="0"/>
        <w:spacing w:lineRule="auto" w:line="283" w:before="0" w:after="0"/>
        <w:ind w:left="0" w:right="0" w:hanging="0"/>
        <w:jc w:val="center"/>
        <w:rPr/>
      </w:pPr>
      <w:r>
        <w:rPr/>
        <w:t>​</w:t>
      </w:r>
    </w:p>
    <w:p>
      <w:pPr>
        <w:pStyle w:val="TextBody"/>
        <w:pBdr>
          <w:bottom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5" w:name="Toc"/>
      <w:bookmarkStart w:id="46" w:name="_2b7d8a92_4b95_47cd_8917_d64c0d9e5b28"/>
      <w:bookmarkEnd w:id="45"/>
      <w:bookmarkEnd w:id="46"/>
      <w:r>
        <w:rPr>
          <w:rFonts w:ascii="Times New Roman;Times;serif" w:hAnsi="Times New Roman;Times;serif"/>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08"/>
        <w:gridCol w:w="326"/>
        <w:gridCol w:w="571"/>
      </w:tblGrid>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308" w:type="dxa"/>
            <w:tcBorders/>
            <w:vAlign w:val="center"/>
          </w:tcPr>
          <w:p>
            <w:pPr>
              <w:pStyle w:val="TableContents"/>
              <w:bidi w:val="0"/>
              <w:spacing w:before="0" w:after="0"/>
              <w:ind w:left="0" w:right="0" w:hanging="0"/>
              <w:jc w:val="left"/>
              <w:rPr/>
            </w:pPr>
            <w:hyperlink w:anchor="PARTIFINANCIALINFORMATION_609111">
              <w:r>
                <w:rPr>
                  <w:rStyle w:val="InternetLink"/>
                  <w:rFonts w:ascii="Times New Roman;Times;serif" w:hAnsi="Times New Roman;Times;serif"/>
                  <w:b w:val="false"/>
                  <w:i w:val="false"/>
                  <w:caps w:val="false"/>
                  <w:smallCaps w:val="false"/>
                  <w:sz w:val="20"/>
                </w:rPr>
                <w:t>PART I—FINANCIAL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FINANCIALSTATEMENTS_334556">
              <w:r>
                <w:rPr>
                  <w:rStyle w:val="InternetLink"/>
                  <w:rFonts w:ascii="Times New Roman;Times;serif" w:hAnsi="Times New Roman;Times;serif"/>
                  <w:b w:val="false"/>
                  <w:i w:val="false"/>
                  <w:caps w:val="false"/>
                  <w:smallCaps w:val="false"/>
                  <w:sz w:val="20"/>
                </w:rPr>
                <w:t>Item 1.      Financial Statements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 March 31, 2024 (Unaudited) and December 31, 2023</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OPERATIONS_48896">
              <w:r>
                <w:rPr>
                  <w:rStyle w:val="InternetLink"/>
                  <w:rFonts w:ascii="Times New Roman;Times;serif" w:hAnsi="Times New Roman;Times;serif"/>
                  <w:b w:val="false"/>
                  <w:i w:val="false"/>
                  <w:caps w:val="false"/>
                  <w:smallCaps w:val="false"/>
                  <w:sz w:val="20"/>
                </w:rPr>
                <w:t>Consolidated Statements of Operations – Three months ended March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 Three months ended March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months ended March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CASHFLOWS_277552">
              <w:r>
                <w:rPr>
                  <w:rStyle w:val="InternetLink"/>
                  <w:rFonts w:ascii="Times New Roman;Times;serif" w:hAnsi="Times New Roman;Times;serif"/>
                  <w:b w:val="false"/>
                  <w:i w:val="false"/>
                  <w:caps w:val="false"/>
                  <w:smallCaps w:val="false"/>
                  <w:sz w:val="20"/>
                </w:rPr>
                <w:t>Consolidated Statements of Cash Flows – Three months ended March 31, 2024 and 2023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NOTE1DESCRIPTIONOFBUSINESSANDPRINCIPLES">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MANAGEMENTSDISCUSSIONANDANALYSIS_90">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QUANTITATIVEANDQUALITATIVE_87114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CONTROLSANDPROCEDURES_992496">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PARTIIOTHERINFORMATION_47745">
              <w:r>
                <w:rPr>
                  <w:rStyle w:val="InternetLink"/>
                  <w:rFonts w:ascii="Times New Roman;Times;serif" w:hAnsi="Times New Roman;Times;serif"/>
                  <w:b w:val="false"/>
                  <w:i w:val="false"/>
                  <w:caps w:val="false"/>
                  <w:smallCaps w:val="false"/>
                  <w:sz w:val="20"/>
                </w:rPr>
                <w:t>PART II—OTHER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LEGALPROCEEDINGS_995157">
              <w:r>
                <w:rPr>
                  <w:rStyle w:val="InternetLink"/>
                  <w:rFonts w:ascii="Times New Roman;Times;serif" w:hAnsi="Times New Roman;Times;serif"/>
                  <w:b w:val="false"/>
                  <w:i w:val="false"/>
                  <w:caps w:val="false"/>
                  <w:smallCaps w:val="false"/>
                  <w:sz w:val="20"/>
                </w:rPr>
                <w:t>Item 1.      Legal Proceedings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ARISKFACTORS_785246">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UNREGISTEREDSALESOFEQUITY_22926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DEFAULTSUPONSENIORSECURITIES_987801">
              <w:r>
                <w:rPr>
                  <w:rStyle w:val="InternetLink"/>
                  <w:rFonts w:ascii="Times New Roman;Times;serif" w:hAnsi="Times New Roman;Times;serif"/>
                  <w:b w:val="false"/>
                  <w:i w:val="false"/>
                  <w:caps w:val="false"/>
                  <w:smallCaps w:val="false"/>
                  <w:sz w:val="20"/>
                </w:rPr>
                <w:t>Item 3.      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MINESAFETYDISCLOSURES_773804">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5OTHERINFORMATION_783928">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6EXHIBITS_552522">
              <w:r>
                <w:rPr>
                  <w:rStyle w:val="InternetLink"/>
                  <w:rFonts w:ascii="Times New Roman;Times;serif" w:hAnsi="Times New Roman;Times;serif"/>
                  <w:b w:val="false"/>
                  <w:i w:val="false"/>
                  <w:caps w:val="false"/>
                  <w:smallCaps w:val="false"/>
                  <w:sz w:val="20"/>
                </w:rPr>
                <w:t>Item 6.      Exhibits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Signatures_930257">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_609111"/>
      <w:bookmarkStart w:id="48" w:name="_8bd11390_1e0f_4dfc_8eda_0e8da9a7cec3"/>
      <w:bookmarkEnd w:id="47"/>
      <w:bookmarkEnd w:id="48"/>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49" w:name="ITEM1FINANCIALSTATEMENTS_334556"/>
      <w:bookmarkEnd w:id="49"/>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1" w:name="Tc_oa9u6Aj-fEKoHYkC1hD-iw_40_5"/>
      <w:bookmarkStart w:id="52" w:name="Tc_DT1YhqdFx0G5SxTW--5m-g_40_2"/>
      <w:bookmarkStart w:id="53" w:name="Tc_0bT83rv09k-rmyXb5mHFjg_40_0"/>
      <w:bookmarkStart w:id="54" w:name="Tc_pz6ZWQgI8kWQsaHMwrmSmQ_39_0"/>
      <w:bookmarkStart w:id="55" w:name="Tc_J2KZluhY80Ga-pnH4lSo9A_38_0"/>
      <w:bookmarkStart w:id="56" w:name="Tc_8KD-qs_SLE6GSKoWWlUP0A_37_0"/>
      <w:bookmarkStart w:id="57" w:name="Tc_VqhJQe21cEONUJ5jZwQYqA_36_0"/>
      <w:bookmarkStart w:id="58" w:name="Tc_sPidGiE__k2mv85_518Bpw_35_0"/>
      <w:bookmarkStart w:id="59" w:name="Tc_xTfFmzieZEq2XPN9psSTlQ_34_0"/>
      <w:bookmarkStart w:id="60" w:name="Tc_3wFslgzMhkuo9U5zQVvURQ_33_0"/>
      <w:bookmarkStart w:id="61" w:name="Tc_SjFGGcq3gE61S9akZJNxiw_32_0"/>
      <w:bookmarkStart w:id="62" w:name="Tc_JkgjuhlAQUOoPuHLkxGxRg_31_0"/>
      <w:bookmarkStart w:id="63" w:name="Tc_qCjSmpiaykmEyLNUy-yxOw_30_0"/>
      <w:bookmarkStart w:id="64" w:name="Tc_m8wrjknb80uVqKrBmUq7pA_29_0"/>
      <w:bookmarkStart w:id="65" w:name="Tc_MFcV0nkU0E-lkOuckPMe2w_28_0"/>
      <w:bookmarkStart w:id="66" w:name="Tc_3SRPrcmPZ0O080bV4xOo-g_27_0"/>
      <w:bookmarkStart w:id="67" w:name="Tc_4s03-RAS20ONmBUr4o8f9g_26_5"/>
      <w:bookmarkStart w:id="68" w:name="Tc_YFPpAjsMC0CbBnlcqpG2Ww_26_2"/>
      <w:bookmarkStart w:id="69" w:name="Tc_uIgWiZQd-EavpdU0SGPujA_26_0"/>
      <w:bookmarkStart w:id="70" w:name="Tc_1DPBEfLE1Eivwlj06phVfQ_25_0"/>
      <w:bookmarkStart w:id="71" w:name="Tc_qsiav1ZJI0-34Q0SmsDGhQ_24_0"/>
      <w:bookmarkStart w:id="72" w:name="Tc_zgA2xdD-KEWa7XiOgozf-g_23_5"/>
      <w:bookmarkStart w:id="73" w:name="Tc_KOKOhDLi7kGscPyr0Wcpzw_23_2"/>
      <w:bookmarkStart w:id="74" w:name="Tc_1Ds6HMdvt0ebWMSYmlGMxQ_23_0"/>
      <w:bookmarkStart w:id="75" w:name="Tc_zRnLZETnYEyc-ShI1UsOBg_22_0"/>
      <w:bookmarkStart w:id="76" w:name="Tc_P2Vau4Vu4kSh38bUquRLAg_21_0"/>
      <w:bookmarkStart w:id="77" w:name="Tc__PalFCkDeUKSV5YeBZPVqw_20_0"/>
      <w:bookmarkStart w:id="78" w:name="Tc_x1p2fCm-Wke6YhWESBVgIg_19_0"/>
      <w:bookmarkStart w:id="79" w:name="Tc_2wR0k0lpQE-N5wyV7oYBng_18_0"/>
      <w:bookmarkStart w:id="80" w:name="Tc_aeP5sUqzDkCP4lxq3zgELw_17_0"/>
      <w:bookmarkStart w:id="81" w:name="Tc_VM-HWGMQPEmuM-IRDMRMWQ_16_0"/>
      <w:bookmarkStart w:id="82" w:name="Tc_Pc-C1DqjaEaH-RKupGuRCQ_15_0"/>
      <w:bookmarkStart w:id="83" w:name="Tc_8-cm0voi8E-ctw-lfIquKQ_14_0"/>
      <w:bookmarkStart w:id="84" w:name="Tc_wduxa4a5skyU-_4wrvtbNQ_13_0"/>
      <w:bookmarkStart w:id="85" w:name="Tc_kejGk1MLm0iJRPx9mZ5PuQ_12_0"/>
      <w:bookmarkStart w:id="86" w:name="Tc_A9iIGsxNBkGXVV_opNxOrQ_11_0"/>
      <w:bookmarkStart w:id="87" w:name="Tc_h5fs9a9x2ku6P63I1OKetg_10_0"/>
      <w:bookmarkStart w:id="88" w:name="Tc_q2mpPP4uHUCvFanrlcS7GA_9_0"/>
      <w:bookmarkStart w:id="89" w:name="Tc_RHC4U8GDF02IjufrDsgi_g_8_0"/>
      <w:bookmarkStart w:id="90" w:name="Tc_0xRh1gUCiUyuEvSciFYRvA_7_0"/>
      <w:bookmarkStart w:id="91" w:name="Tc_xXSb0HrTx0CQrEiCNvcbIw_6_5"/>
      <w:bookmarkStart w:id="92" w:name="Tc_-ogn-E5KqEW2qreUObcyLw_6_2"/>
      <w:bookmarkStart w:id="93" w:name="Tc_ScYfLxwk00eAAkfNdQLwmg_6_0"/>
      <w:bookmarkStart w:id="94" w:name="Tc_6jfgRinStkWvqNjLa_bN8g_5_0"/>
      <w:bookmarkStart w:id="95" w:name="Tc_6f_XIN2wL0WEgzsebXHkYg_4_0"/>
      <w:bookmarkStart w:id="96" w:name="Tc_unQVcweslU6SHadGMa0xAw_3_5"/>
      <w:bookmarkStart w:id="97" w:name="Tc_wQ07Pdk670Ss2-Usdh6q2g_3_2"/>
      <w:bookmarkStart w:id="98" w:name="Tc_sSxuyY8V0E2UmPj5-uhlZg_2_2"/>
      <w:bookmarkStart w:id="99" w:name="Tc_eJM7Lnw3cEeGbonbAQ6X8w_1_2"/>
      <w:bookmarkStart w:id="100" w:name="_072f47aa_2fec_4474_90c4_971cb29a3b3c"/>
      <w:bookmarkStart w:id="101" w:name="Tc_oa9u6Aj-fEKoHYkC1hD-iw_40_5"/>
      <w:bookmarkStart w:id="102" w:name="Tc_DT1YhqdFx0G5SxTW--5m-g_40_2"/>
      <w:bookmarkStart w:id="103" w:name="Tc_0bT83rv09k-rmyXb5mHFjg_40_0"/>
      <w:bookmarkStart w:id="104" w:name="Tc_pz6ZWQgI8kWQsaHMwrmSmQ_39_0"/>
      <w:bookmarkStart w:id="105" w:name="Tc_J2KZluhY80Ga-pnH4lSo9A_38_0"/>
      <w:bookmarkStart w:id="106" w:name="Tc_8KD-qs_SLE6GSKoWWlUP0A_37_0"/>
      <w:bookmarkStart w:id="107" w:name="Tc_VqhJQe21cEONUJ5jZwQYqA_36_0"/>
      <w:bookmarkStart w:id="108" w:name="Tc_sPidGiE__k2mv85_518Bpw_35_0"/>
      <w:bookmarkStart w:id="109" w:name="Tc_xTfFmzieZEq2XPN9psSTlQ_34_0"/>
      <w:bookmarkStart w:id="110" w:name="Tc_3wFslgzMhkuo9U5zQVvURQ_33_0"/>
      <w:bookmarkStart w:id="111" w:name="Tc_SjFGGcq3gE61S9akZJNxiw_32_0"/>
      <w:bookmarkStart w:id="112" w:name="Tc_JkgjuhlAQUOoPuHLkxGxRg_31_0"/>
      <w:bookmarkStart w:id="113" w:name="Tc_qCjSmpiaykmEyLNUy-yxOw_30_0"/>
      <w:bookmarkStart w:id="114" w:name="Tc_m8wrjknb80uVqKrBmUq7pA_29_0"/>
      <w:bookmarkStart w:id="115" w:name="Tc_MFcV0nkU0E-lkOuckPMe2w_28_0"/>
      <w:bookmarkStart w:id="116" w:name="Tc_3SRPrcmPZ0O080bV4xOo-g_27_0"/>
      <w:bookmarkStart w:id="117" w:name="Tc_4s03-RAS20ONmBUr4o8f9g_26_5"/>
      <w:bookmarkStart w:id="118" w:name="Tc_YFPpAjsMC0CbBnlcqpG2Ww_26_2"/>
      <w:bookmarkStart w:id="119" w:name="Tc_uIgWiZQd-EavpdU0SGPujA_26_0"/>
      <w:bookmarkStart w:id="120" w:name="Tc_1DPBEfLE1Eivwlj06phVfQ_25_0"/>
      <w:bookmarkStart w:id="121" w:name="Tc_qsiav1ZJI0-34Q0SmsDGhQ_24_0"/>
      <w:bookmarkStart w:id="122" w:name="Tc_zgA2xdD-KEWa7XiOgozf-g_23_5"/>
      <w:bookmarkStart w:id="123" w:name="Tc_KOKOhDLi7kGscPyr0Wcpzw_23_2"/>
      <w:bookmarkStart w:id="124" w:name="Tc_1Ds6HMdvt0ebWMSYmlGMxQ_23_0"/>
      <w:bookmarkStart w:id="125" w:name="Tc_zRnLZETnYEyc-ShI1UsOBg_22_0"/>
      <w:bookmarkStart w:id="126" w:name="Tc_P2Vau4Vu4kSh38bUquRLAg_21_0"/>
      <w:bookmarkStart w:id="127" w:name="Tc__PalFCkDeUKSV5YeBZPVqw_20_0"/>
      <w:bookmarkStart w:id="128" w:name="Tc_x1p2fCm-Wke6YhWESBVgIg_19_0"/>
      <w:bookmarkStart w:id="129" w:name="Tc_2wR0k0lpQE-N5wyV7oYBng_18_0"/>
      <w:bookmarkStart w:id="130" w:name="Tc_aeP5sUqzDkCP4lxq3zgELw_17_0"/>
      <w:bookmarkStart w:id="131" w:name="Tc_VM-HWGMQPEmuM-IRDMRMWQ_16_0"/>
      <w:bookmarkStart w:id="132" w:name="Tc_Pc-C1DqjaEaH-RKupGuRCQ_15_0"/>
      <w:bookmarkStart w:id="133" w:name="Tc_8-cm0voi8E-ctw-lfIquKQ_14_0"/>
      <w:bookmarkStart w:id="134" w:name="Tc_wduxa4a5skyU-_4wrvtbNQ_13_0"/>
      <w:bookmarkStart w:id="135" w:name="Tc_kejGk1MLm0iJRPx9mZ5PuQ_12_0"/>
      <w:bookmarkStart w:id="136" w:name="Tc_A9iIGsxNBkGXVV_opNxOrQ_11_0"/>
      <w:bookmarkStart w:id="137" w:name="Tc_h5fs9a9x2ku6P63I1OKetg_10_0"/>
      <w:bookmarkStart w:id="138" w:name="Tc_q2mpPP4uHUCvFanrlcS7GA_9_0"/>
      <w:bookmarkStart w:id="139" w:name="Tc_RHC4U8GDF02IjufrDsgi_g_8_0"/>
      <w:bookmarkStart w:id="140" w:name="Tc_0xRh1gUCiUyuEvSciFYRvA_7_0"/>
      <w:bookmarkStart w:id="141" w:name="Tc_xXSb0HrTx0CQrEiCNvcbIw_6_5"/>
      <w:bookmarkStart w:id="142" w:name="Tc_-ogn-E5KqEW2qreUObcyLw_6_2"/>
      <w:bookmarkStart w:id="143" w:name="Tc_ScYfLxwk00eAAkfNdQLwmg_6_0"/>
      <w:bookmarkStart w:id="144" w:name="Tc_6jfgRinStkWvqNjLa_bN8g_5_0"/>
      <w:bookmarkStart w:id="145" w:name="Tc_6f_XIN2wL0WEgzsebXHkYg_4_0"/>
      <w:bookmarkStart w:id="146" w:name="Tc_unQVcweslU6SHadGMa0xAw_3_5"/>
      <w:bookmarkStart w:id="147" w:name="Tc_wQ07Pdk670Ss2-Usdh6q2g_3_2"/>
      <w:bookmarkStart w:id="148" w:name="Tc_sSxuyY8V0E2UmPj5-uhlZg_2_2"/>
      <w:bookmarkStart w:id="149" w:name="Tc_eJM7Lnw3cEeGbonbAQ6X8w_1_2"/>
      <w:bookmarkStart w:id="150" w:name="_072f47aa_2fec_4474_90c4_971cb29a3b3c"/>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6893"/>
        <w:gridCol w:w="326"/>
        <w:gridCol w:w="226"/>
        <w:gridCol w:w="998"/>
        <w:gridCol w:w="326"/>
        <w:gridCol w:w="272"/>
        <w:gridCol w:w="1164"/>
      </w:tblGrid>
      <w:tr>
        <w:trPr/>
        <w:tc>
          <w:tcPr>
            <w:tcW w:w="68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7010" cy="175260"/>
                      <wp:effectExtent l="0" t="0" r="0" b="0"/>
                      <wp:wrapNone/>
                      <wp:docPr id="1" name="Frame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3510" cy="175260"/>
                      <wp:effectExtent l="0" t="0" r="0" b="0"/>
                      <wp:wrapNone/>
                      <wp:docPr id="2" name="Frame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33730" cy="175260"/>
                      <wp:effectExtent l="0" t="0" r="0" b="0"/>
                      <wp:wrapNone/>
                      <wp:docPr id="3" name="Frame3"/>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72720" cy="175260"/>
                      <wp:effectExtent l="0" t="0" r="0" b="0"/>
                      <wp:wrapNone/>
                      <wp:docPr id="5" name="Frame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39140" cy="175260"/>
                      <wp:effectExtent l="0" t="0" r="0" b="0"/>
                      <wp:wrapNone/>
                      <wp:docPr id="6" name="Frame6"/>
                      <a:graphic xmlns:a="http://schemas.openxmlformats.org/drawingml/2006/main">
                        <a:graphicData uri="http://schemas.microsoft.com/office/word/2010/wordprocessingShape">
                          <wps:wsp>
                            <wps:cNvSpPr txBox="1"/>
                            <wps:spPr>
                              <a:xfrm>
                                <a:off x="0" y="0"/>
                                <a:ext cx="739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8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center"/>
              <w:rPr/>
            </w:pPr>
            <w:r>
              <w:rPr/>
              <w:t>​</w:t>
            </w:r>
          </w:p>
        </w:tc>
        <w:tc>
          <w:tcPr>
            <w:tcW w:w="1164" w:type="dxa"/>
            <w:tcBorders/>
            <w:vAlign w:val="center"/>
          </w:tcPr>
          <w:p>
            <w:pPr>
              <w:pStyle w:val="TableContents"/>
              <w:bidi w:val="0"/>
              <w:spacing w:before="0" w:after="0"/>
              <w:ind w:left="0" w:right="0" w:hanging="0"/>
              <w:jc w:val="center"/>
              <w:rPr/>
            </w:pPr>
            <w:r>
              <w:rPr/>
              <w:t>​</w:t>
            </w:r>
          </w:p>
        </w:tc>
      </w:tr>
      <w:tr>
        <w:trPr/>
        <w:tc>
          <w:tcPr>
            <w:tcW w:w="68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center"/>
              <w:rPr/>
            </w:pPr>
            <w:r>
              <w:rPr/>
              <w:t>    </w:t>
            </w:r>
          </w:p>
        </w:tc>
        <w:tc>
          <w:tcPr>
            <w:tcW w:w="14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68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pPr>
            <w:r>
              <w:rPr/>
              <w:t>​</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pPr>
            <w:r>
              <w:rPr/>
              <w:t>​</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234,681</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222,232</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599,901</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559,389</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Furnishings and Equipment,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 at Cost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3,997</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838,767</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786,475</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(56,810)</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(52,012)</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781,957</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734,463</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 and Development Costs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101,039</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97,109</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Alpine Income Property Trust, Inc.</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35,643</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39,445</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Mitigation Credits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66,552</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61,849</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10,214</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Refundable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Taxes—Net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Assets—See Note 11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37,964</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34,953</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1,041,083</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989,668</w:t>
            </w:r>
          </w:p>
        </w:tc>
      </w:tr>
      <w:tr>
        <w:trPr/>
        <w:tc>
          <w:tcPr>
            <w:tcW w:w="68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pPr>
            <w:r>
              <w:rPr/>
              <w:t>​</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pPr>
            <w:r>
              <w:rPr/>
              <w:t>​</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2,758</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Liabilities—See Note 17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14,541</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18,373</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Revenue—See Note 18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14,353</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10,441</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542,020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495,370</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578,842</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532,142</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21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pPr>
            <w:r>
              <w:rPr/>
              <w:t>​</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pPr>
            <w:r>
              <w:rPr/>
              <w:t>​</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Preferred Stock – 100,000,000 shares authorized; $0.01 par value, 6.375% Series A Cumulative Redeemable Preferred Stock, $25.00 Per Share Liquidation Preference, 2,978,808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March 31, 2024 and </w:t>
            </w:r>
            <w:r>
              <w:rPr>
                <w:rFonts w:ascii="Times New Roman;Times;serif" w:hAnsi="Times New Roman;Times;serif"/>
                <w:b w:val="false"/>
                <w:i w:val="false"/>
                <w:caps w:val="false"/>
                <w:smallCaps w:val="false"/>
                <w:sz w:val="20"/>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500,000,000 shares authorized; $0.01 par value, 22,909,058 shares issued and outstanding at March 31, 2024 and 22,643,034 shares issued and outstanding at December 31, 2023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169,924</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168,435</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277,654</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281,944</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14,404</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6,891</w:t>
            </w:r>
          </w:p>
        </w:tc>
      </w:tr>
      <w:tr>
        <w:trPr/>
        <w:tc>
          <w:tcPr>
            <w:tcW w:w="6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462,241</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457,526</w:t>
            </w:r>
          </w:p>
        </w:tc>
      </w:tr>
      <w:tr>
        <w:trPr/>
        <w:tc>
          <w:tcPr>
            <w:tcW w:w="6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1,041,083</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989,668</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51" w:name="_54e69081_bd94_4fa3_b346_997778b8477e"/>
      <w:bookmarkEnd w:id="151"/>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152" w:name="CONSOLIDATEDSTATEMENTSOFOPERATIONS_48896"/>
      <w:bookmarkEnd w:id="152"/>
      <w:r>
        <w:rPr>
          <w:rFonts w:ascii="Times New Roman;Times;serif" w:hAnsi="Times New Roman;Times;serif"/>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3" w:name="Tc_v-GQc65EsEqrdMe4BGq4oA_35_0"/>
      <w:bookmarkStart w:id="154" w:name="Tc_RJnd0kiLZUCOWx9H08KqsQ_34_0"/>
      <w:bookmarkStart w:id="155" w:name="Tc_my64gTGAPU62RNwp86W_Gw_33_0"/>
      <w:bookmarkStart w:id="156" w:name="Tc_ZKKCzseEO06T4xOOIEF20Q_31_5"/>
      <w:bookmarkStart w:id="157" w:name="Tc_bDVxJRYB-E2UbtZjMGqWUA_31_2"/>
      <w:bookmarkStart w:id="158" w:name="Tc_FMZ7iQ8Cmk-F7cHXB3QrGA_31_0"/>
      <w:bookmarkStart w:id="159" w:name="Tc_xi7AXWK2pU23UPsj5cu2XQ_30_5"/>
      <w:bookmarkStart w:id="160" w:name="Tc_IQDQ4ayfCUyRA2R2NAcRrA_30_2"/>
      <w:bookmarkStart w:id="161" w:name="Tc_5Z0Efv3EGEWFk-n8FRpNOg_30_0"/>
      <w:bookmarkStart w:id="162" w:name="Tc_fQSUn6P4j0CEebyCtcbhtg_29_0"/>
      <w:bookmarkStart w:id="163" w:name="Tc_rcZ1KjWiUECGT1RWwJoAcg_27_5"/>
      <w:bookmarkStart w:id="164" w:name="Tc_lY97PZyPi0q87q_P947obA_27_2"/>
      <w:bookmarkStart w:id="165" w:name="Tc_6MbfOA7ctEeu0Pw-QwHxHg_27_0"/>
      <w:bookmarkStart w:id="166" w:name="Tc__gPIPmApOUOybKOpjHb5DQ_26_0"/>
      <w:bookmarkStart w:id="167" w:name="Tc_0nOevv1cz0-Uwyh95wREEQ_25_0"/>
      <w:bookmarkStart w:id="168" w:name="Tc_KxrU41VHpkONwYZz53_3UA_24_0"/>
      <w:bookmarkStart w:id="169" w:name="Tc_B6B5h8StaEC8nFQxg6ti9A_23_0"/>
      <w:bookmarkStart w:id="170" w:name="Tc_T18O-VusvUO87Zznd7JNFg_22_0"/>
      <w:bookmarkStart w:id="171" w:name="Tc_u7P279d3i0qz6ChaTyA6tw_21_0"/>
      <w:bookmarkStart w:id="172" w:name="Tc_RKZT1hkPd0yBlhDWfW1a0A_20_0"/>
      <w:bookmarkStart w:id="173" w:name="Tc_rJwiYGj9TUyZ-HWAG5ywjA_19_6"/>
      <w:bookmarkStart w:id="174" w:name="Tc_q7aw1bFrUky6-3UrLcm20g_19_0"/>
      <w:bookmarkStart w:id="175" w:name="Tc_Uq8wRuwsgEWJJEkaar-qFQ_18_6"/>
      <w:bookmarkStart w:id="176" w:name="Tc_sOHP2koUIkSeHKwLurdkjA_18_0"/>
      <w:bookmarkStart w:id="177" w:name="Tc_gERkw6NrXU2RoCBrh1_vSQ_17_0"/>
      <w:bookmarkStart w:id="178" w:name="Tc_lQRT6pzH8Uq7ldyKSQ6KTA_16_0"/>
      <w:bookmarkStart w:id="179" w:name="Tc_EhFtaFSRa0ugWecM4FBY7w_15_0"/>
      <w:bookmarkStart w:id="180" w:name="Tc_SGF7bYCTRUyYWg7jByK3Bg_14_0"/>
      <w:bookmarkStart w:id="181" w:name="Tc_dlJz_6f3F0a6Nmgjq1Fu5g_13_0"/>
      <w:bookmarkStart w:id="182" w:name="Tc_INcBnWuvpUuwDRbqK-Sh4w_12_0"/>
      <w:bookmarkStart w:id="183" w:name="Tc_ta7NqjLN0Uqaj6kXyTqMAg_11_0"/>
      <w:bookmarkStart w:id="184" w:name="Tc_NdqYdiRl6Ui2qqu_s-PIfw_10_0"/>
      <w:bookmarkStart w:id="185" w:name="Tc_UIdHBGY2tkuc4Btxk5AIyg_9_0"/>
      <w:bookmarkStart w:id="186" w:name="Tc_oXviDP9QNE-pxUz06toLAQ_8_0"/>
      <w:bookmarkStart w:id="187" w:name="Tc_38cA5aTllEKbGt7-an3yFA_7_0"/>
      <w:bookmarkStart w:id="188" w:name="Tc_ju4hLipPSkCSYvT4U69SnQ_6_0"/>
      <w:bookmarkStart w:id="189" w:name="Tc_pGpC7CnPcUew9c6cBMlHcA_5_5"/>
      <w:bookmarkStart w:id="190" w:name="Tc_J-sVtPkjG0K4kMQTbF4wDQ_5_2"/>
      <w:bookmarkStart w:id="191" w:name="Tc_63k6D696xkmxgQyxMnSxKQ_5_0"/>
      <w:bookmarkStart w:id="192" w:name="Tc_mJPRd4M0kkaZ2VFf33nO1g_4_0"/>
      <w:bookmarkStart w:id="193" w:name="Tc_EUzIHArmBk6nd6lkv-VaMQ_3_5"/>
      <w:bookmarkStart w:id="194" w:name="Tc_i7yt-SnDZ0yUnI-5E4PPHQ_3_2"/>
      <w:bookmarkStart w:id="195" w:name="Tc_d61fsWtdcE-8rKecscYIJg_2_5"/>
      <w:bookmarkStart w:id="196" w:name="Tc_nwc6lGPMmE-JhOxNODFNkQ_2_2"/>
      <w:bookmarkStart w:id="197" w:name="Tc_WJDaiD8WOEqhSG5bd-1ZZw_1_2"/>
      <w:bookmarkStart w:id="198" w:name="_3de3f967_67b8_4f52_bf0c_e667a74c2220"/>
      <w:bookmarkStart w:id="199" w:name="Tc_v-GQc65EsEqrdMe4BGq4oA_35_0"/>
      <w:bookmarkStart w:id="200" w:name="Tc_RJnd0kiLZUCOWx9H08KqsQ_34_0"/>
      <w:bookmarkStart w:id="201" w:name="Tc_my64gTGAPU62RNwp86W_Gw_33_0"/>
      <w:bookmarkStart w:id="202" w:name="Tc_ZKKCzseEO06T4xOOIEF20Q_31_5"/>
      <w:bookmarkStart w:id="203" w:name="Tc_bDVxJRYB-E2UbtZjMGqWUA_31_2"/>
      <w:bookmarkStart w:id="204" w:name="Tc_FMZ7iQ8Cmk-F7cHXB3QrGA_31_0"/>
      <w:bookmarkStart w:id="205" w:name="Tc_xi7AXWK2pU23UPsj5cu2XQ_30_5"/>
      <w:bookmarkStart w:id="206" w:name="Tc_IQDQ4ayfCUyRA2R2NAcRrA_30_2"/>
      <w:bookmarkStart w:id="207" w:name="Tc_5Z0Efv3EGEWFk-n8FRpNOg_30_0"/>
      <w:bookmarkStart w:id="208" w:name="Tc_fQSUn6P4j0CEebyCtcbhtg_29_0"/>
      <w:bookmarkStart w:id="209" w:name="Tc_rcZ1KjWiUECGT1RWwJoAcg_27_5"/>
      <w:bookmarkStart w:id="210" w:name="Tc_lY97PZyPi0q87q_P947obA_27_2"/>
      <w:bookmarkStart w:id="211" w:name="Tc_6MbfOA7ctEeu0Pw-QwHxHg_27_0"/>
      <w:bookmarkStart w:id="212" w:name="Tc__gPIPmApOUOybKOpjHb5DQ_26_0"/>
      <w:bookmarkStart w:id="213" w:name="Tc_0nOevv1cz0-Uwyh95wREEQ_25_0"/>
      <w:bookmarkStart w:id="214" w:name="Tc_KxrU41VHpkONwYZz53_3UA_24_0"/>
      <w:bookmarkStart w:id="215" w:name="Tc_B6B5h8StaEC8nFQxg6ti9A_23_0"/>
      <w:bookmarkStart w:id="216" w:name="Tc_T18O-VusvUO87Zznd7JNFg_22_0"/>
      <w:bookmarkStart w:id="217" w:name="Tc_u7P279d3i0qz6ChaTyA6tw_21_0"/>
      <w:bookmarkStart w:id="218" w:name="Tc_RKZT1hkPd0yBlhDWfW1a0A_20_0"/>
      <w:bookmarkStart w:id="219" w:name="Tc_rJwiYGj9TUyZ-HWAG5ywjA_19_6"/>
      <w:bookmarkStart w:id="220" w:name="Tc_q7aw1bFrUky6-3UrLcm20g_19_0"/>
      <w:bookmarkStart w:id="221" w:name="Tc_Uq8wRuwsgEWJJEkaar-qFQ_18_6"/>
      <w:bookmarkStart w:id="222" w:name="Tc_sOHP2koUIkSeHKwLurdkjA_18_0"/>
      <w:bookmarkStart w:id="223" w:name="Tc_gERkw6NrXU2RoCBrh1_vSQ_17_0"/>
      <w:bookmarkStart w:id="224" w:name="Tc_lQRT6pzH8Uq7ldyKSQ6KTA_16_0"/>
      <w:bookmarkStart w:id="225" w:name="Tc_EhFtaFSRa0ugWecM4FBY7w_15_0"/>
      <w:bookmarkStart w:id="226" w:name="Tc_SGF7bYCTRUyYWg7jByK3Bg_14_0"/>
      <w:bookmarkStart w:id="227" w:name="Tc_dlJz_6f3F0a6Nmgjq1Fu5g_13_0"/>
      <w:bookmarkStart w:id="228" w:name="Tc_INcBnWuvpUuwDRbqK-Sh4w_12_0"/>
      <w:bookmarkStart w:id="229" w:name="Tc_ta7NqjLN0Uqaj6kXyTqMAg_11_0"/>
      <w:bookmarkStart w:id="230" w:name="Tc_NdqYdiRl6Ui2qqu_s-PIfw_10_0"/>
      <w:bookmarkStart w:id="231" w:name="Tc_UIdHBGY2tkuc4Btxk5AIyg_9_0"/>
      <w:bookmarkStart w:id="232" w:name="Tc_oXviDP9QNE-pxUz06toLAQ_8_0"/>
      <w:bookmarkStart w:id="233" w:name="Tc_38cA5aTllEKbGt7-an3yFA_7_0"/>
      <w:bookmarkStart w:id="234" w:name="Tc_ju4hLipPSkCSYvT4U69SnQ_6_0"/>
      <w:bookmarkStart w:id="235" w:name="Tc_pGpC7CnPcUew9c6cBMlHcA_5_5"/>
      <w:bookmarkStart w:id="236" w:name="Tc_J-sVtPkjG0K4kMQTbF4wDQ_5_2"/>
      <w:bookmarkStart w:id="237" w:name="Tc_63k6D696xkmxgQyxMnSxKQ_5_0"/>
      <w:bookmarkStart w:id="238" w:name="Tc_mJPRd4M0kkaZ2VFf33nO1g_4_0"/>
      <w:bookmarkStart w:id="239" w:name="Tc_EUzIHArmBk6nd6lkv-VaMQ_3_5"/>
      <w:bookmarkStart w:id="240" w:name="Tc_i7yt-SnDZ0yUnI-5E4PPHQ_3_2"/>
      <w:bookmarkStart w:id="241" w:name="Tc_d61fsWtdcE-8rKecscYIJg_2_5"/>
      <w:bookmarkStart w:id="242" w:name="Tc_nwc6lGPMmE-JhOxNODFNkQ_2_2"/>
      <w:bookmarkStart w:id="243" w:name="Tc_WJDaiD8WOEqhSG5bd-1ZZw_1_2"/>
      <w:bookmarkStart w:id="244" w:name="_3de3f967_67b8_4f52_bf0c_e667a74c2220"/>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8664" w:type="dxa"/>
        <w:jc w:val="left"/>
        <w:tblInd w:w="0" w:type="dxa"/>
        <w:tblLayout w:type="fixed"/>
        <w:tblCellMar>
          <w:top w:w="0" w:type="dxa"/>
          <w:left w:w="0" w:type="dxa"/>
          <w:bottom w:w="0" w:type="dxa"/>
          <w:right w:w="0" w:type="dxa"/>
        </w:tblCellMar>
      </w:tblPr>
      <w:tblGrid>
        <w:gridCol w:w="5401"/>
        <w:gridCol w:w="326"/>
        <w:gridCol w:w="211"/>
        <w:gridCol w:w="1036"/>
        <w:gridCol w:w="326"/>
        <w:gridCol w:w="211"/>
        <w:gridCol w:w="1153"/>
      </w:tblGrid>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57860" cy="175260"/>
                      <wp:effectExtent l="0" t="0" r="0" b="0"/>
                      <wp:wrapNone/>
                      <wp:docPr id="9" name="Frame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32155" cy="175260"/>
                      <wp:effectExtent l="0" t="0" r="0" b="0"/>
                      <wp:wrapNone/>
                      <wp:docPr id="12" name="Frame12"/>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9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54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c>
          <w:tcPr>
            <w:tcW w:w="326" w:type="dxa"/>
            <w:tcBorders/>
            <w:vAlign w:val="center"/>
          </w:tcPr>
          <w:p>
            <w:pPr>
              <w:pStyle w:val="TableContents"/>
              <w:bidi w:val="0"/>
              <w:spacing w:before="0" w:after="0"/>
              <w:ind w:left="0" w:right="0" w:hanging="0"/>
              <w:jc w:val="center"/>
              <w:rPr/>
            </w:pPr>
            <w:r>
              <w:rPr/>
              <w:t>​</w:t>
            </w:r>
          </w:p>
        </w:tc>
        <w:tc>
          <w:tcPr>
            <w:tcW w:w="136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54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22,432</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24,717</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 of Revenues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(7,238)</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(10,316)</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(4,632)</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Benefit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r>
      <w:tr>
        <w:trPr/>
        <w:tc>
          <w:tcPr>
            <w:tcW w:w="5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Information—See Note 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Income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Net Income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5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22,551,241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26,057,652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22,704,829</w:t>
            </w:r>
          </w:p>
        </w:tc>
      </w:tr>
    </w:tbl>
    <w:p>
      <w:pPr>
        <w:pStyle w:val="TextBody"/>
        <w:bidi w:val="0"/>
        <w:spacing w:before="0" w:after="0"/>
        <w:ind w:left="0" w:right="0" w:hanging="0"/>
        <w:jc w:val="center"/>
        <w:rPr/>
      </w:pPr>
      <w:r>
        <w:rPr/>
        <w:t>​</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45" w:name="_13f7c0c5_5575_43b1_9241_5c6d549e5aaa"/>
      <w:bookmarkEnd w:id="245"/>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246" w:name="CONSOLIDATEDSTATEMENTSOFCOMPREHENSIVEINC"/>
      <w:bookmarkEnd w:id="246"/>
      <w:r>
        <w:rPr>
          <w:rFonts w:ascii="Times New Roman;Times;serif" w:hAnsi="Times New Roman;Times;serif"/>
          <w:sz w:val="20"/>
        </w:rPr>
        <w:t>CONSOLIDATED STATEMENTS OF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47" w:name="Tc_Q_WkHGX3gEa6WxAZivBecw_7_5"/>
      <w:bookmarkStart w:id="248" w:name="Tc_glNaN5fhREGBf7G_juhVnQ_7_2"/>
      <w:bookmarkStart w:id="249" w:name="Tc_N8QDdKlYUU--4HX4KaIToQ_7_0"/>
      <w:bookmarkStart w:id="250" w:name="Tc_PT-21HMcjUqSpzVm4y_Dlw_6_0"/>
      <w:bookmarkStart w:id="251" w:name="Tc_igJww0npEUa9wkZkouwuPA_5_0"/>
      <w:bookmarkStart w:id="252" w:name="Tc_QciPeHEP4k-5uOvYICp49A_4_0"/>
      <w:bookmarkStart w:id="253" w:name="Tc_Gbum0tNIrEexiwK5VIJaug_3_5"/>
      <w:bookmarkStart w:id="254" w:name="Tc_2ftZGFUWW0-98XC6jj1XCQ_3_2"/>
      <w:bookmarkStart w:id="255" w:name="Tc__dj4r10il06tc8W5q8WA3A_3_0"/>
      <w:bookmarkStart w:id="256" w:name="Tc_ijyejxQH-UaXR1DlMjwOHg_2_5"/>
      <w:bookmarkStart w:id="257" w:name="Tc_AV6cXgs9YE63PLSbpxzRJg_2_2"/>
      <w:bookmarkStart w:id="258" w:name="Tc_rfg0FAzSrEiNNKb5mp1ILQ_1_2"/>
      <w:bookmarkStart w:id="259" w:name="_fb6ee026_1109_451a_850f_0bed5a0105de"/>
      <w:bookmarkStart w:id="260" w:name="Tc_Q_WkHGX3gEa6WxAZivBecw_7_5"/>
      <w:bookmarkStart w:id="261" w:name="Tc_glNaN5fhREGBf7G_juhVnQ_7_2"/>
      <w:bookmarkStart w:id="262" w:name="Tc_N8QDdKlYUU--4HX4KaIToQ_7_0"/>
      <w:bookmarkStart w:id="263" w:name="Tc_PT-21HMcjUqSpzVm4y_Dlw_6_0"/>
      <w:bookmarkStart w:id="264" w:name="Tc_igJww0npEUa9wkZkouwuPA_5_0"/>
      <w:bookmarkStart w:id="265" w:name="Tc_QciPeHEP4k-5uOvYICp49A_4_0"/>
      <w:bookmarkStart w:id="266" w:name="Tc_Gbum0tNIrEexiwK5VIJaug_3_5"/>
      <w:bookmarkStart w:id="267" w:name="Tc_2ftZGFUWW0-98XC6jj1XCQ_3_2"/>
      <w:bookmarkStart w:id="268" w:name="Tc__dj4r10il06tc8W5q8WA3A_3_0"/>
      <w:bookmarkStart w:id="269" w:name="Tc_ijyejxQH-UaXR1DlMjwOHg_2_5"/>
      <w:bookmarkStart w:id="270" w:name="Tc_AV6cXgs9YE63PLSbpxzRJg_2_2"/>
      <w:bookmarkStart w:id="271" w:name="Tc_rfg0FAzSrEiNNKb5mp1ILQ_1_2"/>
      <w:bookmarkStart w:id="272" w:name="_fb6ee026_1109_451a_850f_0bed5a0105de"/>
      <w:bookmarkEnd w:id="260"/>
      <w:bookmarkEnd w:id="261"/>
      <w:bookmarkEnd w:id="262"/>
      <w:bookmarkEnd w:id="263"/>
      <w:bookmarkEnd w:id="264"/>
      <w:bookmarkEnd w:id="265"/>
      <w:bookmarkEnd w:id="266"/>
      <w:bookmarkEnd w:id="267"/>
      <w:bookmarkEnd w:id="268"/>
      <w:bookmarkEnd w:id="269"/>
      <w:bookmarkEnd w:id="270"/>
      <w:bookmarkEnd w:id="271"/>
      <w:bookmarkEnd w:id="272"/>
    </w:p>
    <w:tbl>
      <w:tblPr>
        <w:tblW w:w="7711" w:type="dxa"/>
        <w:jc w:val="left"/>
        <w:tblInd w:w="0" w:type="dxa"/>
        <w:tblLayout w:type="fixed"/>
        <w:tblCellMar>
          <w:top w:w="0" w:type="dxa"/>
          <w:left w:w="0" w:type="dxa"/>
          <w:bottom w:w="0" w:type="dxa"/>
          <w:right w:w="0" w:type="dxa"/>
        </w:tblCellMar>
      </w:tblPr>
      <w:tblGrid>
        <w:gridCol w:w="4351"/>
        <w:gridCol w:w="109"/>
        <w:gridCol w:w="342"/>
        <w:gridCol w:w="1098"/>
        <w:gridCol w:w="326"/>
        <w:gridCol w:w="298"/>
        <w:gridCol w:w="1187"/>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762885" cy="175260"/>
                      <wp:effectExtent l="0" t="0" r="0" b="0"/>
                      <wp:wrapNone/>
                      <wp:docPr id="13" name="Frame13"/>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7170" cy="175260"/>
                      <wp:effectExtent l="0" t="0" r="0" b="0"/>
                      <wp:wrapNone/>
                      <wp:docPr id="15" name="Frame1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7230" cy="175260"/>
                      <wp:effectExtent l="0" t="0" r="0" b="0"/>
                      <wp:wrapNone/>
                      <wp:docPr id="16" name="Frame16"/>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89230" cy="175260"/>
                      <wp:effectExtent l="0" t="0" r="0" b="0"/>
                      <wp:wrapNone/>
                      <wp:docPr id="18" name="Frame18"/>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53745" cy="175260"/>
                      <wp:effectExtent l="0" t="0" r="0" b="0"/>
                      <wp:wrapNone/>
                      <wp:docPr id="19" name="Frame19"/>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2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center"/>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5,842</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pPr>
            <w:r>
              <w:rPr/>
              <w:t>​</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(4,891)</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(4,891)</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13,355</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(10,884)</w:t>
            </w:r>
          </w:p>
        </w:tc>
      </w:tr>
    </w:tbl>
    <w:p>
      <w:pPr>
        <w:pStyle w:val="TextBody"/>
        <w:bidi w:val="0"/>
        <w:spacing w:before="0" w:after="0"/>
        <w:ind w:left="0" w:right="0" w:hanging="0"/>
        <w:jc w:val="center"/>
        <w:rPr/>
      </w:pPr>
      <w:r>
        <w:rPr/>
        <w:t>​</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73" w:name="_e3d45461_6908_4bdd_b57a_47de9ead3f12"/>
      <w:bookmarkEnd w:id="273"/>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274" w:name="CONSOLIDATEDSTATEMENTSOFSHAREHOLDERSEQUI"/>
      <w:bookmarkEnd w:id="274"/>
      <w:r>
        <w:rPr>
          <w:rFonts w:ascii="Times New Roman;Times;serif" w:hAnsi="Times New Roman;Times;serif"/>
          <w:sz w:val="20"/>
        </w:rPr>
        <w:t>CONSOLIDATED STATEMENTS OF STOCKHOLDERS’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three months ended March 31, 2024:</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5" w:name="Tc_EzpvOGYpkECXyq7dfjodMQ_12_17"/>
      <w:bookmarkStart w:id="276" w:name="Tc_mlzPEHgvG0O4psR7FRmBcQ_12_14"/>
      <w:bookmarkStart w:id="277" w:name="Tc_zw6okcNo80Sm92dBn7uN7A_12_11"/>
      <w:bookmarkStart w:id="278" w:name="Tc_rn6X8klEUEGcf-MdyNu6eg_12_8"/>
      <w:bookmarkStart w:id="279" w:name="Tc_sGZXHLD2n0yn7wbIxW38CQ_12_5"/>
      <w:bookmarkStart w:id="280" w:name="Tc_iLtZ9UB7t0mhTX70kfu63g_12_2"/>
      <w:bookmarkStart w:id="281" w:name="Tc_8lXC03bMJ0-nze8AGtXTcg_12_0"/>
      <w:bookmarkStart w:id="282" w:name="Tc_1DVW0GhGNEOUkR0mL32e_w_11_12"/>
      <w:bookmarkStart w:id="283" w:name="Tc_R-vRwln9HU-3N7woUka1Sw_11_9"/>
      <w:bookmarkStart w:id="284" w:name="Tc_913dMg7ntUug3deaRGIFHw_11_6"/>
      <w:bookmarkStart w:id="285" w:name="Tc_0L5Tf8olf0CeRZC0R7qHxQ_11_3"/>
      <w:bookmarkStart w:id="286" w:name="Tc_ziAdk1MnQ0-ufZWd0xEHAw_11_0"/>
      <w:bookmarkStart w:id="287" w:name="Tc_twcmUiM0wkupUp0WRsKVVQ_10_15"/>
      <w:bookmarkStart w:id="288" w:name="Tc_H0tybfD-wE6qohZyE0m-Tg_10_9"/>
      <w:bookmarkStart w:id="289" w:name="Tc_9HCOnDHErEO9vqcDr3X78w_10_6"/>
      <w:bookmarkStart w:id="290" w:name="Tc_TJAz-W0u4UmMxkZB4e42yQ_10_3"/>
      <w:bookmarkStart w:id="291" w:name="Tc_4Lnuts2UcEaLucv1MwcxIA_10_0"/>
      <w:bookmarkStart w:id="292" w:name="Tc_FIu6yiVrbkuFwaqNOHAWyQ_9_15"/>
      <w:bookmarkStart w:id="293" w:name="Tc_BIv2MFkj3kmfGvKqnvOmiw_9_9"/>
      <w:bookmarkStart w:id="294" w:name="Tc_dFhRHdOnBUSchlo87gZ98g_9_6"/>
      <w:bookmarkStart w:id="295" w:name="Tc_AQLW3Rj2RE2gQz18ESqs2w_9_3"/>
      <w:bookmarkStart w:id="296" w:name="Tc_3tAFbhp56E6i8rys-qfCvA_9_0"/>
      <w:bookmarkStart w:id="297" w:name="Tc_z6BzFw66bU--lm6y8Zz27A_8_15"/>
      <w:bookmarkStart w:id="298" w:name="Tc_IwosgyslJE6E3Lhql4gqgw_8_12"/>
      <w:bookmarkStart w:id="299" w:name="Tc_JW7teS4UnUy3Us575OYn_A_8_6"/>
      <w:bookmarkStart w:id="300" w:name="Tc_OTVVBUQKkUq0TMlWJta5Kw_8_3"/>
      <w:bookmarkStart w:id="301" w:name="Tc_QflkAIwvEkSte7_v4haEpw_8_0"/>
      <w:bookmarkStart w:id="302" w:name="Tc_rViNibdwL0SOWj_IjSWneg_7_15"/>
      <w:bookmarkStart w:id="303" w:name="Tc_yIftW9KFtk-ZMsiZRmnulw_7_12"/>
      <w:bookmarkStart w:id="304" w:name="Tc_SrBAnr608EOXh1XETqgHLg_7_3"/>
      <w:bookmarkStart w:id="305" w:name="Tc_jrMu2vGokUmbN56DwIBpig_7_0"/>
      <w:bookmarkStart w:id="306" w:name="Tc_5LjPYSBRikivMmsyNQqj_w_6_15"/>
      <w:bookmarkStart w:id="307" w:name="Tc_vG1DEEbHXEOc0DQrPYwI2Q_6_12"/>
      <w:bookmarkStart w:id="308" w:name="Tc_MKRruq-FUka8D4bCH7s_iQ_6_6"/>
      <w:bookmarkStart w:id="309" w:name="Tc_EPuqx5o3Ukq2A3SMp6J8iw_6_3"/>
      <w:bookmarkStart w:id="310" w:name="Tc_AbGkpsWHpUeskgJ00RowSQ_6_0"/>
      <w:bookmarkStart w:id="311" w:name="Tc_WiL5OUxhxka6C3BDYYPLiw_5_15"/>
      <w:bookmarkStart w:id="312" w:name="Tc_Oc7mPxmO50iObLw72bclHg_5_12"/>
      <w:bookmarkStart w:id="313" w:name="Tc_VBWOZqZtIkawDhlhtGcJhA_5_3"/>
      <w:bookmarkStart w:id="314" w:name="Tc_lfEQfFfKe0W4iE6KcIrZIQ_5_0"/>
      <w:bookmarkStart w:id="315" w:name="Tc_C2Am8Ccp00Ot2HrBBPFQyQ_4_15"/>
      <w:bookmarkStart w:id="316" w:name="Tc_qszL6tc83UCm0NnqsJoJ-w_4_12"/>
      <w:bookmarkStart w:id="317" w:name="Tc_gINRyB5fNU-18hd-5fayLg_4_6"/>
      <w:bookmarkStart w:id="318" w:name="Tc_tIzeq9uRzUm8NdufQqFCZQ_4_3"/>
      <w:bookmarkStart w:id="319" w:name="Tc_O1H1CkbSRECWhWSS9ejFCA_4_0"/>
      <w:bookmarkStart w:id="320" w:name="Tc_tl2AD04Lt0i3Ua8WscGnXw_3_15"/>
      <w:bookmarkStart w:id="321" w:name="Tc_Mf9k5thDHUShF575Rj667g_3_9"/>
      <w:bookmarkStart w:id="322" w:name="Tc__XBVxiGv-UW8JpVLoHK7kA_3_6"/>
      <w:bookmarkStart w:id="323" w:name="Tc_BFUrTkJtvUK1Z3Opnt2u1g_3_3"/>
      <w:bookmarkStart w:id="324" w:name="Tc_bztI5sd-5kK6ar2oWw3lPg_3_0"/>
      <w:bookmarkStart w:id="325" w:name="Tc_FVR9CCwfLUCKxFA11Jq_Og_2_17"/>
      <w:bookmarkStart w:id="326" w:name="Tc_NI6i7pRliUiKKUGTFyQdVg_2_14"/>
      <w:bookmarkStart w:id="327" w:name="Tc_1zqLkmDyUkCk9_ZVisuoiw_2_11"/>
      <w:bookmarkStart w:id="328" w:name="Tc_3YB0wvm6tUisxy9sFxZUTA_2_8"/>
      <w:bookmarkStart w:id="329" w:name="Tc_wXTw-0NRUkan0HnhruvwSg_2_5"/>
      <w:bookmarkStart w:id="330" w:name="Tc_5EHPErT2XUmbBzM-XmEM0w_2_2"/>
      <w:bookmarkStart w:id="331" w:name="Tc_xyG0-E2aRkSsc37ZmufaXw_2_0"/>
      <w:bookmarkStart w:id="332" w:name="Tc_lrfxzd89lkGrLRB6KfgnHQ_1_17"/>
      <w:bookmarkStart w:id="333" w:name="Tc_B0NtOVp7cEanER5loLoWlg_1_14"/>
      <w:bookmarkStart w:id="334" w:name="Tc_VKPX-lBapEyKY0p0g_9ogw_1_11"/>
      <w:bookmarkStart w:id="335" w:name="Tc_jqLYbsZPSk2ziux_ETHeuQ_1_8"/>
      <w:bookmarkStart w:id="336" w:name="Tc_H60W96YARkept8XNv8Ud7Q_1_5"/>
      <w:bookmarkStart w:id="337" w:name="Tc_vsBmpU37lkya3Js9Mo3jxw_1_2"/>
      <w:bookmarkStart w:id="338" w:name="_0437583f_2c2e_4e59_96b6_5cc729cd6740"/>
      <w:bookmarkStart w:id="339" w:name="Tc_EzpvOGYpkECXyq7dfjodMQ_12_17"/>
      <w:bookmarkStart w:id="340" w:name="Tc_mlzPEHgvG0O4psR7FRmBcQ_12_14"/>
      <w:bookmarkStart w:id="341" w:name="Tc_zw6okcNo80Sm92dBn7uN7A_12_11"/>
      <w:bookmarkStart w:id="342" w:name="Tc_rn6X8klEUEGcf-MdyNu6eg_12_8"/>
      <w:bookmarkStart w:id="343" w:name="Tc_sGZXHLD2n0yn7wbIxW38CQ_12_5"/>
      <w:bookmarkStart w:id="344" w:name="Tc_iLtZ9UB7t0mhTX70kfu63g_12_2"/>
      <w:bookmarkStart w:id="345" w:name="Tc_8lXC03bMJ0-nze8AGtXTcg_12_0"/>
      <w:bookmarkStart w:id="346" w:name="Tc_1DVW0GhGNEOUkR0mL32e_w_11_12"/>
      <w:bookmarkStart w:id="347" w:name="Tc_R-vRwln9HU-3N7woUka1Sw_11_9"/>
      <w:bookmarkStart w:id="348" w:name="Tc_913dMg7ntUug3deaRGIFHw_11_6"/>
      <w:bookmarkStart w:id="349" w:name="Tc_0L5Tf8olf0CeRZC0R7qHxQ_11_3"/>
      <w:bookmarkStart w:id="350" w:name="Tc_ziAdk1MnQ0-ufZWd0xEHAw_11_0"/>
      <w:bookmarkStart w:id="351" w:name="Tc_twcmUiM0wkupUp0WRsKVVQ_10_15"/>
      <w:bookmarkStart w:id="352" w:name="Tc_H0tybfD-wE6qohZyE0m-Tg_10_9"/>
      <w:bookmarkStart w:id="353" w:name="Tc_9HCOnDHErEO9vqcDr3X78w_10_6"/>
      <w:bookmarkStart w:id="354" w:name="Tc_TJAz-W0u4UmMxkZB4e42yQ_10_3"/>
      <w:bookmarkStart w:id="355" w:name="Tc_4Lnuts2UcEaLucv1MwcxIA_10_0"/>
      <w:bookmarkStart w:id="356" w:name="Tc_FIu6yiVrbkuFwaqNOHAWyQ_9_15"/>
      <w:bookmarkStart w:id="357" w:name="Tc_BIv2MFkj3kmfGvKqnvOmiw_9_9"/>
      <w:bookmarkStart w:id="358" w:name="Tc_dFhRHdOnBUSchlo87gZ98g_9_6"/>
      <w:bookmarkStart w:id="359" w:name="Tc_AQLW3Rj2RE2gQz18ESqs2w_9_3"/>
      <w:bookmarkStart w:id="360" w:name="Tc_3tAFbhp56E6i8rys-qfCvA_9_0"/>
      <w:bookmarkStart w:id="361" w:name="Tc_z6BzFw66bU--lm6y8Zz27A_8_15"/>
      <w:bookmarkStart w:id="362" w:name="Tc_IwosgyslJE6E3Lhql4gqgw_8_12"/>
      <w:bookmarkStart w:id="363" w:name="Tc_JW7teS4UnUy3Us575OYn_A_8_6"/>
      <w:bookmarkStart w:id="364" w:name="Tc_OTVVBUQKkUq0TMlWJta5Kw_8_3"/>
      <w:bookmarkStart w:id="365" w:name="Tc_QflkAIwvEkSte7_v4haEpw_8_0"/>
      <w:bookmarkStart w:id="366" w:name="Tc_rViNibdwL0SOWj_IjSWneg_7_15"/>
      <w:bookmarkStart w:id="367" w:name="Tc_yIftW9KFtk-ZMsiZRmnulw_7_12"/>
      <w:bookmarkStart w:id="368" w:name="Tc_SrBAnr608EOXh1XETqgHLg_7_3"/>
      <w:bookmarkStart w:id="369" w:name="Tc_jrMu2vGokUmbN56DwIBpig_7_0"/>
      <w:bookmarkStart w:id="370" w:name="Tc_5LjPYSBRikivMmsyNQqj_w_6_15"/>
      <w:bookmarkStart w:id="371" w:name="Tc_vG1DEEbHXEOc0DQrPYwI2Q_6_12"/>
      <w:bookmarkStart w:id="372" w:name="Tc_MKRruq-FUka8D4bCH7s_iQ_6_6"/>
      <w:bookmarkStart w:id="373" w:name="Tc_EPuqx5o3Ukq2A3SMp6J8iw_6_3"/>
      <w:bookmarkStart w:id="374" w:name="Tc_AbGkpsWHpUeskgJ00RowSQ_6_0"/>
      <w:bookmarkStart w:id="375" w:name="Tc_WiL5OUxhxka6C3BDYYPLiw_5_15"/>
      <w:bookmarkStart w:id="376" w:name="Tc_Oc7mPxmO50iObLw72bclHg_5_12"/>
      <w:bookmarkStart w:id="377" w:name="Tc_VBWOZqZtIkawDhlhtGcJhA_5_3"/>
      <w:bookmarkStart w:id="378" w:name="Tc_lfEQfFfKe0W4iE6KcIrZIQ_5_0"/>
      <w:bookmarkStart w:id="379" w:name="Tc_C2Am8Ccp00Ot2HrBBPFQyQ_4_15"/>
      <w:bookmarkStart w:id="380" w:name="Tc_qszL6tc83UCm0NnqsJoJ-w_4_12"/>
      <w:bookmarkStart w:id="381" w:name="Tc_gINRyB5fNU-18hd-5fayLg_4_6"/>
      <w:bookmarkStart w:id="382" w:name="Tc_tIzeq9uRzUm8NdufQqFCZQ_4_3"/>
      <w:bookmarkStart w:id="383" w:name="Tc_O1H1CkbSRECWhWSS9ejFCA_4_0"/>
      <w:bookmarkStart w:id="384" w:name="Tc_tl2AD04Lt0i3Ua8WscGnXw_3_15"/>
      <w:bookmarkStart w:id="385" w:name="Tc_Mf9k5thDHUShF575Rj667g_3_9"/>
      <w:bookmarkStart w:id="386" w:name="Tc__XBVxiGv-UW8JpVLoHK7kA_3_6"/>
      <w:bookmarkStart w:id="387" w:name="Tc_BFUrTkJtvUK1Z3Opnt2u1g_3_3"/>
      <w:bookmarkStart w:id="388" w:name="Tc_bztI5sd-5kK6ar2oWw3lPg_3_0"/>
      <w:bookmarkStart w:id="389" w:name="Tc_FVR9CCwfLUCKxFA11Jq_Og_2_17"/>
      <w:bookmarkStart w:id="390" w:name="Tc_NI6i7pRliUiKKUGTFyQdVg_2_14"/>
      <w:bookmarkStart w:id="391" w:name="Tc_1zqLkmDyUkCk9_ZVisuoiw_2_11"/>
      <w:bookmarkStart w:id="392" w:name="Tc_3YB0wvm6tUisxy9sFxZUTA_2_8"/>
      <w:bookmarkStart w:id="393" w:name="Tc_wXTw-0NRUkan0HnhruvwSg_2_5"/>
      <w:bookmarkStart w:id="394" w:name="Tc_5EHPErT2XUmbBzM-XmEM0w_2_2"/>
      <w:bookmarkStart w:id="395" w:name="Tc_xyG0-E2aRkSsc37ZmufaXw_2_0"/>
      <w:bookmarkStart w:id="396" w:name="Tc_lrfxzd89lkGrLRB6KfgnHQ_1_17"/>
      <w:bookmarkStart w:id="397" w:name="Tc_B0NtOVp7cEanER5loLoWlg_1_14"/>
      <w:bookmarkStart w:id="398" w:name="Tc_VKPX-lBapEyKY0p0g_9ogw_1_11"/>
      <w:bookmarkStart w:id="399" w:name="Tc_jqLYbsZPSk2ziux_ETHeuQ_1_8"/>
      <w:bookmarkStart w:id="400" w:name="Tc_H60W96YARkept8XNv8Ud7Q_1_5"/>
      <w:bookmarkStart w:id="401" w:name="Tc_vsBmpU37lkya3Js9Mo3jxw_1_2"/>
      <w:bookmarkStart w:id="402" w:name="_0437583f_2c2e_4e59_96b6_5cc729cd6740"/>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tbl>
      <w:tblPr>
        <w:tblW w:w="10205" w:type="dxa"/>
        <w:jc w:val="left"/>
        <w:tblInd w:w="0" w:type="dxa"/>
        <w:tblLayout w:type="fixed"/>
        <w:tblCellMar>
          <w:top w:w="0" w:type="dxa"/>
          <w:left w:w="0" w:type="dxa"/>
          <w:bottom w:w="0" w:type="dxa"/>
          <w:right w:w="0" w:type="dxa"/>
        </w:tblCellMar>
      </w:tblPr>
      <w:tblGrid>
        <w:gridCol w:w="2159"/>
        <w:gridCol w:w="109"/>
        <w:gridCol w:w="345"/>
        <w:gridCol w:w="611"/>
        <w:gridCol w:w="109"/>
        <w:gridCol w:w="311"/>
        <w:gridCol w:w="600"/>
        <w:gridCol w:w="109"/>
        <w:gridCol w:w="282"/>
        <w:gridCol w:w="995"/>
        <w:gridCol w:w="109"/>
        <w:gridCol w:w="235"/>
        <w:gridCol w:w="831"/>
        <w:gridCol w:w="109"/>
        <w:gridCol w:w="462"/>
        <w:gridCol w:w="1418"/>
        <w:gridCol w:w="109"/>
        <w:gridCol w:w="258"/>
        <w:gridCol w:w="1044"/>
      </w:tblGrid>
      <w:tr>
        <w:trPr/>
        <w:tc>
          <w:tcPr>
            <w:tcW w:w="2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70965" cy="175260"/>
                      <wp:effectExtent l="0" t="0" r="0" b="0"/>
                      <wp:wrapNone/>
                      <wp:docPr id="20" name="Frame20"/>
                      <a:graphic xmlns:a="http://schemas.openxmlformats.org/drawingml/2006/main">
                        <a:graphicData uri="http://schemas.microsoft.com/office/word/2010/wordprocessingShape">
                          <wps:wsp>
                            <wps:cNvSpPr txBox="1"/>
                            <wps:spPr>
                              <a:xfrm>
                                <a:off x="0" y="0"/>
                                <a:ext cx="137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075" cy="175260"/>
                      <wp:effectExtent l="0" t="0" r="0" b="0"/>
                      <wp:wrapNone/>
                      <wp:docPr id="22" name="Frame22"/>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87985" cy="175260"/>
                      <wp:effectExtent l="0" t="0" r="0" b="0"/>
                      <wp:wrapNone/>
                      <wp:docPr id="23" name="Frame23"/>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97485" cy="175260"/>
                      <wp:effectExtent l="0" t="0" r="0" b="0"/>
                      <wp:wrapNone/>
                      <wp:docPr id="25" name="Frame25"/>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1000" cy="175260"/>
                      <wp:effectExtent l="0" t="0" r="0" b="0"/>
                      <wp:wrapNone/>
                      <wp:docPr id="26" name="Frame26"/>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9070" cy="175260"/>
                      <wp:effectExtent l="0" t="0" r="0" b="0"/>
                      <wp:wrapNone/>
                      <wp:docPr id="28" name="Frame28"/>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31825" cy="175260"/>
                      <wp:effectExtent l="0" t="0" r="0" b="0"/>
                      <wp:wrapNone/>
                      <wp:docPr id="29" name="Frame29"/>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9225" cy="175260"/>
                      <wp:effectExtent l="0" t="0" r="0" b="0"/>
                      <wp:wrapNone/>
                      <wp:docPr id="31" name="Frame3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27685" cy="175260"/>
                      <wp:effectExtent l="0" t="0" r="0" b="0"/>
                      <wp:wrapNone/>
                      <wp:docPr id="32" name="Frame32"/>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93370" cy="175260"/>
                      <wp:effectExtent l="0" t="0" r="0" b="0"/>
                      <wp:wrapNone/>
                      <wp:docPr id="34" name="Frame34"/>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900430" cy="175260"/>
                      <wp:effectExtent l="0" t="0" r="0" b="0"/>
                      <wp:wrapNone/>
                      <wp:docPr id="35" name="Frame35"/>
                      <a:graphic xmlns:a="http://schemas.openxmlformats.org/drawingml/2006/main">
                        <a:graphicData uri="http://schemas.microsoft.com/office/word/2010/wordprocessingShape">
                          <wps:wsp>
                            <wps:cNvSpPr txBox="1"/>
                            <wps:spPr>
                              <a:xfrm>
                                <a:off x="0" y="0"/>
                                <a:ext cx="900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3830" cy="175260"/>
                      <wp:effectExtent l="0" t="0" r="0" b="0"/>
                      <wp:wrapNone/>
                      <wp:docPr id="37" name="Frame3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2940" cy="175260"/>
                      <wp:effectExtent l="0" t="0" r="0" b="0"/>
                      <wp:wrapNone/>
                      <wp:docPr id="38" name="Frame38"/>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9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1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109" w:type="dxa"/>
            <w:tcBorders/>
            <w:vAlign w:val="center"/>
          </w:tcPr>
          <w:p>
            <w:pPr>
              <w:pStyle w:val="TableContents"/>
              <w:bidi w:val="0"/>
              <w:spacing w:before="0" w:after="0"/>
              <w:ind w:left="0" w:right="0" w:hanging="0"/>
              <w:jc w:val="center"/>
              <w:rPr/>
            </w:pPr>
            <w:r>
              <w:rPr/>
              <w:t>​</w:t>
            </w:r>
          </w:p>
        </w:tc>
        <w:tc>
          <w:tcPr>
            <w:tcW w:w="13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2024</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168,435</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281,944</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6,891</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457,526</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5,842</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5,842</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4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(1,275)</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and 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4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2,062</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2,064</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4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(1,187)</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(1,187)</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(8,945)</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4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(8,945)</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Comprehensive Income </w:t>
            </w:r>
          </w:p>
        </w:tc>
        <w:tc>
          <w:tcPr>
            <w:tcW w:w="109"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7,513</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7,513</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2024</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169,924</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277,654</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14,404</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462,241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three months ended March 31, 2023:</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03" w:name="Tc_ojnhJj4tMEGbdWZowhjulQ_12_17"/>
      <w:bookmarkStart w:id="404" w:name="Tc_fd7Ue_d6wkOqOe-D_bqatw_12_14"/>
      <w:bookmarkStart w:id="405" w:name="Tc_w6iHi-uhVEyFVXqoOceWhA_12_11"/>
      <w:bookmarkStart w:id="406" w:name="Tc_Y9GzVcflsk-InCPwGtzzHA_12_8"/>
      <w:bookmarkStart w:id="407" w:name="Tc_hkou-GjK5EeJ00moe6P2VA_12_5"/>
      <w:bookmarkStart w:id="408" w:name="Tc__CEm7lxYfEyDDX12G4-ksA_12_2"/>
      <w:bookmarkStart w:id="409" w:name="Tc_t4R5pahKLUCQGvD6FlqgjQ_12_0"/>
      <w:bookmarkStart w:id="410" w:name="Tc_ZFyYxvl6bku-9RjsIBBbJA_11_12"/>
      <w:bookmarkStart w:id="411" w:name="Tc_GLYRNr23K0OyVJh1pkc0pg_11_9"/>
      <w:bookmarkStart w:id="412" w:name="Tc_0S-1h7JKxE6iWUmrR6PfGw_11_6"/>
      <w:bookmarkStart w:id="413" w:name="Tc_OePyfBD-mUyFxUx7KPFGMQ_11_3"/>
      <w:bookmarkStart w:id="414" w:name="Tc_lGBiwlu4Wk-9Qhdc37X-WQ_11_0"/>
      <w:bookmarkStart w:id="415" w:name="Tc_4bDNjtZsAUygYnCpJXGxTw_10_15"/>
      <w:bookmarkStart w:id="416" w:name="Tc_t-TKSiF9GEqaesCJdqXldg_10_9"/>
      <w:bookmarkStart w:id="417" w:name="Tc_zwLAEF15Lkev__pHEfFZzg_10_6"/>
      <w:bookmarkStart w:id="418" w:name="Tc_E1-dsLtvO0CcKaN4RPGI1g_10_3"/>
      <w:bookmarkStart w:id="419" w:name="Tc_-Dq9EzuAAUWe54-WqphbOA_10_0"/>
      <w:bookmarkStart w:id="420" w:name="Tc_Ip9a_gxk10uYNwXGk_pCnw_9_15"/>
      <w:bookmarkStart w:id="421" w:name="Tc_pZNjs_JBWUyyoD6h5QwMwQ_9_9"/>
      <w:bookmarkStart w:id="422" w:name="Tc_PkdEM_Is60Sva-JSUn7rhw_9_6"/>
      <w:bookmarkStart w:id="423" w:name="Tc_wWpsEO4Y_U6IlhD559TILg_9_3"/>
      <w:bookmarkStart w:id="424" w:name="Tc_ii8hc1ldqU6YuoMbJyl9sw_9_0"/>
      <w:bookmarkStart w:id="425" w:name="Tc_J5cRFn54HEC6knlIQPxnag_8_15"/>
      <w:bookmarkStart w:id="426" w:name="Tc_G6D8uQn3iE24e7c6rBsBvg_8_12"/>
      <w:bookmarkStart w:id="427" w:name="Tc_vfMAcbBxwEK40Kx3God26Q_8_6"/>
      <w:bookmarkStart w:id="428" w:name="Tc_PsJJhju04ECGOtuSCGnamQ_8_3"/>
      <w:bookmarkStart w:id="429" w:name="Tc__-1M_TCIDkGISI_Rs0E0Lw_8_0"/>
      <w:bookmarkStart w:id="430" w:name="Tc_M_gcEXA730CO3Aor930rcQ_7_15"/>
      <w:bookmarkStart w:id="431" w:name="Tc_DXQxOftHLEyJtpfh_glYVQ_7_12"/>
      <w:bookmarkStart w:id="432" w:name="Tc_kI5O4SdWl0-R4nl_SEqOTw_7_6"/>
      <w:bookmarkStart w:id="433" w:name="Tc_YtSCYbLoG0idDx--f6ad4A_7_3"/>
      <w:bookmarkStart w:id="434" w:name="Tc_04gQM8VYLEWSB_shTdrwWg_7_0"/>
      <w:bookmarkStart w:id="435" w:name="Tc_MJhrQQ_OWESyfmtaatLLSA_6_15"/>
      <w:bookmarkStart w:id="436" w:name="Tc_fYPcydjwrkq9bFZVa3JcPQ_6_12"/>
      <w:bookmarkStart w:id="437" w:name="Tc_2mVI7-hvD0yt2jP0InT_Cg_6_6"/>
      <w:bookmarkStart w:id="438" w:name="Tc_YkAJpikiX0S6IhhmXm-T8w_6_3"/>
      <w:bookmarkStart w:id="439" w:name="Tc_Y6VFFW9De0aS8Ts6uqnwPw_6_0"/>
      <w:bookmarkStart w:id="440" w:name="Tc_q6pX3fKhcE2bEitQPSzWCQ_5_15"/>
      <w:bookmarkStart w:id="441" w:name="Tc_jnTT5Vghh0GUUjb5tYVjuA_5_12"/>
      <w:bookmarkStart w:id="442" w:name="Tc_pVlF0F5ds0KmjGehfTODNQ_5_3"/>
      <w:bookmarkStart w:id="443" w:name="Tc_1XtNnnzN2kyKsnxwuy37hA_5_0"/>
      <w:bookmarkStart w:id="444" w:name="Tc_HhcMG8OTuEiUfkl2xzBn6A_4_15"/>
      <w:bookmarkStart w:id="445" w:name="Tc_59Exn4QG4Ea-uqUtd4hi1g_4_12"/>
      <w:bookmarkStart w:id="446" w:name="Tc_cFqvDTR_AkmGutGwuMCAAA_4_3"/>
      <w:bookmarkStart w:id="447" w:name="Tc_MShRZoCJjEaeu_pjXPb7pQ_4_0"/>
      <w:bookmarkStart w:id="448" w:name="Tc_dCF60PFiY0KlZWC8kF3Qvw_3_15"/>
      <w:bookmarkStart w:id="449" w:name="Tc_oZ5CM0vZKE-qArPr1oJ_Xw_3_9"/>
      <w:bookmarkStart w:id="450" w:name="Tc_W9JVbS3IM0SK9qonGHQb8Q_3_6"/>
      <w:bookmarkStart w:id="451" w:name="Tc_CWJxo7ise0OAF46QZ1PPHQ_3_3"/>
      <w:bookmarkStart w:id="452" w:name="Tc_Q0FGZKyGXEWLh0ObHt3Ikg_3_0"/>
      <w:bookmarkStart w:id="453" w:name="Tc_b9cAdxfBhUqLhA4OpsNqMg_2_17"/>
      <w:bookmarkStart w:id="454" w:name="Tc_jAYmpp_I9USqO-6QioMt1g_2_14"/>
      <w:bookmarkStart w:id="455" w:name="Tc_KZUPOIzxAU2snyorlKCa3w_2_11"/>
      <w:bookmarkStart w:id="456" w:name="Tc_xZ1eHYhC-Eiu8PnMQ9u2PA_2_8"/>
      <w:bookmarkStart w:id="457" w:name="Tc_X7zYtDcC9EmbalztLlcl4g_2_5"/>
      <w:bookmarkStart w:id="458" w:name="Tc_3z30pdNUekW0UmdUkjAvtg_2_2"/>
      <w:bookmarkStart w:id="459" w:name="Tc_0D5FHq_10EGbQDMZ1OS1eA_2_0"/>
      <w:bookmarkStart w:id="460" w:name="Tc_9OdXGmNth0GjznilRugYbg_1_17"/>
      <w:bookmarkStart w:id="461" w:name="Tc_T3pOPL_m006geek3m18q3A_1_14"/>
      <w:bookmarkStart w:id="462" w:name="Tc_y6zak1-6t0O8LL4CWiB-bA_1_11"/>
      <w:bookmarkStart w:id="463" w:name="Tc_-RzsO-O9pU2EODM-xYnZ3g_1_8"/>
      <w:bookmarkStart w:id="464" w:name="Tc_pp8ZuJHXUUmJNBH36wJQ1Q_1_5"/>
      <w:bookmarkStart w:id="465" w:name="Tc_AtH0tZvH1kaUFCDvfyuGLQ_1_2"/>
      <w:bookmarkStart w:id="466" w:name="_5549a9b2_8f93_4f29_855e_f90d2a76c351"/>
      <w:bookmarkStart w:id="467" w:name="Tc_ojnhJj4tMEGbdWZowhjulQ_12_17"/>
      <w:bookmarkStart w:id="468" w:name="Tc_fd7Ue_d6wkOqOe-D_bqatw_12_14"/>
      <w:bookmarkStart w:id="469" w:name="Tc_w6iHi-uhVEyFVXqoOceWhA_12_11"/>
      <w:bookmarkStart w:id="470" w:name="Tc_Y9GzVcflsk-InCPwGtzzHA_12_8"/>
      <w:bookmarkStart w:id="471" w:name="Tc_hkou-GjK5EeJ00moe6P2VA_12_5"/>
      <w:bookmarkStart w:id="472" w:name="Tc__CEm7lxYfEyDDX12G4-ksA_12_2"/>
      <w:bookmarkStart w:id="473" w:name="Tc_t4R5pahKLUCQGvD6FlqgjQ_12_0"/>
      <w:bookmarkStart w:id="474" w:name="Tc_ZFyYxvl6bku-9RjsIBBbJA_11_12"/>
      <w:bookmarkStart w:id="475" w:name="Tc_GLYRNr23K0OyVJh1pkc0pg_11_9"/>
      <w:bookmarkStart w:id="476" w:name="Tc_0S-1h7JKxE6iWUmrR6PfGw_11_6"/>
      <w:bookmarkStart w:id="477" w:name="Tc_OePyfBD-mUyFxUx7KPFGMQ_11_3"/>
      <w:bookmarkStart w:id="478" w:name="Tc_lGBiwlu4Wk-9Qhdc37X-WQ_11_0"/>
      <w:bookmarkStart w:id="479" w:name="Tc_4bDNjtZsAUygYnCpJXGxTw_10_15"/>
      <w:bookmarkStart w:id="480" w:name="Tc_t-TKSiF9GEqaesCJdqXldg_10_9"/>
      <w:bookmarkStart w:id="481" w:name="Tc_zwLAEF15Lkev__pHEfFZzg_10_6"/>
      <w:bookmarkStart w:id="482" w:name="Tc_E1-dsLtvO0CcKaN4RPGI1g_10_3"/>
      <w:bookmarkStart w:id="483" w:name="Tc_-Dq9EzuAAUWe54-WqphbOA_10_0"/>
      <w:bookmarkStart w:id="484" w:name="Tc_Ip9a_gxk10uYNwXGk_pCnw_9_15"/>
      <w:bookmarkStart w:id="485" w:name="Tc_pZNjs_JBWUyyoD6h5QwMwQ_9_9"/>
      <w:bookmarkStart w:id="486" w:name="Tc_PkdEM_Is60Sva-JSUn7rhw_9_6"/>
      <w:bookmarkStart w:id="487" w:name="Tc_wWpsEO4Y_U6IlhD559TILg_9_3"/>
      <w:bookmarkStart w:id="488" w:name="Tc_ii8hc1ldqU6YuoMbJyl9sw_9_0"/>
      <w:bookmarkStart w:id="489" w:name="Tc_J5cRFn54HEC6knlIQPxnag_8_15"/>
      <w:bookmarkStart w:id="490" w:name="Tc_G6D8uQn3iE24e7c6rBsBvg_8_12"/>
      <w:bookmarkStart w:id="491" w:name="Tc_vfMAcbBxwEK40Kx3God26Q_8_6"/>
      <w:bookmarkStart w:id="492" w:name="Tc_PsJJhju04ECGOtuSCGnamQ_8_3"/>
      <w:bookmarkStart w:id="493" w:name="Tc__-1M_TCIDkGISI_Rs0E0Lw_8_0"/>
      <w:bookmarkStart w:id="494" w:name="Tc_M_gcEXA730CO3Aor930rcQ_7_15"/>
      <w:bookmarkStart w:id="495" w:name="Tc_DXQxOftHLEyJtpfh_glYVQ_7_12"/>
      <w:bookmarkStart w:id="496" w:name="Tc_kI5O4SdWl0-R4nl_SEqOTw_7_6"/>
      <w:bookmarkStart w:id="497" w:name="Tc_YtSCYbLoG0idDx--f6ad4A_7_3"/>
      <w:bookmarkStart w:id="498" w:name="Tc_04gQM8VYLEWSB_shTdrwWg_7_0"/>
      <w:bookmarkStart w:id="499" w:name="Tc_MJhrQQ_OWESyfmtaatLLSA_6_15"/>
      <w:bookmarkStart w:id="500" w:name="Tc_fYPcydjwrkq9bFZVa3JcPQ_6_12"/>
      <w:bookmarkStart w:id="501" w:name="Tc_2mVI7-hvD0yt2jP0InT_Cg_6_6"/>
      <w:bookmarkStart w:id="502" w:name="Tc_YkAJpikiX0S6IhhmXm-T8w_6_3"/>
      <w:bookmarkStart w:id="503" w:name="Tc_Y6VFFW9De0aS8Ts6uqnwPw_6_0"/>
      <w:bookmarkStart w:id="504" w:name="Tc_q6pX3fKhcE2bEitQPSzWCQ_5_15"/>
      <w:bookmarkStart w:id="505" w:name="Tc_jnTT5Vghh0GUUjb5tYVjuA_5_12"/>
      <w:bookmarkStart w:id="506" w:name="Tc_pVlF0F5ds0KmjGehfTODNQ_5_3"/>
      <w:bookmarkStart w:id="507" w:name="Tc_1XtNnnzN2kyKsnxwuy37hA_5_0"/>
      <w:bookmarkStart w:id="508" w:name="Tc_HhcMG8OTuEiUfkl2xzBn6A_4_15"/>
      <w:bookmarkStart w:id="509" w:name="Tc_59Exn4QG4Ea-uqUtd4hi1g_4_12"/>
      <w:bookmarkStart w:id="510" w:name="Tc_cFqvDTR_AkmGutGwuMCAAA_4_3"/>
      <w:bookmarkStart w:id="511" w:name="Tc_MShRZoCJjEaeu_pjXPb7pQ_4_0"/>
      <w:bookmarkStart w:id="512" w:name="Tc_dCF60PFiY0KlZWC8kF3Qvw_3_15"/>
      <w:bookmarkStart w:id="513" w:name="Tc_oZ5CM0vZKE-qArPr1oJ_Xw_3_9"/>
      <w:bookmarkStart w:id="514" w:name="Tc_W9JVbS3IM0SK9qonGHQb8Q_3_6"/>
      <w:bookmarkStart w:id="515" w:name="Tc_CWJxo7ise0OAF46QZ1PPHQ_3_3"/>
      <w:bookmarkStart w:id="516" w:name="Tc_Q0FGZKyGXEWLh0ObHt3Ikg_3_0"/>
      <w:bookmarkStart w:id="517" w:name="Tc_b9cAdxfBhUqLhA4OpsNqMg_2_17"/>
      <w:bookmarkStart w:id="518" w:name="Tc_jAYmpp_I9USqO-6QioMt1g_2_14"/>
      <w:bookmarkStart w:id="519" w:name="Tc_KZUPOIzxAU2snyorlKCa3w_2_11"/>
      <w:bookmarkStart w:id="520" w:name="Tc_xZ1eHYhC-Eiu8PnMQ9u2PA_2_8"/>
      <w:bookmarkStart w:id="521" w:name="Tc_X7zYtDcC9EmbalztLlcl4g_2_5"/>
      <w:bookmarkStart w:id="522" w:name="Tc_3z30pdNUekW0UmdUkjAvtg_2_2"/>
      <w:bookmarkStart w:id="523" w:name="Tc_0D5FHq_10EGbQDMZ1OS1eA_2_0"/>
      <w:bookmarkStart w:id="524" w:name="Tc_9OdXGmNth0GjznilRugYbg_1_17"/>
      <w:bookmarkStart w:id="525" w:name="Tc_T3pOPL_m006geek3m18q3A_1_14"/>
      <w:bookmarkStart w:id="526" w:name="Tc_y6zak1-6t0O8LL4CWiB-bA_1_11"/>
      <w:bookmarkStart w:id="527" w:name="Tc_-RzsO-O9pU2EODM-xYnZ3g_1_8"/>
      <w:bookmarkStart w:id="528" w:name="Tc_pp8ZuJHXUUmJNBH36wJQ1Q_1_5"/>
      <w:bookmarkStart w:id="529" w:name="Tc_AtH0tZvH1kaUFCDvfyuGLQ_1_2"/>
      <w:bookmarkStart w:id="530" w:name="_5549a9b2_8f93_4f29_855e_f90d2a76c351"/>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tbl>
      <w:tblPr>
        <w:tblW w:w="10205" w:type="dxa"/>
        <w:jc w:val="left"/>
        <w:tblInd w:w="0" w:type="dxa"/>
        <w:tblLayout w:type="fixed"/>
        <w:tblCellMar>
          <w:top w:w="0" w:type="dxa"/>
          <w:left w:w="0" w:type="dxa"/>
          <w:bottom w:w="0" w:type="dxa"/>
          <w:right w:w="0" w:type="dxa"/>
        </w:tblCellMar>
      </w:tblPr>
      <w:tblGrid>
        <w:gridCol w:w="2159"/>
        <w:gridCol w:w="109"/>
        <w:gridCol w:w="345"/>
        <w:gridCol w:w="611"/>
        <w:gridCol w:w="109"/>
        <w:gridCol w:w="311"/>
        <w:gridCol w:w="600"/>
        <w:gridCol w:w="109"/>
        <w:gridCol w:w="282"/>
        <w:gridCol w:w="995"/>
        <w:gridCol w:w="109"/>
        <w:gridCol w:w="235"/>
        <w:gridCol w:w="831"/>
        <w:gridCol w:w="109"/>
        <w:gridCol w:w="462"/>
        <w:gridCol w:w="1418"/>
        <w:gridCol w:w="109"/>
        <w:gridCol w:w="258"/>
        <w:gridCol w:w="1044"/>
      </w:tblGrid>
      <w:tr>
        <w:trPr/>
        <w:tc>
          <w:tcPr>
            <w:tcW w:w="2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0965" cy="175260"/>
                      <wp:effectExtent l="0" t="0" r="0" b="0"/>
                      <wp:wrapNone/>
                      <wp:docPr id="39" name="Frame39"/>
                      <a:graphic xmlns:a="http://schemas.openxmlformats.org/drawingml/2006/main">
                        <a:graphicData uri="http://schemas.microsoft.com/office/word/2010/wordprocessingShape">
                          <wps:wsp>
                            <wps:cNvSpPr txBox="1"/>
                            <wps:spPr>
                              <a:xfrm>
                                <a:off x="0" y="0"/>
                                <a:ext cx="137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075" cy="175260"/>
                      <wp:effectExtent l="0" t="0" r="0" b="0"/>
                      <wp:wrapNone/>
                      <wp:docPr id="41" name="Frame41"/>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87985" cy="175260"/>
                      <wp:effectExtent l="0" t="0" r="0" b="0"/>
                      <wp:wrapNone/>
                      <wp:docPr id="42" name="Frame4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97485" cy="175260"/>
                      <wp:effectExtent l="0" t="0" r="0" b="0"/>
                      <wp:wrapNone/>
                      <wp:docPr id="44" name="Frame44"/>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81000" cy="175260"/>
                      <wp:effectExtent l="0" t="0" r="0" b="0"/>
                      <wp:wrapNone/>
                      <wp:docPr id="45" name="Frame45"/>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9070" cy="175260"/>
                      <wp:effectExtent l="0" t="0" r="0" b="0"/>
                      <wp:wrapNone/>
                      <wp:docPr id="47" name="Frame4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31825" cy="175260"/>
                      <wp:effectExtent l="0" t="0" r="0" b="0"/>
                      <wp:wrapNone/>
                      <wp:docPr id="48" name="Frame48"/>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9225" cy="175260"/>
                      <wp:effectExtent l="0" t="0" r="0" b="0"/>
                      <wp:wrapNone/>
                      <wp:docPr id="50" name="Frame5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27685" cy="175260"/>
                      <wp:effectExtent l="0" t="0" r="0" b="0"/>
                      <wp:wrapNone/>
                      <wp:docPr id="51" name="Frame51"/>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93370" cy="175260"/>
                      <wp:effectExtent l="0" t="0" r="0" b="0"/>
                      <wp:wrapNone/>
                      <wp:docPr id="53" name="Frame53"/>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00430" cy="175260"/>
                      <wp:effectExtent l="0" t="0" r="0" b="0"/>
                      <wp:wrapNone/>
                      <wp:docPr id="54" name="Frame54"/>
                      <a:graphic xmlns:a="http://schemas.openxmlformats.org/drawingml/2006/main">
                        <a:graphicData uri="http://schemas.microsoft.com/office/word/2010/wordprocessingShape">
                          <wps:wsp>
                            <wps:cNvSpPr txBox="1"/>
                            <wps:spPr>
                              <a:xfrm>
                                <a:off x="0" y="0"/>
                                <a:ext cx="900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63830" cy="175260"/>
                      <wp:effectExtent l="0" t="0" r="0" b="0"/>
                      <wp:wrapNone/>
                      <wp:docPr id="56" name="Frame5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2940" cy="175260"/>
                      <wp:effectExtent l="0" t="0" r="0" b="0"/>
                      <wp:wrapNone/>
                      <wp:docPr id="57" name="Frame57"/>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9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1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109" w:type="dxa"/>
            <w:tcBorders/>
            <w:vAlign w:val="center"/>
          </w:tcPr>
          <w:p>
            <w:pPr>
              <w:pStyle w:val="TableContents"/>
              <w:bidi w:val="0"/>
              <w:spacing w:before="0" w:after="0"/>
              <w:ind w:left="0" w:right="0" w:hanging="0"/>
              <w:jc w:val="center"/>
              <w:rPr/>
            </w:pPr>
            <w:r>
              <w:rPr/>
              <w:t>​</w:t>
            </w:r>
          </w:p>
        </w:tc>
        <w:tc>
          <w:tcPr>
            <w:tcW w:w="13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2023</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172,471</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316,279</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15,761</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504,770</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the Company</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(5,993)</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(5,993)</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(5,006)</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4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(5,009)</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(1,029)</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and 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4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830</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4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830</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c>
          <w:tcPr>
            <w:tcW w:w="109"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14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(9,025)</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141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(9,025)</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Comprehensive Loss </w:t>
            </w:r>
          </w:p>
        </w:tc>
        <w:tc>
          <w:tcPr>
            <w:tcW w:w="109"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(4,891)</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(4,891)</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March 31, 2023</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167,436</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300,066</w:t>
            </w:r>
          </w:p>
        </w:tc>
        <w:tc>
          <w:tcPr>
            <w:tcW w:w="109" w:type="dxa"/>
            <w:tcBorders/>
            <w:shd w:fill="CCEEFF" w:val="clear"/>
            <w:vAlign w:val="center"/>
          </w:tcPr>
          <w:p>
            <w:pPr>
              <w:pStyle w:val="TableContents"/>
              <w:bidi w:val="0"/>
              <w:spacing w:before="0" w:after="0"/>
              <w:ind w:left="0" w:right="0" w:hanging="0"/>
              <w:jc w:val="left"/>
              <w:rPr/>
            </w:pPr>
            <w:r>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10,870</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478,629</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531" w:name="_aca426cd_be64_4eea_8224_4a144fc6ae74"/>
      <w:bookmarkEnd w:id="531"/>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532" w:name="CONSOLIDATEDSTATEMENTSOFCASHFLOWS_277552"/>
      <w:bookmarkEnd w:id="532"/>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3" w:name="Tc_jaJpL6Ty2EqCfiCWUloCZQ_55_5"/>
      <w:bookmarkStart w:id="534" w:name="Tc_UX0flJgHEkONua0lbNe-Gg_55_2"/>
      <w:bookmarkStart w:id="535" w:name="Tc_mwexFkK7hUOSRnFRhOfEwQ_55_0"/>
      <w:bookmarkStart w:id="536" w:name="Tc_sZMmsIj9V0GR2vAQfmmc_g_54_0"/>
      <w:bookmarkStart w:id="537" w:name="Tc_9at44xHo_0KsPFVSZ1fiKw_53_5"/>
      <w:bookmarkStart w:id="538" w:name="Tc_JxK8wVlFIk6pild70u5OXQ_53_2"/>
      <w:bookmarkStart w:id="539" w:name="Tc_C4pb7FTUS0-6-peTxpMIbw_53_0"/>
      <w:bookmarkStart w:id="540" w:name="Tc_F0DbmdxE5EeIsnDk1yOWrw_52_0"/>
      <w:bookmarkStart w:id="541" w:name="Tc_LbCs2rSUFEyB0LpkGht_2w_50_5"/>
      <w:bookmarkStart w:id="542" w:name="Tc_z7bvf_1N4kK0RpL8ZaQGSA_50_2"/>
      <w:bookmarkStart w:id="543" w:name="Tc_l9zeUg1kPUGdAUyNoWvCgg_50_0"/>
      <w:bookmarkStart w:id="544" w:name="Tc_pSwKlbc-fUqblBhSEuJeQw_49_0"/>
      <w:bookmarkStart w:id="545" w:name="Tc_3sIwCkQe202G2koQPgxyhg_48_0"/>
      <w:bookmarkStart w:id="546" w:name="Tc_DBFLU5V6oEeCkP6uqShvYQ_47_0"/>
      <w:bookmarkStart w:id="547" w:name="Tc_LXE2iOS-0UyOMuY4UTqqTA_46_0"/>
      <w:bookmarkStart w:id="548" w:name="Tc_uyrNSAjVfU-dqx7JJoSDbA_45_0"/>
      <w:bookmarkStart w:id="549" w:name="Tc_A-qxnofFfkWSt4naebYahA_44_0"/>
      <w:bookmarkStart w:id="550" w:name="Tc_ZvSaUn6-WUG_MCUgpVbLAg_43_0"/>
      <w:bookmarkStart w:id="551" w:name="Tc_HPiGjgN3VEevXxUaRZnl1w_42_0"/>
      <w:bookmarkStart w:id="552" w:name="Tc_d2s7HjcAS0WfkXWarHCLGw_41_0"/>
      <w:bookmarkStart w:id="553" w:name="Tc_v6v9b6ulg02_rzwXwsmwJQ_40_0"/>
      <w:bookmarkStart w:id="554" w:name="Tc_kdCKhnCwMkSshJGdB48MMA_39_0"/>
      <w:bookmarkStart w:id="555" w:name="Tc_kmqyt09A7ECt16IETKtOew_38_0"/>
      <w:bookmarkStart w:id="556" w:name="Tc_7Q3zXX2Q6kudTFKQR1fHwA_37_0"/>
      <w:bookmarkStart w:id="557" w:name="Tc_O8cqzrxf60C95BMRSbghpg_36_0"/>
      <w:bookmarkStart w:id="558" w:name="Tc_bPNX6Lb2pkut8S8kDJ7Pbw_35_6"/>
      <w:bookmarkStart w:id="559" w:name="Tc_ax1aK3fbl0K_EH2mE6qf3Q_35_0"/>
      <w:bookmarkStart w:id="560" w:name="Tc_pbiW3OrjzkW4RamiE3dcdQ_34_3"/>
      <w:bookmarkStart w:id="561" w:name="Tc_6aET4pKgKkmQwZWiXl6VNg_34_0"/>
      <w:bookmarkStart w:id="562" w:name="Tc_orXfQNPiEkKQUce6lLXNNg_33_0"/>
      <w:bookmarkStart w:id="563" w:name="Tc_Cg_fuQpe8Eur8vE-U8WBFg_32_6"/>
      <w:bookmarkStart w:id="564" w:name="Tc_a5fdP1pMdkuuVMrEc66Yqg_32_0"/>
      <w:bookmarkStart w:id="565" w:name="Tc_QompOawvWUi34kvi6y9GXA_31_6"/>
      <w:bookmarkStart w:id="566" w:name="Tc_IL3y_sqcM0SR4QqTTF4Ypg_31_0"/>
      <w:bookmarkStart w:id="567" w:name="Tc_7c5pZBvjqEKmwEdJrgJQdg_30_0"/>
      <w:bookmarkStart w:id="568" w:name="Tc_b_tqt-MHtUqR-PWQmJYEig_29_0"/>
      <w:bookmarkStart w:id="569" w:name="Tc_d3NweK39hkSTAZ5G9CAwdQ_28_0"/>
      <w:bookmarkStart w:id="570" w:name="Tc_GwJAqSZA0k6O0a8MiCWIWA_27_0"/>
      <w:bookmarkStart w:id="571" w:name="Tc_hIFXhUPXm0egpTHvNjKMKA_26_0"/>
      <w:bookmarkStart w:id="572" w:name="Tc_hJNSODkoO06bdFhqHSaKPA_25_0"/>
      <w:bookmarkStart w:id="573" w:name="Tc_-4qHiku9-UqGblCOi-G8uQ_24_0"/>
      <w:bookmarkStart w:id="574" w:name="Tc_X3Htze4e9EWjVOjw10xaZw_23_0"/>
      <w:bookmarkStart w:id="575" w:name="Tc_L4I1C1kvpEOmBKwHEV1plQ_22_0"/>
      <w:bookmarkStart w:id="576" w:name="Tc_6NwX8U2E7U2LVE1abyyRwQ_21_0"/>
      <w:bookmarkStart w:id="577" w:name="Tc_qqjvgFalp0yFif6zg3sGpw_20_0"/>
      <w:bookmarkStart w:id="578" w:name="Tc_rS4Ix-7Za02twZvoypdiCg_19_6"/>
      <w:bookmarkStart w:id="579" w:name="Tc_HqtR5vFtG0GUzNCRMLPoiA_19_0"/>
      <w:bookmarkStart w:id="580" w:name="Tc_1fzy73ISh02KcRL365R_mw_18_0"/>
      <w:bookmarkStart w:id="581" w:name="Tc_82ZTdmg4bU6m07Ms-1idSg_17_0"/>
      <w:bookmarkStart w:id="582" w:name="Tc_2PRgvtxhbkqQLK5dJiNaxA_16_0"/>
      <w:bookmarkStart w:id="583" w:name="Tc_1l0irXqQBkyFJXVx7IETcQ_15_0"/>
      <w:bookmarkStart w:id="584" w:name="Tc_PCKprYY3W0e1um1JnZW7Wg_14_6"/>
      <w:bookmarkStart w:id="585" w:name="Tc_KDhO_Q5aWUms9wWDWcSgDA_14_0"/>
      <w:bookmarkStart w:id="586" w:name="Tc_W_VsBOPA5UGjv94CV5OYSA_13_0"/>
      <w:bookmarkStart w:id="587" w:name="Tc_ZH6-a8LErUqzHpbGdtUucg_12_0"/>
      <w:bookmarkStart w:id="588" w:name="Tc_b0WLa5FT_0evwcDAayJH-Q_11_6"/>
      <w:bookmarkStart w:id="589" w:name="Tc_yFTrBAIA10Ghd_N-LSv_TA_11_0"/>
      <w:bookmarkStart w:id="590" w:name="Tc_ve479mDYfUu0ebMFBypObQ_10_6"/>
      <w:bookmarkStart w:id="591" w:name="Tc_JlrWZJptnUu6GloMTOH6lg_10_0"/>
      <w:bookmarkStart w:id="592" w:name="Tc_HVSK3QEahUSwxKrnlevm3w_9_0"/>
      <w:bookmarkStart w:id="593" w:name="Tc_THLPiQLD50GJBh9QsVVxYQ_8_0"/>
      <w:bookmarkStart w:id="594" w:name="Tc_0sDpli6zIk250vlr5PA86Q_7_0"/>
      <w:bookmarkStart w:id="595" w:name="Tc_-03uyuf-hEq0Eji7AHk1Ew_6_0"/>
      <w:bookmarkStart w:id="596" w:name="Tc_fgoqnOKF9Eagywe4Uu5I5g_5_0"/>
      <w:bookmarkStart w:id="597" w:name="Tc_DbHBu9a1XUuRAWpIYs0nRA_4_5"/>
      <w:bookmarkStart w:id="598" w:name="Tc_PdooVzgVrUSvSLWZB05xvw_4_2"/>
      <w:bookmarkStart w:id="599" w:name="Tc_GID2uYP7gkirMHYenGqkcQ_4_0"/>
      <w:bookmarkStart w:id="600" w:name="Tc_JApdEsIvQEW4l6DK2ErAXQ_3_0"/>
      <w:bookmarkStart w:id="601" w:name="Tc_SGLTh2NxAEWC2cyKVhE4eg_2_5"/>
      <w:bookmarkStart w:id="602" w:name="Tc_Gfv9cZlnhUC0udTyW8n_Hw_2_2"/>
      <w:bookmarkStart w:id="603" w:name="Tc_EsrvcX4J002_pJYkgzZQUA_1_2"/>
      <w:bookmarkStart w:id="604" w:name="_d58c3c4a_e792_4381_bb17_8d1295cb5c7e"/>
      <w:bookmarkStart w:id="605" w:name="Tc_jaJpL6Ty2EqCfiCWUloCZQ_55_5"/>
      <w:bookmarkStart w:id="606" w:name="Tc_UX0flJgHEkONua0lbNe-Gg_55_2"/>
      <w:bookmarkStart w:id="607" w:name="Tc_mwexFkK7hUOSRnFRhOfEwQ_55_0"/>
      <w:bookmarkStart w:id="608" w:name="Tc_sZMmsIj9V0GR2vAQfmmc_g_54_0"/>
      <w:bookmarkStart w:id="609" w:name="Tc_9at44xHo_0KsPFVSZ1fiKw_53_5"/>
      <w:bookmarkStart w:id="610" w:name="Tc_JxK8wVlFIk6pild70u5OXQ_53_2"/>
      <w:bookmarkStart w:id="611" w:name="Tc_C4pb7FTUS0-6-peTxpMIbw_53_0"/>
      <w:bookmarkStart w:id="612" w:name="Tc_F0DbmdxE5EeIsnDk1yOWrw_52_0"/>
      <w:bookmarkStart w:id="613" w:name="Tc_LbCs2rSUFEyB0LpkGht_2w_50_5"/>
      <w:bookmarkStart w:id="614" w:name="Tc_z7bvf_1N4kK0RpL8ZaQGSA_50_2"/>
      <w:bookmarkStart w:id="615" w:name="Tc_l9zeUg1kPUGdAUyNoWvCgg_50_0"/>
      <w:bookmarkStart w:id="616" w:name="Tc_pSwKlbc-fUqblBhSEuJeQw_49_0"/>
      <w:bookmarkStart w:id="617" w:name="Tc_3sIwCkQe202G2koQPgxyhg_48_0"/>
      <w:bookmarkStart w:id="618" w:name="Tc_DBFLU5V6oEeCkP6uqShvYQ_47_0"/>
      <w:bookmarkStart w:id="619" w:name="Tc_LXE2iOS-0UyOMuY4UTqqTA_46_0"/>
      <w:bookmarkStart w:id="620" w:name="Tc_uyrNSAjVfU-dqx7JJoSDbA_45_0"/>
      <w:bookmarkStart w:id="621" w:name="Tc_A-qxnofFfkWSt4naebYahA_44_0"/>
      <w:bookmarkStart w:id="622" w:name="Tc_ZvSaUn6-WUG_MCUgpVbLAg_43_0"/>
      <w:bookmarkStart w:id="623" w:name="Tc_HPiGjgN3VEevXxUaRZnl1w_42_0"/>
      <w:bookmarkStart w:id="624" w:name="Tc_d2s7HjcAS0WfkXWarHCLGw_41_0"/>
      <w:bookmarkStart w:id="625" w:name="Tc_v6v9b6ulg02_rzwXwsmwJQ_40_0"/>
      <w:bookmarkStart w:id="626" w:name="Tc_kdCKhnCwMkSshJGdB48MMA_39_0"/>
      <w:bookmarkStart w:id="627" w:name="Tc_kmqyt09A7ECt16IETKtOew_38_0"/>
      <w:bookmarkStart w:id="628" w:name="Tc_7Q3zXX2Q6kudTFKQR1fHwA_37_0"/>
      <w:bookmarkStart w:id="629" w:name="Tc_O8cqzrxf60C95BMRSbghpg_36_0"/>
      <w:bookmarkStart w:id="630" w:name="Tc_bPNX6Lb2pkut8S8kDJ7Pbw_35_6"/>
      <w:bookmarkStart w:id="631" w:name="Tc_ax1aK3fbl0K_EH2mE6qf3Q_35_0"/>
      <w:bookmarkStart w:id="632" w:name="Tc_pbiW3OrjzkW4RamiE3dcdQ_34_3"/>
      <w:bookmarkStart w:id="633" w:name="Tc_6aET4pKgKkmQwZWiXl6VNg_34_0"/>
      <w:bookmarkStart w:id="634" w:name="Tc_orXfQNPiEkKQUce6lLXNNg_33_0"/>
      <w:bookmarkStart w:id="635" w:name="Tc_Cg_fuQpe8Eur8vE-U8WBFg_32_6"/>
      <w:bookmarkStart w:id="636" w:name="Tc_a5fdP1pMdkuuVMrEc66Yqg_32_0"/>
      <w:bookmarkStart w:id="637" w:name="Tc_QompOawvWUi34kvi6y9GXA_31_6"/>
      <w:bookmarkStart w:id="638" w:name="Tc_IL3y_sqcM0SR4QqTTF4Ypg_31_0"/>
      <w:bookmarkStart w:id="639" w:name="Tc_7c5pZBvjqEKmwEdJrgJQdg_30_0"/>
      <w:bookmarkStart w:id="640" w:name="Tc_b_tqt-MHtUqR-PWQmJYEig_29_0"/>
      <w:bookmarkStart w:id="641" w:name="Tc_d3NweK39hkSTAZ5G9CAwdQ_28_0"/>
      <w:bookmarkStart w:id="642" w:name="Tc_GwJAqSZA0k6O0a8MiCWIWA_27_0"/>
      <w:bookmarkStart w:id="643" w:name="Tc_hIFXhUPXm0egpTHvNjKMKA_26_0"/>
      <w:bookmarkStart w:id="644" w:name="Tc_hJNSODkoO06bdFhqHSaKPA_25_0"/>
      <w:bookmarkStart w:id="645" w:name="Tc_-4qHiku9-UqGblCOi-G8uQ_24_0"/>
      <w:bookmarkStart w:id="646" w:name="Tc_X3Htze4e9EWjVOjw10xaZw_23_0"/>
      <w:bookmarkStart w:id="647" w:name="Tc_L4I1C1kvpEOmBKwHEV1plQ_22_0"/>
      <w:bookmarkStart w:id="648" w:name="Tc_6NwX8U2E7U2LVE1abyyRwQ_21_0"/>
      <w:bookmarkStart w:id="649" w:name="Tc_qqjvgFalp0yFif6zg3sGpw_20_0"/>
      <w:bookmarkStart w:id="650" w:name="Tc_rS4Ix-7Za02twZvoypdiCg_19_6"/>
      <w:bookmarkStart w:id="651" w:name="Tc_HqtR5vFtG0GUzNCRMLPoiA_19_0"/>
      <w:bookmarkStart w:id="652" w:name="Tc_1fzy73ISh02KcRL365R_mw_18_0"/>
      <w:bookmarkStart w:id="653" w:name="Tc_82ZTdmg4bU6m07Ms-1idSg_17_0"/>
      <w:bookmarkStart w:id="654" w:name="Tc_2PRgvtxhbkqQLK5dJiNaxA_16_0"/>
      <w:bookmarkStart w:id="655" w:name="Tc_1l0irXqQBkyFJXVx7IETcQ_15_0"/>
      <w:bookmarkStart w:id="656" w:name="Tc_PCKprYY3W0e1um1JnZW7Wg_14_6"/>
      <w:bookmarkStart w:id="657" w:name="Tc_KDhO_Q5aWUms9wWDWcSgDA_14_0"/>
      <w:bookmarkStart w:id="658" w:name="Tc_W_VsBOPA5UGjv94CV5OYSA_13_0"/>
      <w:bookmarkStart w:id="659" w:name="Tc_ZH6-a8LErUqzHpbGdtUucg_12_0"/>
      <w:bookmarkStart w:id="660" w:name="Tc_b0WLa5FT_0evwcDAayJH-Q_11_6"/>
      <w:bookmarkStart w:id="661" w:name="Tc_yFTrBAIA10Ghd_N-LSv_TA_11_0"/>
      <w:bookmarkStart w:id="662" w:name="Tc_ve479mDYfUu0ebMFBypObQ_10_6"/>
      <w:bookmarkStart w:id="663" w:name="Tc_JlrWZJptnUu6GloMTOH6lg_10_0"/>
      <w:bookmarkStart w:id="664" w:name="Tc_HVSK3QEahUSwxKrnlevm3w_9_0"/>
      <w:bookmarkStart w:id="665" w:name="Tc_THLPiQLD50GJBh9QsVVxYQ_8_0"/>
      <w:bookmarkStart w:id="666" w:name="Tc_0sDpli6zIk250vlr5PA86Q_7_0"/>
      <w:bookmarkStart w:id="667" w:name="Tc_-03uyuf-hEq0Eji7AHk1Ew_6_0"/>
      <w:bookmarkStart w:id="668" w:name="Tc_fgoqnOKF9Eagywe4Uu5I5g_5_0"/>
      <w:bookmarkStart w:id="669" w:name="Tc_DbHBu9a1XUuRAWpIYs0nRA_4_5"/>
      <w:bookmarkStart w:id="670" w:name="Tc_PdooVzgVrUSvSLWZB05xvw_4_2"/>
      <w:bookmarkStart w:id="671" w:name="Tc_GID2uYP7gkirMHYenGqkcQ_4_0"/>
      <w:bookmarkStart w:id="672" w:name="Tc_JApdEsIvQEW4l6DK2ErAXQ_3_0"/>
      <w:bookmarkStart w:id="673" w:name="Tc_SGLTh2NxAEWC2cyKVhE4eg_2_5"/>
      <w:bookmarkStart w:id="674" w:name="Tc_Gfv9cZlnhUC0udTyW8n_Hw_2_2"/>
      <w:bookmarkStart w:id="675" w:name="Tc_EsrvcX4J002_pJYkgzZQUA_1_2"/>
      <w:bookmarkStart w:id="676" w:name="_d58c3c4a_e792_4381_bb17_8d1295cb5c7e"/>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tbl>
      <w:tblPr>
        <w:tblW w:w="10205" w:type="dxa"/>
        <w:jc w:val="left"/>
        <w:tblInd w:w="0" w:type="dxa"/>
        <w:tblLayout w:type="fixed"/>
        <w:tblCellMar>
          <w:top w:w="0" w:type="dxa"/>
          <w:left w:w="0" w:type="dxa"/>
          <w:bottom w:w="0" w:type="dxa"/>
          <w:right w:w="0" w:type="dxa"/>
        </w:tblCellMar>
      </w:tblPr>
      <w:tblGrid>
        <w:gridCol w:w="7523"/>
        <w:gridCol w:w="109"/>
        <w:gridCol w:w="259"/>
        <w:gridCol w:w="949"/>
        <w:gridCol w:w="109"/>
        <w:gridCol w:w="257"/>
        <w:gridCol w:w="999"/>
      </w:tblGrid>
      <w:tr>
        <w:trPr/>
        <w:tc>
          <w:tcPr>
            <w:tcW w:w="75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4465" cy="175260"/>
                      <wp:effectExtent l="0" t="0" r="0" b="0"/>
                      <wp:wrapNone/>
                      <wp:docPr id="59" name="Frame5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02615" cy="175260"/>
                      <wp:effectExtent l="0" t="0" r="0" b="0"/>
                      <wp:wrapNone/>
                      <wp:docPr id="60" name="Frame60"/>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3195" cy="175260"/>
                      <wp:effectExtent l="0" t="0" r="0" b="0"/>
                      <wp:wrapNone/>
                      <wp:docPr id="62" name="Frame6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34365" cy="175260"/>
                      <wp:effectExtent l="0" t="0" r="0" b="0"/>
                      <wp:wrapNone/>
                      <wp:docPr id="63" name="Frame63"/>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75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0"/>
              <w:ind w:left="0" w:right="0" w:hanging="0"/>
              <w:jc w:val="left"/>
              <w:rPr/>
            </w:pPr>
            <w:r>
              <w:rPr/>
              <w:t>​</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the Company</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5,842 </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(5,993)</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Attributable to the Company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10,931 </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10,316 </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Liabilities to Income Property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474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679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256 </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241 </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Discount on Convertible Debt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Real Estate and Intangible Lease Assets and Liabilities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(4,618)</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Subsurface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(4,545)</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479 </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Non-Cash Imputed Interest </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Investment Securities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4,657 </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4,918</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1,387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1,072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Refundable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 and Development Costs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 </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Mitigation Credits and Mitigation Credit Rights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(1,888)</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(1,748)</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226 </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(1,249)</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90 </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829 </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11,757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9,327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and Intangible Lease Assets and Liabilities, Including Capitalized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(73,412)</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(7,798)</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(6,575)</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(16,061)</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Property, Plant,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19,527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Subsurface Interests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4,974</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Investment Securities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(2,100)</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Sale of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(51,974)</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(25,559)</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56,000</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39,000 </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(9,500)</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(19,600)</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Exercise of Stock Options and Common Stock Issuance</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to Purchase Common Stock</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(5,009)</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Vesting of Restricted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(1,028)</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(Cash Paid for) Issuance of Common Stock, Net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2,064</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(1,187)</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(8,601)</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(8,658)</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37,215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3,650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 Cash, Cash Equivalents and Restricted Cash</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(3,002)</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(12,582)</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17,819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21,194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14,817 </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8,612 </w:t>
            </w:r>
          </w:p>
        </w:tc>
      </w:tr>
      <w:tr>
        <w:trPr/>
        <w:tc>
          <w:tcPr>
            <w:tcW w:w="75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to the Consolidated Balance Sheets:</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left"/>
              <w:rPr/>
            </w:pPr>
            <w:r>
              <w:rPr/>
              <w:t>​</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6,760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7,023 </w:t>
            </w:r>
          </w:p>
        </w:tc>
      </w:tr>
      <w:tr>
        <w:trPr/>
        <w:tc>
          <w:tcPr>
            <w:tcW w:w="75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8,057 </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1,589 </w:t>
            </w:r>
          </w:p>
        </w:tc>
      </w:tr>
      <w:tr>
        <w:trPr/>
        <w:tc>
          <w:tcPr>
            <w:tcW w:w="75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Cash </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14,817 </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 xml:space="preserve">8,612 </w:t>
            </w:r>
          </w:p>
        </w:tc>
      </w:tr>
    </w:tbl>
    <w:p>
      <w:pPr>
        <w:pStyle w:val="TextBody"/>
        <w:bidi w:val="0"/>
        <w:spacing w:before="4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77" w:name="Tc_XyIhDk8KZUWmOmBfvUD7ow_9_5"/>
      <w:bookmarkStart w:id="678" w:name="Tc_Q-FDB2WmKkyEFlYlAtDF0Q_9_2"/>
      <w:bookmarkStart w:id="679" w:name="Tc_XqPhoOA0FEy-48EqKjmXTQ_9_0"/>
      <w:bookmarkStart w:id="680" w:name="Tc_O_PsyU6rJ0is5g5xikl8Ug_8_5"/>
      <w:bookmarkStart w:id="681" w:name="Tc_bKd7UBmcMUSLdSZzw42JcA_8_2"/>
      <w:bookmarkStart w:id="682" w:name="Tc_A3-KzndXi0qnShXq-ntukA_8_0"/>
      <w:bookmarkStart w:id="683" w:name="Tc_s4vV2Jrrg0WaWJQZ-9Iz3Q_7_0"/>
      <w:bookmarkStart w:id="684" w:name="Tc_l1LR-qDPLESAS30mYIDDwA_5_5"/>
      <w:bookmarkStart w:id="685" w:name="Tc_etIDlCb0KEi9O51u1IPkRg_5_2"/>
      <w:bookmarkStart w:id="686" w:name="Tc_DB0_sKI3WEC7sCA-8ig06g_5_0"/>
      <w:bookmarkStart w:id="687" w:name="Tc_05leylN1C0y2Z_3qEssUJg_4_6"/>
      <w:bookmarkStart w:id="688" w:name="Tc_Y4M4EOO6rkKc1hA3TtTpGg_4_5"/>
      <w:bookmarkStart w:id="689" w:name="Tc_ZJKwa-TLekK2I4xtIA1OsQ_4_2"/>
      <w:bookmarkStart w:id="690" w:name="Tc_OlX4v9N7JUGXnEyEoZoy1g_4_0"/>
      <w:bookmarkStart w:id="691" w:name="Tc_5aMWMzgah0Wsp2HzM2GJzg_3_0"/>
      <w:bookmarkStart w:id="692" w:name="Tc_nVneRNxx1Ue0OZsrInJu1g_2_5"/>
      <w:bookmarkStart w:id="693" w:name="Tc_tCqSkjFSZ0q17u8XslkLQg_2_2"/>
      <w:bookmarkStart w:id="694" w:name="Tc_8GXSc7SX_U-RJJjeDhssTQ_1_2"/>
      <w:bookmarkStart w:id="695" w:name="_ed239678_fcf7_49bd_b13d_315aa7dd1621"/>
      <w:bookmarkStart w:id="696" w:name="Tc_XyIhDk8KZUWmOmBfvUD7ow_9_5"/>
      <w:bookmarkStart w:id="697" w:name="Tc_Q-FDB2WmKkyEFlYlAtDF0Q_9_2"/>
      <w:bookmarkStart w:id="698" w:name="Tc_XqPhoOA0FEy-48EqKjmXTQ_9_0"/>
      <w:bookmarkStart w:id="699" w:name="Tc_O_PsyU6rJ0is5g5xikl8Ug_8_5"/>
      <w:bookmarkStart w:id="700" w:name="Tc_bKd7UBmcMUSLdSZzw42JcA_8_2"/>
      <w:bookmarkStart w:id="701" w:name="Tc_A3-KzndXi0qnShXq-ntukA_8_0"/>
      <w:bookmarkStart w:id="702" w:name="Tc_s4vV2Jrrg0WaWJQZ-9Iz3Q_7_0"/>
      <w:bookmarkStart w:id="703" w:name="Tc_l1LR-qDPLESAS30mYIDDwA_5_5"/>
      <w:bookmarkStart w:id="704" w:name="Tc_etIDlCb0KEi9O51u1IPkRg_5_2"/>
      <w:bookmarkStart w:id="705" w:name="Tc_DB0_sKI3WEC7sCA-8ig06g_5_0"/>
      <w:bookmarkStart w:id="706" w:name="Tc_05leylN1C0y2Z_3qEssUJg_4_6"/>
      <w:bookmarkStart w:id="707" w:name="Tc_Y4M4EOO6rkKc1hA3TtTpGg_4_5"/>
      <w:bookmarkStart w:id="708" w:name="Tc_ZJKwa-TLekK2I4xtIA1OsQ_4_2"/>
      <w:bookmarkStart w:id="709" w:name="Tc_OlX4v9N7JUGXnEyEoZoy1g_4_0"/>
      <w:bookmarkStart w:id="710" w:name="Tc_5aMWMzgah0Wsp2HzM2GJzg_3_0"/>
      <w:bookmarkStart w:id="711" w:name="Tc_nVneRNxx1Ue0OZsrInJu1g_2_5"/>
      <w:bookmarkStart w:id="712" w:name="Tc_tCqSkjFSZ0q17u8XslkLQg_2_2"/>
      <w:bookmarkStart w:id="713" w:name="Tc_8GXSc7SX_U-RJJjeDhssTQ_1_2"/>
      <w:bookmarkStart w:id="714" w:name="_ed239678_fcf7_49bd_b13d_315aa7dd1621"/>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tbl>
      <w:tblPr>
        <w:tblW w:w="8004" w:type="dxa"/>
        <w:jc w:val="left"/>
        <w:tblInd w:w="0" w:type="dxa"/>
        <w:tblLayout w:type="fixed"/>
        <w:tblCellMar>
          <w:top w:w="0" w:type="dxa"/>
          <w:left w:w="0" w:type="dxa"/>
          <w:bottom w:w="0" w:type="dxa"/>
          <w:right w:w="0" w:type="dxa"/>
        </w:tblCellMar>
      </w:tblPr>
      <w:tblGrid>
        <w:gridCol w:w="5221"/>
        <w:gridCol w:w="109"/>
        <w:gridCol w:w="321"/>
        <w:gridCol w:w="939"/>
        <w:gridCol w:w="109"/>
        <w:gridCol w:w="314"/>
        <w:gridCol w:w="991"/>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315335" cy="175260"/>
                      <wp:effectExtent l="0" t="0" r="0" b="0"/>
                      <wp:wrapNone/>
                      <wp:docPr id="64" name="Frame64"/>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3835" cy="175260"/>
                      <wp:effectExtent l="0" t="0" r="0" b="0"/>
                      <wp:wrapNone/>
                      <wp:docPr id="66" name="Frame66"/>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96265" cy="175260"/>
                      <wp:effectExtent l="0" t="0" r="0" b="0"/>
                      <wp:wrapNone/>
                      <wp:docPr id="67" name="Frame67"/>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9390" cy="175260"/>
                      <wp:effectExtent l="0" t="0" r="0" b="0"/>
                      <wp:wrapNone/>
                      <wp:docPr id="69" name="Frame6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29285" cy="175260"/>
                      <wp:effectExtent l="0" t="0" r="0" b="0"/>
                      <wp:wrapNone/>
                      <wp:docPr id="70" name="Frame7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109"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 Net of Refunds Received</w:t>
            </w:r>
          </w:p>
        </w:tc>
        <w:tc>
          <w:tcPr>
            <w:tcW w:w="109"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Interest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(4,751)</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(4,268)</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and Financing Activities:</w:t>
            </w:r>
          </w:p>
        </w:tc>
        <w:tc>
          <w:tcPr>
            <w:tcW w:w="109"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Cash Flow Hedges</w:t>
            </w:r>
          </w:p>
        </w:tc>
        <w:tc>
          <w:tcPr>
            <w:tcW w:w="109"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7,513</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(4,891)</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and Unpaid</w:t>
            </w:r>
          </w:p>
        </w:tc>
        <w:tc>
          <w:tcPr>
            <w:tcW w:w="109"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1"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367</w:t>
            </w:r>
          </w:p>
        </w:tc>
      </w:tr>
    </w:tbl>
    <w:tbl>
      <w:tblPr>
        <w:tblW w:w="6317" w:type="dxa"/>
        <w:jc w:val="left"/>
        <w:tblInd w:w="0" w:type="dxa"/>
        <w:tblLayout w:type="fixed"/>
        <w:tblCellMar>
          <w:top w:w="0" w:type="dxa"/>
          <w:left w:w="0" w:type="dxa"/>
          <w:bottom w:w="0" w:type="dxa"/>
          <w:right w:w="0" w:type="dxa"/>
        </w:tblCellMar>
      </w:tblPr>
      <w:tblGrid>
        <w:gridCol w:w="316"/>
        <w:gridCol w:w="6001"/>
      </w:tblGrid>
      <w:tr>
        <w:trPr/>
        <w:tc>
          <w:tcPr>
            <w:tcW w:w="31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 xml:space="preserve">(1) </w:t>
            </w:r>
          </w:p>
        </w:tc>
        <w:tc>
          <w:tcPr>
            <w:tcW w:w="6001"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14"/>
              </w:rPr>
              <w:t>Includes capitalized interest of $0.1</w:t>
            </w:r>
            <w:r>
              <w:rPr>
                <w:rFonts w:ascii="Times New Roman;Times;serif" w:hAnsi="Times New Roman;Times;serif"/>
                <w:sz w:val="20"/>
              </w:rPr>
              <w:t xml:space="preserve"> </w:t>
            </w:r>
            <w:r>
              <w:rPr>
                <w:rFonts w:ascii="Times New Roman;Times;serif" w:hAnsi="Times New Roman;Times;serif"/>
                <w:sz w:val="14"/>
              </w:rPr>
              <w:t>million during the three months ended March 31, 2024 and 2023.</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15" w:name="_fcbf3dbd_9790_4352_9ea9_334fdcb30b54"/>
      <w:bookmarkEnd w:id="715"/>
      <w:r>
        <w:rPr>
          <w:rFonts w:ascii="Times New Roman;Times;serif" w:hAnsi="Times New Roman;Times;serif"/>
          <w:b/>
          <w:sz w:val="20"/>
        </w:rPr>
        <w:t>NOTES TO CONSOLIDATED FINANCIAL STATEMENTS (UNAUDITED)</w:t>
      </w:r>
    </w:p>
    <w:p>
      <w:pPr>
        <w:pStyle w:val="TextBody"/>
        <w:bidi w:val="0"/>
        <w:spacing w:before="0" w:after="0"/>
        <w:ind w:left="0" w:right="0" w:hanging="0"/>
        <w:jc w:val="both"/>
        <w:rPr>
          <w:rFonts w:ascii="Times New Roman;Times;serif" w:hAnsi="Times New Roman;Times;serif"/>
          <w:b/>
          <w:sz w:val="20"/>
        </w:rPr>
      </w:pPr>
      <w:bookmarkStart w:id="716" w:name="BUSINESS_DESCRIPTION"/>
      <w:bookmarkStart w:id="717" w:name="NOTE1DESCRIPTIONOFBUSINESSANDPRINCIPLES"/>
      <w:bookmarkEnd w:id="716"/>
      <w:bookmarkEnd w:id="717"/>
      <w:r>
        <w:rPr>
          <w:rFonts w:ascii="Times New Roman;Times;serif" w:hAnsi="Times New Roman;Times;serif"/>
          <w:b/>
          <w:sz w:val="20"/>
        </w:rPr>
        <w:t xml:space="preserve">NOTE 1. DESCRIPTION OF BUSINESS </w:t>
      </w:r>
    </w:p>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March 31, 2024, we own and manage, sometimes utilizing third-party property management companies, 20 commercial real estate properties in 8 states in the United States, comprising 3.9 million square feet of gross leasable space. In addition to our income property portfolio, as of March 31, 2024, our business included the following: </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one preferred equity investment which is classified as a commercial loan investment.</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Real Estate Operations: An inventory of mitigation credits produced by the Company’s formerly owned mitigation bank. During the three months ended March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Our business also includes our investment in PINE. As of March 31, 2024, the fair value of our investment totaled $35.6 million, or 15.7%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Interim Financial Information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2023,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results of operations for the three months ended March 31, 2024 are not necessarily indicative of results to be expected for the year ending December 31,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March 31, 2024, the Company has an equity investment in PINE.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Segment Reporting</w:t>
      </w:r>
    </w:p>
    <w:p>
      <w:pPr>
        <w:pStyle w:val="TextBody"/>
        <w:bidi w:val="0"/>
        <w:spacing w:before="0" w:after="0"/>
        <w:ind w:left="0" w:right="0" w:hanging="0"/>
        <w:jc w:val="both"/>
        <w:rPr>
          <w:shd w:fill="FFFFFF" w:val="clear"/>
        </w:rPr>
      </w:pPr>
      <w:r>
        <w:rPr>
          <w:shd w:fill="FFFFFF" w:val="clear"/>
        </w:rPr>
        <w:t>​</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ASC Topic 280</w:t>
      </w:r>
      <w:r>
        <w:rPr>
          <w:rFonts w:ascii="Times New Roman;Times;serif" w:hAnsi="Times New Roman;Times;serif"/>
          <w:i/>
          <w:sz w:val="20"/>
        </w:rPr>
        <w:t>, Segment Reporting</w:t>
      </w:r>
      <w:r>
        <w:rPr>
          <w:rFonts w:ascii="Times New Roman;Times;serif" w:hAnsi="Times New Roman;Times;serif"/>
          <w:sz w:val="20"/>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22,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includes cash on hand, bank demand accounts, and money market accounts having original maturities of 90 days or less. The Company’s bank balances as of March 31, 2024 and December 31, 2023 include certain amounts over the Federal Deposit Insurance Corporation limits.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Restricted cash totaled $8.1 million at March 31, 2024, of which $6.6 million is being held in an escrow account to be reinvested through the like-kind exchange structure into other income properties, and $1.5 million is being held in three interest and/or real estate tax reserve accounts related to the Company’s commercial loans and investments.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Derivative Financial Instruments and Hedging Activity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accrued and other liabilities on the consolidated balance sheet at their fair value. On the date each interest rate swap was entered into, the Company designated the derivatives as a hedge of the variability of cash flows to be paid related to the recognized long-term debt liabilities.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0"/>
        <w:ind w:left="0" w:right="0" w:hanging="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accounts payable, and accrued and other liabilities at March 31, 2024 and December 31, 2023, approximate fair value because of the short maturity of these instruments. The carrying value of the Company’s Credit Facility (hereinafter defined) as of March 31, 2024 and December 31, 2023,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mortgage note, and convertible debt held as of March 31, 2024 and December 31, 2023 are measured at fair value based on current market rates for financial instruments with similar risks and maturities (see Note 8, “Fair Value of Financial Instruments”).</w:t>
      </w:r>
    </w:p>
    <w:p>
      <w:pPr>
        <w:pStyle w:val="TextBody"/>
        <w:bidi w:val="0"/>
        <w:spacing w:lineRule="auto" w:line="280"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Value Measurements </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Recognition of Interest Income from Commercial Loans and Investments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Mitigation Credits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Mitigation credits are stated at historical cost. As these assets are sold, the related revenues and cost of sales are reported as revenues from, and direct costs of, real estate operations, respectively, in the consolidated statements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Accounts receivable related to income properties, which are classified in other assets on the consolidated balance sheets, primarily consist of accrued tenant reimbursable expenses and other tenant receivables. Receivables related to income property tenants totaled $4.6 million as of March 31, 2024 and December 31, 2023.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Accounts receivable related to real estate operations, which are classified in other assets on the consolidated balance sheets, totaled $0.6 million as of March 31, 2024 and December 31, 2023. The accounts receivable as of March 31, 2024 and December 31, 2023 are primarily related to the reimbursement of certain infrastructure costs completed by the Company in conjunction with two land sale transactions that closed during the fourth quarter of 2015 as more fully described in Note 11, “Other Assets.”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amount due from the buyer of the golf operations for the rounds surcharge the Company paid to the City of Daytona Beach, totaled $0.1 million as of March 31, 2024 and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collectability of the aforementioned receivables shall be considered and adjusted through an allowance for doubtful accounts which is included in income property revenue on the consolidated statements of operations. As of March 31, 2024 and December 31, 2023, the Company’s allowance for doubtful accounts totaled $1.7 million.</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Purchase Accounting for Acquisitions of Real Estate Subject to a Lease</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Sales of Real Estate</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Gains and losses on land sales, in addition to the sale of Subsurface Interests and mitigation credits, are accounted for as required by FASB ASC Topic 606, </w:t>
      </w:r>
      <w:r>
        <w:rPr>
          <w:rFonts w:ascii="Times New Roman;Times;serif" w:hAnsi="Times New Roman;Times;serif"/>
          <w:i/>
          <w:sz w:val="20"/>
        </w:rPr>
        <w:t>Revenue from Contracts with Customers</w:t>
      </w:r>
      <w:r>
        <w:rPr>
          <w:rFonts w:ascii="Times New Roman;Times;serif" w:hAnsi="Times New Roman;Times;serif"/>
          <w:sz w:val="20"/>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As of January 1, 2024, the Company consolidated its TRSs into one TRS subject to taxation and the filing of a single corporate income tax return.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bookmarkStart w:id="718" w:name="Tc_XWMBEBfLokGKdj8Wy3HPeg_6_4"/>
      <w:bookmarkStart w:id="719" w:name="Tc_24ptjMbFOECT-YLKP_PntA_6_1"/>
      <w:bookmarkStart w:id="720" w:name="Tc_eIN3dSCBmkSVeuDPIi96ww_5_0"/>
      <w:bookmarkStart w:id="721" w:name="Tc_nQWfr0jVskeZ3RLnbeYLaw_4_4"/>
      <w:bookmarkStart w:id="722" w:name="Tc_Uyx73OThwUKztBQhFStQpA_4_1"/>
      <w:bookmarkStart w:id="723" w:name="Tc_nvWqAkNGI0aKiSasgDUslQ_4_0"/>
      <w:bookmarkStart w:id="724" w:name="Tc_xTIj5w92o0K7gkVs4kxQGw_3_0"/>
      <w:bookmarkStart w:id="725" w:name="Tc_LiFsR6OzkkmJ8CsbpZvqMQ_2_4"/>
      <w:bookmarkStart w:id="726" w:name="Tc_n0PR6tfJ10C85-07ZOC_Vw_2_1"/>
      <w:bookmarkStart w:id="727" w:name="Tc_Wb4egMshLkSRnQ0Ma3kDEg_1_1"/>
      <w:bookmarkStart w:id="728" w:name="_d4b52d5d_450c_4d7a_ae79_fcf1722e8daf"/>
      <w:bookmarkStart w:id="729" w:name="INC_PROP_ACQUIRED"/>
      <w:bookmarkEnd w:id="718"/>
      <w:bookmarkEnd w:id="719"/>
      <w:bookmarkEnd w:id="720"/>
      <w:bookmarkEnd w:id="721"/>
      <w:bookmarkEnd w:id="722"/>
      <w:bookmarkEnd w:id="723"/>
      <w:bookmarkEnd w:id="724"/>
      <w:bookmarkEnd w:id="725"/>
      <w:bookmarkEnd w:id="726"/>
      <w:bookmarkEnd w:id="727"/>
      <w:bookmarkEnd w:id="728"/>
      <w:bookmarkEnd w:id="729"/>
      <w:r>
        <w:rPr>
          <w:rFonts w:ascii="Times New Roman;Times;serif" w:hAnsi="Times New Roman;Times;serif"/>
          <w:b/>
          <w:sz w:val="20"/>
        </w:rPr>
        <w:t>NOTE 3. INCOME PROPERTIES</w:t>
      </w:r>
    </w:p>
    <w:p>
      <w:pPr>
        <w:pStyle w:val="TextBody"/>
        <w:bidi w:val="0"/>
        <w:spacing w:before="0" w:after="0"/>
        <w:ind w:left="0" w:right="0" w:hanging="0"/>
        <w:jc w:val="left"/>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and reimbursements from tenants for common area maintenance, insurance, real estate taxes, and other operating expenses.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hanging="0"/>
        <w:jc w:val="both"/>
        <w:rPr/>
      </w:pPr>
      <w:r>
        <w:rPr/>
        <w:t>​</w:t>
      </w:r>
    </w:p>
    <w:tbl>
      <w:tblPr>
        <w:tblW w:w="5180" w:type="dxa"/>
        <w:jc w:val="left"/>
        <w:tblInd w:w="0" w:type="dxa"/>
        <w:tblLayout w:type="fixed"/>
        <w:tblCellMar>
          <w:top w:w="0" w:type="dxa"/>
          <w:left w:w="0" w:type="dxa"/>
          <w:bottom w:w="0" w:type="dxa"/>
          <w:right w:w="0" w:type="dxa"/>
        </w:tblCellMar>
      </w:tblPr>
      <w:tblGrid>
        <w:gridCol w:w="2146"/>
        <w:gridCol w:w="342"/>
        <w:gridCol w:w="1098"/>
        <w:gridCol w:w="109"/>
        <w:gridCol w:w="311"/>
        <w:gridCol w:w="1174"/>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62710" cy="175260"/>
                      <wp:effectExtent l="0" t="0" r="0" b="0"/>
                      <wp:wrapNone/>
                      <wp:docPr id="71" name="Frame7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7170" cy="175260"/>
                      <wp:effectExtent l="0" t="0" r="0" b="0"/>
                      <wp:wrapNone/>
                      <wp:docPr id="72" name="Frame72"/>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7230" cy="175260"/>
                      <wp:effectExtent l="0" t="0" r="0" b="0"/>
                      <wp:wrapNone/>
                      <wp:docPr id="73" name="Frame73"/>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7485" cy="175260"/>
                      <wp:effectExtent l="0" t="0" r="0" b="0"/>
                      <wp:wrapNone/>
                      <wp:docPr id="75" name="Frame75"/>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45490" cy="175260"/>
                      <wp:effectExtent l="0" t="0" r="0" b="0"/>
                      <wp:wrapNone/>
                      <wp:docPr id="76" name="Frame76"/>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0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2146"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18,501</w:t>
            </w:r>
          </w:p>
        </w:tc>
        <w:tc>
          <w:tcPr>
            <w:tcW w:w="109"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18,038</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w:t>
            </w:r>
          </w:p>
        </w:tc>
        <w:tc>
          <w:tcPr>
            <w:tcW w:w="109"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4,394</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Leasing Revenue</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24,623</w:t>
            </w:r>
          </w:p>
        </w:tc>
        <w:tc>
          <w:tcPr>
            <w:tcW w:w="109"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22,432</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730" w:name="Tc_5rCO_YfktU-ZuVmDI_baaw_9_2"/>
      <w:bookmarkStart w:id="731" w:name="Tc_kH48yN8Rl0mQ517N1ZfBgg_9_0"/>
      <w:bookmarkStart w:id="732" w:name="Tc_venMLceuB02IFsFuTz4KoA_8_0"/>
      <w:bookmarkStart w:id="733" w:name="Tc_Jrh_cT_rwUOlpHZFqMKygw_7_0"/>
      <w:bookmarkStart w:id="734" w:name="Tc_7ZYMU1oITUidXV03M66JYA_6_0"/>
      <w:bookmarkStart w:id="735" w:name="Tc_M0tAvuMP-UGlf6hkf3V9-Q_5_0"/>
      <w:bookmarkStart w:id="736" w:name="Tc_csyzYSI4L06UtqTcWq3nQg_4_0"/>
      <w:bookmarkStart w:id="737" w:name="Tc_Se2cosW9SUa1LdTZ0ScxDw_3_0"/>
      <w:bookmarkStart w:id="738" w:name="Tc_sUb93Jcx10yvwiEjUDTLCg_2_2"/>
      <w:bookmarkStart w:id="739" w:name="Tc_N78IuQWhX0ufZ-SAeCAGHg_2_0"/>
      <w:bookmarkStart w:id="740" w:name="Tc_U4GkJMzjdkiZOjpsuWGC8Q_1_2"/>
      <w:bookmarkStart w:id="741" w:name="Tc_pdpbMne9mkOZ-peYWv0DUg_1_0"/>
      <w:bookmarkStart w:id="742" w:name="_31cabd46_aa94_4d1f_a5ed_1c6a34cea447"/>
      <w:bookmarkEnd w:id="730"/>
      <w:bookmarkEnd w:id="731"/>
      <w:bookmarkEnd w:id="732"/>
      <w:bookmarkEnd w:id="733"/>
      <w:bookmarkEnd w:id="734"/>
      <w:bookmarkEnd w:id="735"/>
      <w:bookmarkEnd w:id="736"/>
      <w:bookmarkEnd w:id="737"/>
      <w:bookmarkEnd w:id="738"/>
      <w:bookmarkEnd w:id="739"/>
      <w:bookmarkEnd w:id="740"/>
      <w:bookmarkEnd w:id="741"/>
      <w:bookmarkEnd w:id="742"/>
      <w:r>
        <w:rPr>
          <w:rFonts w:ascii="Times New Roman;Times;serif" w:hAnsi="Times New Roman;Times;serif"/>
          <w:sz w:val="20"/>
        </w:rPr>
        <w:t>Minimum future base rental receipts under non-cancelable operating leases, excluding percentage rent and other lease payments that are not fixed and determinable, having remaining terms in excess of one year subsequent to March 31, 2024, are summarized as follows (in thousands):</w:t>
      </w:r>
    </w:p>
    <w:p>
      <w:pPr>
        <w:pStyle w:val="TextBody"/>
        <w:bidi w:val="0"/>
        <w:spacing w:before="0" w:after="0"/>
        <w:ind w:left="0" w:right="0" w:firstLine="360"/>
        <w:jc w:val="both"/>
        <w:rPr/>
      </w:pPr>
      <w:r>
        <w:rPr/>
        <w:t>​</w:t>
      </w:r>
    </w:p>
    <w:tbl>
      <w:tblPr>
        <w:tblW w:w="4304" w:type="dxa"/>
        <w:jc w:val="left"/>
        <w:tblInd w:w="0" w:type="dxa"/>
        <w:tblLayout w:type="fixed"/>
        <w:tblCellMar>
          <w:top w:w="0" w:type="dxa"/>
          <w:left w:w="0" w:type="dxa"/>
          <w:bottom w:w="0" w:type="dxa"/>
          <w:right w:w="0" w:type="dxa"/>
        </w:tblCellMar>
      </w:tblPr>
      <w:tblGrid>
        <w:gridCol w:w="2881"/>
        <w:gridCol w:w="326"/>
        <w:gridCol w:w="211"/>
        <w:gridCol w:w="886"/>
      </w:tblGrid>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62610" cy="175895"/>
                      <wp:effectExtent l="0" t="0" r="0" b="0"/>
                      <wp:wrapNone/>
                      <wp:docPr id="77" name="Frame77"/>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1"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59,154</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74,369</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66,574</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55,666</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43,931</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30,874</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 and Thereafter (Cumulative)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86,442</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417,010</w:t>
            </w:r>
          </w:p>
        </w:tc>
      </w:tr>
    </w:tbl>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2024 Acquisitions. </w:t>
      </w:r>
      <w:r>
        <w:rPr>
          <w:rFonts w:ascii="Times New Roman;Times;serif" w:hAnsi="Times New Roman;Times;serif"/>
          <w:sz w:val="20"/>
        </w:rPr>
        <w:t>During the three months ended March 31, 2024, the Company acquired one multi-tenant income property and one building within an existing multi-tenant income property for an aggregate purchase price of $71.0 million, or a total acquisition cost of $71.1 million,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Marketplace at Seminole Towne Center, a multi-tenant income property located in Sanford, Florida, for a purchase price of $68.7</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$68.8</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Marketplace at Seminole Towne Center comprises 315,066</w:t>
            </w:r>
            <w:r>
              <w:rPr>
                <w:caps w:val="false"/>
                <w:smallCaps w:val="false"/>
              </w:rPr>
              <w:t xml:space="preserve"> </w:t>
            </w:r>
            <w:r>
              <w:rPr>
                <w:rFonts w:ascii="Times New Roman;Times;serif" w:hAnsi="Times New Roman;Times;serif"/>
                <w:b w:val="false"/>
                <w:i w:val="false"/>
                <w:caps w:val="false"/>
                <w:smallCaps w:val="false"/>
                <w:sz w:val="20"/>
              </w:rPr>
              <w:t>square feet, was 98%</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4.7</w:t>
            </w:r>
            <w:r>
              <w:rPr>
                <w:caps w:val="false"/>
                <w:smallCaps w:val="false"/>
              </w:rPr>
              <w:t xml:space="preserve"> </w:t>
            </w:r>
            <w:r>
              <w:rPr>
                <w:rFonts w:ascii="Times New Roman;Times;serif" w:hAnsi="Times New Roman;Times;serif"/>
                <w:b w:val="false"/>
                <w:i w:val="false"/>
                <w:caps w:val="false"/>
                <w:smallCaps w:val="false"/>
                <w:sz w:val="20"/>
              </w:rPr>
              <w:t xml:space="preserve">years at acquisition.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One</w:t>
            </w:r>
            <w:r>
              <w:rPr>
                <w:caps w:val="false"/>
                <w:smallCaps w:val="false"/>
              </w:rPr>
              <w:t xml:space="preserve"> </w:t>
            </w:r>
            <w:r>
              <w:rPr>
                <w:rFonts w:ascii="Times New Roman;Times;serif" w:hAnsi="Times New Roman;Times;serif"/>
                <w:b w:val="false"/>
                <w:i w:val="false"/>
                <w:caps w:val="false"/>
                <w:smallCaps w:val="false"/>
                <w:sz w:val="20"/>
              </w:rPr>
              <w:t>property, totaling 4,000</w:t>
            </w:r>
            <w:r>
              <w:rPr>
                <w:caps w:val="false"/>
                <w:smallCaps w:val="false"/>
              </w:rPr>
              <w:t xml:space="preserve"> </w:t>
            </w:r>
            <w:r>
              <w:rPr>
                <w:rFonts w:ascii="Times New Roman;Times;serif" w:hAnsi="Times New Roman;Times;serif"/>
                <w:b w:val="false"/>
                <w:i w:val="false"/>
                <w:caps w:val="false"/>
                <w:smallCaps w:val="false"/>
                <w:sz w:val="20"/>
              </w:rPr>
              <w:t>square feet, within the 28,100</w:t>
            </w:r>
            <w:r>
              <w:rPr>
                <w:caps w:val="false"/>
                <w:smallCaps w:val="false"/>
              </w:rPr>
              <w:t xml:space="preserve"> </w:t>
            </w:r>
            <w:r>
              <w:rPr>
                <w:rFonts w:ascii="Times New Roman;Times;serif" w:hAnsi="Times New Roman;Times;serif"/>
                <w:b w:val="false"/>
                <w:i w:val="false"/>
                <w:caps w:val="false"/>
                <w:smallCaps w:val="false"/>
                <w:sz w:val="20"/>
              </w:rPr>
              <w:t>square foot retail portion of Phase II of The Exchange at Gwinnett located in Buford, Georgia for an aggregate purchase price of $2.3</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weighted average remaining lease term at acquisition is 10.0</w:t>
            </w:r>
            <w:r>
              <w:rPr>
                <w:caps w:val="false"/>
                <w:smallCaps w:val="false"/>
              </w:rPr>
              <w:t xml:space="preserve"> </w:t>
            </w:r>
            <w:r>
              <w:rPr>
                <w:rFonts w:ascii="Times New Roman;Times;serif" w:hAnsi="Times New Roman;Times;serif"/>
                <w:b w:val="false"/>
                <w:i w:val="false"/>
                <w:caps w:val="false"/>
                <w:smallCaps w:val="false"/>
                <w:sz w:val="20"/>
              </w:rPr>
              <w:t>years. As a result of this acquisition, the Company has acquired the entire retail portion of Phase II of the Exchange at Gwinnett. The Company previously purchased the Sprouts-anchored Phase I portion of The Exchange at Gwinnett in December 2021.</w:t>
            </w:r>
          </w:p>
        </w:tc>
      </w:tr>
    </w:tbl>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Of the aggregate $71.1 million total acquisition cost, $12.9 million was allocated to land, $52.0 million was allocated to buildings and improvements, and $11.2 million was allocated to intangible assets pertaining to the in-place lease value, leasing costs, and above market lease value and $5.0 million was allocated to intangible liabilities for the below market lease value. The amortization period for the intangible assets and liabilities was 4.9 years at acquisition.</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2024 Dispositions.</w:t>
      </w:r>
      <w:r>
        <w:rPr>
          <w:rFonts w:ascii="Times New Roman;Times;serif" w:hAnsi="Times New Roman;Times;serif"/>
          <w:sz w:val="20"/>
        </w:rPr>
        <w:t xml:space="preserve"> During the three months ended March 31, 2024, the Company sold one mixed use income property in downtown Santa Fe, NM for $20.0 million resulting in a gain of $4.6 million.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2023 Acquisitions</w:t>
      </w:r>
      <w:r>
        <w:rPr>
          <w:rFonts w:ascii="Times New Roman;Times;serif" w:hAnsi="Times New Roman;Times;serif"/>
          <w:sz w:val="20"/>
        </w:rPr>
        <w:t xml:space="preserve">. During the three months ended March 31, 2023, the Company acquired one 6,000 square foot property within the 28,100 square foot retail portion of Phase II of The Exchange at Gwinnett located in Buford, Georgia for a purchase price of $3.3 million. The 6,000 square foot building is leased to one tenant with 9.8 years remaining on the lease at acquisition. </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2023 Dispositions.</w:t>
      </w:r>
      <w:r>
        <w:rPr>
          <w:rFonts w:ascii="Times New Roman;Times;serif" w:hAnsi="Times New Roman;Times;serif"/>
          <w:sz w:val="20"/>
        </w:rPr>
        <w:t xml:space="preserve"> There were no income property dispositions during the three months ended March 31, 2023.</w:t>
      </w:r>
    </w:p>
    <w:p>
      <w:pPr>
        <w:pStyle w:val="TextBody"/>
        <w:bidi w:val="0"/>
        <w:spacing w:before="28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pacing w:val="-2"/>
          <w:sz w:val="20"/>
        </w:rPr>
        <w:t xml:space="preserve">Our </w:t>
      </w:r>
      <w:r>
        <w:rPr>
          <w:rFonts w:ascii="Times New Roman;Times;serif" w:hAnsi="Times New Roman;Times;serif"/>
          <w:sz w:val="20"/>
        </w:rPr>
        <w:t xml:space="preserve">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2024 Activity.</w:t>
      </w:r>
      <w:r>
        <w:rPr>
          <w:rFonts w:ascii="Times New Roman;Times;serif" w:hAnsi="Times New Roman;Times;serif"/>
          <w:sz w:val="20"/>
        </w:rPr>
        <w:t xml:space="preserve"> On March 26, 2024, the Company originated a construction loan secured by the property and improvements to be constructed thereon consisting of seven outparcel locations, known as the Hypoluxo Project, located in Lake Worth, Florida for $10.0 million. The construction loan matures on September 26, 2025, bears a fixed interest rate of 11.0%, and requires interest only payments prior to maturity. Funding of the loan will occur as the borrower completes the underlying construction. As of March 31, 2024, the Company had funded $6.7 million to the borrower, leaving a remaining commitment of $3.3 million to the borrower.</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February 2, 2024, the borrower under the construction loan originated in January 2022 and secured by the property and improvements constructed thereon for the second phase of The Exchange at Gwinnett project located in Buford, Georgia repaid the principal balance of $1.9 million, leaving no remaining balance outstanding as of March 31, 2024. There is no remaining commitment to the borrower as of March 31, 2024.</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On February 21, 2023, the borrower of the mortgage note secured by the 4311 Maple Avenue property located in Dallas, Texas repaid the principal balance of $0.4 million, leaving no remaining balance outstanding as of March 31, 2023.</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March 1, 2023, the Company originated a $15.0 million first mortgage loan secured by the Founders Square property located in Dallas, Texas. The loan is interest-only with a term of three years with a fixed interest rate of 8.75%. The Company received an origination fee of 1.0% or $0.15 million.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three months ended March 31, 2023, the Company funded $1.2 million to the borrower under the construction loan originated in January 2022 and secured by the property and improvements to be constructed thereon for the second phase of The Exchange at Gwinnett project located in Buford, Georgia. As of March 31, 2023, the remaining commitment to the borrower was $4.3 million.</w:t>
      </w:r>
    </w:p>
    <w:p>
      <w:pPr>
        <w:pStyle w:val="TextBody"/>
        <w:bidi w:val="0"/>
        <w:spacing w:before="0" w:after="0"/>
        <w:ind w:left="0" w:right="0" w:firstLine="49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December 20, 2023, simultaneous with the sale of the property, the Company originated a $15.4 million first mortgage loan secured by the Sabal Pavilion property located in Tampa, Florida. The loan is interest-only with a term of six months with a fixed interest rate of 7.50%. Subsequent to March 31, 2024, the borrower repaid the mortgage loan at a $0.2 million discount, for proceeds to the Company of $15.2 million.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i/>
          <w:sz w:val="20"/>
        </w:rPr>
        <w:t xml:space="preserve">Watters Creek Investment. </w:t>
      </w:r>
      <w:r>
        <w:rPr>
          <w:rFonts w:ascii="Times New Roman;Times;serif" w:hAnsi="Times New Roman;Times;serif"/>
          <w:sz w:val="20"/>
        </w:rPr>
        <w:t>On April 7, 2022, the Company entered into a preferred equity agreement to provide $30.0 million of funding towards the total investment in Watters Creek at Montgomery Farm, a grocery-anchored, mixed-use property located in Allen, Texas (the “Watters Creek Investment”). The Watters Creek Investment matures on April 6, 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 xml:space="preserve">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Times New Roman;Times;serif" w:hAnsi="Times New Roman;Times;serif"/>
          <w:i/>
          <w:sz w:val="20"/>
        </w:rPr>
        <w:t>Consolidation</w:t>
      </w:r>
      <w:r>
        <w:rPr>
          <w:rFonts w:ascii="Times New Roman;Times;serif" w:hAnsi="Times New Roman;Times;serif"/>
          <w:sz w:val="20"/>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743" w:name="Tc_OG5PphnZv0m2eWRRI6vIkQ_6_5"/>
      <w:bookmarkStart w:id="744" w:name="Tc_ruI8FF5M9EqGjtOS7KunDQ_6_2"/>
      <w:bookmarkStart w:id="745" w:name="Tc_8kyubYty2kmXVWKQYMVwzg_6_0"/>
      <w:bookmarkStart w:id="746" w:name="Tc_N8zy7WImx06rVR0PFzVQ_g_5_0"/>
      <w:bookmarkStart w:id="747" w:name="Tc_pOXe2Fh-WEi5efDegncbag_4_0"/>
      <w:bookmarkStart w:id="748" w:name="Tc_iqQmSxw7CUyA4LdrQzT-ZQ_3_5"/>
      <w:bookmarkStart w:id="749" w:name="Tc_QOrn1XNyzU6bay4yhxVtTw_3_2"/>
      <w:bookmarkStart w:id="750" w:name="Tc_4rGiG-2zgE2JGR4LrYucvw_3_0"/>
      <w:bookmarkStart w:id="751" w:name="Tc_OWMfOrlZ7UCKUaf5m2OW5w_2_5"/>
      <w:bookmarkStart w:id="752" w:name="Tc_TOF9jaiLV0Kt6gbHEw7xLg_2_2"/>
      <w:bookmarkStart w:id="753" w:name="Tc__2Wib7a-_UClIpQ0oQcHLg_1_2"/>
      <w:bookmarkStart w:id="754" w:name="_0fccdaeb_0787_4b4a_9657_6e74fb017f2b"/>
      <w:bookmarkStart w:id="755" w:name="Tc_j3Wtdx24MkOrWzSFhGelDg_9_12"/>
      <w:bookmarkStart w:id="756" w:name="Tc_DbQvIe_VWk2U13Zf1nFRWQ_9_0"/>
      <w:bookmarkStart w:id="757" w:name="Tc_vPClgk_Kzkq2iA9dR6uLcg_8_0"/>
      <w:bookmarkStart w:id="758" w:name="Tc_A8EM_ivWy02iJ_zNj5Ks0A_7_12"/>
      <w:bookmarkStart w:id="759" w:name="Tc_PFsVDYd2ekSRNFwS33KY1A_7_9"/>
      <w:bookmarkStart w:id="760" w:name="Tc_N4MMpNuNBkGAYIgggfDtGw_7_6"/>
      <w:bookmarkStart w:id="761" w:name="Tc_MHNjes_TlEqu1bR6jjv1EQ_6_4"/>
      <w:bookmarkStart w:id="762" w:name="Tc_0ULebEAZekOoceAYZQktlA_6_2"/>
      <w:bookmarkStart w:id="763" w:name="Tc_n1Nxf-Bfm0KVclGAZ9gfhw_6_0"/>
      <w:bookmarkStart w:id="764" w:name="Tc_sHUeBGXFXk2leDGEU8le5g_5_4"/>
      <w:bookmarkStart w:id="765" w:name="Tc_2L5YmS9mEU2UrycpPyMkIg_5_2"/>
      <w:bookmarkStart w:id="766" w:name="Tc_YxHx4jVzZEC9JLRlvdnWuw_5_0"/>
      <w:bookmarkStart w:id="767" w:name="Tc_Bc7dJk7KzEaby52P_2T2OQ_4_4"/>
      <w:bookmarkStart w:id="768" w:name="Tc_Egz_2doBb0mKSH9ileuTTg_4_2"/>
      <w:bookmarkStart w:id="769" w:name="Tc_8xmLNExPCk6plmqAPlQbog_4_0"/>
      <w:bookmarkStart w:id="770" w:name="Tc_xH2j8tYCxUWMx9t6g_7v9Q_3_4"/>
      <w:bookmarkStart w:id="771" w:name="Tc_KaxMlUTcQUW12Fej0NRYVg_3_2"/>
      <w:bookmarkStart w:id="772" w:name="Tc_0doMfqkgL0CGSNXJdqUqlg_3_0"/>
      <w:bookmarkStart w:id="773" w:name="Tc_vU61eT4cYUWQNLa5-cxSIQ_2_12"/>
      <w:bookmarkStart w:id="774" w:name="Tc_Aodjhp4dzUW4C5HpSbgxaA_2_9"/>
      <w:bookmarkStart w:id="775" w:name="Tc_bsDzSBsNJEKCBUUT6_di5g_2_6"/>
      <w:bookmarkStart w:id="776" w:name="Tc_sGkQ0dLV8U-Y_YqmGa2S4w_2_4"/>
      <w:bookmarkStart w:id="777" w:name="Tc_5bBOmMfDp0OXYcc_i7dGFA_2_2"/>
      <w:bookmarkStart w:id="778" w:name="Tc_aMLThegujESho6NOUAYQDg_2_0"/>
      <w:bookmarkStart w:id="779" w:name="Tc_LBU82O8n40uPOYajOEOdzg_1_15"/>
      <w:bookmarkStart w:id="780" w:name="Tc_jCC57dmie0GTXMijM0gOkA_1_12"/>
      <w:bookmarkStart w:id="781" w:name="Tc_aPU-h3iVSE2O3bHImh2Eyg_1_9"/>
      <w:bookmarkStart w:id="782" w:name="Tc_n7hhwoTHaEOvuQIzOvAmIw_1_6"/>
      <w:bookmarkStart w:id="783" w:name="Tc_6wtzNDHrcUefD8Dv4pz6YA_1_4"/>
      <w:bookmarkStart w:id="784" w:name="Tc_BZVoEBGxB0GOyB6pfAex-w_1_2"/>
      <w:bookmarkStart w:id="785" w:name="Tc_Ho3u9EY_fEqTvcbR3KzvmQ_1_0"/>
      <w:bookmarkStart w:id="786" w:name="_f21b32f9_234a_4bc6_8610_dc76ae593e82"/>
      <w:bookmarkStart w:id="787" w:name="Tc_zpa2pIzJMEOALPvQ2zlqrw_9_12"/>
      <w:bookmarkStart w:id="788" w:name="Tc_3-Y4WIDKCk2NrbNbAJYs5Q_9_0"/>
      <w:bookmarkStart w:id="789" w:name="Tc_UuEu-7MVK0OgwtaF08XhNg_8_0"/>
      <w:bookmarkStart w:id="790" w:name="Tc_QPE2kaMwO0mbs4nRBS2sBg_7_12"/>
      <w:bookmarkStart w:id="791" w:name="Tc_VQelSvEwkESFuxCPgjywsw_7_9"/>
      <w:bookmarkStart w:id="792" w:name="Tc_f5hz8rnOaU2gLWhlUp07Vw_7_6"/>
      <w:bookmarkStart w:id="793" w:name="Tc_MN8wA8maCUazoGvxepYg8w_6_4"/>
      <w:bookmarkStart w:id="794" w:name="Tc_epIwHI7iIEauh6Kme5RamA_6_2"/>
      <w:bookmarkStart w:id="795" w:name="Tc_CZ2VJOYrDEWKyIxBiAN9fQ_6_0"/>
      <w:bookmarkStart w:id="796" w:name="Tc_byamc6Lxoke2vXKs2_JUxA_5_4"/>
      <w:bookmarkStart w:id="797" w:name="Tc_V4GQzRKnMUGL582go7C1hg_5_2"/>
      <w:bookmarkStart w:id="798" w:name="Tc_dUKSKPSDuE6XLhJsJbWbeA_5_0"/>
      <w:bookmarkStart w:id="799" w:name="Tc_kYidfTPGukyfg5BzaT623g_4_4"/>
      <w:bookmarkStart w:id="800" w:name="Tc_ihC3MPoSB0mXcwJcoeO1BA_4_2"/>
      <w:bookmarkStart w:id="801" w:name="Tc_I6tFGfSIjEqh_z1EIRPrWQ_4_0"/>
      <w:bookmarkStart w:id="802" w:name="Tc_eAfDyPNfPkGOOKfgSXBi9w_3_4"/>
      <w:bookmarkStart w:id="803" w:name="Tc_FhoZFIQ5tEuqoQr2XtJQrQ_3_2"/>
      <w:bookmarkStart w:id="804" w:name="Tc_vg-8qZw57keazkMF0zQ94Q_3_0"/>
      <w:bookmarkStart w:id="805" w:name="Tc_Ga1yImYCxESoHyCBsKA6ew_2_12"/>
      <w:bookmarkStart w:id="806" w:name="Tc_5n6pBj1m9UGLTWctGxJEwQ_2_9"/>
      <w:bookmarkStart w:id="807" w:name="Tc_UK89bClKFE622KiFLAPdSw_2_6"/>
      <w:bookmarkStart w:id="808" w:name="Tc_ZY0N7FKZNECmupLfgSVjjw_2_4"/>
      <w:bookmarkStart w:id="809" w:name="Tc_U40bI7uAZ0GuMyzr-9tTVA_2_2"/>
      <w:bookmarkStart w:id="810" w:name="Tc_dQSGQHUTLkmqIJmSq0qaeg_2_0"/>
      <w:bookmarkStart w:id="811" w:name="Tc_6TdS8o58m0uOEQAPagbUBw_1_15"/>
      <w:bookmarkStart w:id="812" w:name="Tc_e28tVTQbVUOl0VbF1Q813w_1_12"/>
      <w:bookmarkStart w:id="813" w:name="Tc_S1yDkO7U00SJTCpekJfDZA_1_9"/>
      <w:bookmarkStart w:id="814" w:name="Tc_bufVl59VN06XZsh_2GBoUw_1_6"/>
      <w:bookmarkStart w:id="815" w:name="Tc_zu5OV3yhp0KY47xoaKX2cA_1_4"/>
      <w:bookmarkStart w:id="816" w:name="Tc_NJ658_xOGkGRMJADVcuixA_1_2"/>
      <w:bookmarkStart w:id="817" w:name="Tc_9zjmG4q43UaPz054AOjARQ_1_0"/>
      <w:bookmarkStart w:id="818" w:name="_f82df7f6_06ae_43af_86db_8c5eaa2a7d73"/>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sz w:val="20"/>
        </w:rPr>
        <w:t xml:space="preserve">The Company’s commercial loans and investments were comprised of the following at March 31, 2024 (in thousands): </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2029"/>
        <w:gridCol w:w="326"/>
        <w:gridCol w:w="1117"/>
        <w:gridCol w:w="326"/>
        <w:gridCol w:w="991"/>
        <w:gridCol w:w="326"/>
        <w:gridCol w:w="282"/>
        <w:gridCol w:w="864"/>
        <w:gridCol w:w="326"/>
        <w:gridCol w:w="279"/>
        <w:gridCol w:w="856"/>
        <w:gridCol w:w="326"/>
        <w:gridCol w:w="236"/>
        <w:gridCol w:w="726"/>
        <w:gridCol w:w="326"/>
        <w:gridCol w:w="869"/>
      </w:tblGrid>
      <w:tr>
        <w:trPr/>
        <w:tc>
          <w:tcPr>
            <w:tcW w:w="2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288415" cy="175260"/>
                      <wp:effectExtent l="0" t="0" r="0" b="0"/>
                      <wp:wrapNone/>
                      <wp:docPr id="78" name="Frame78"/>
                      <a:graphic xmlns:a="http://schemas.openxmlformats.org/drawingml/2006/main">
                        <a:graphicData uri="http://schemas.microsoft.com/office/word/2010/wordprocessingShape">
                          <wps:wsp>
                            <wps:cNvSpPr txBox="1"/>
                            <wps:spPr>
                              <a:xfrm>
                                <a:off x="0" y="0"/>
                                <a:ext cx="1288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09295" cy="175260"/>
                      <wp:effectExtent l="0" t="0" r="0" b="0"/>
                      <wp:wrapNone/>
                      <wp:docPr id="80" name="Frame80"/>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29285" cy="175260"/>
                      <wp:effectExtent l="0" t="0" r="0" b="0"/>
                      <wp:wrapNone/>
                      <wp:docPr id="82" name="Frame8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79070" cy="175260"/>
                      <wp:effectExtent l="0" t="0" r="0" b="0"/>
                      <wp:wrapNone/>
                      <wp:docPr id="84" name="Frame8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48640" cy="175260"/>
                      <wp:effectExtent l="0" t="0" r="0" b="0"/>
                      <wp:wrapNone/>
                      <wp:docPr id="85" name="Frame85"/>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77165" cy="175260"/>
                      <wp:effectExtent l="0" t="0" r="0" b="0"/>
                      <wp:wrapNone/>
                      <wp:docPr id="87" name="Frame8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43560" cy="175260"/>
                      <wp:effectExtent l="0" t="0" r="0" b="0"/>
                      <wp:wrapNone/>
                      <wp:docPr id="88" name="Frame8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9860" cy="175260"/>
                      <wp:effectExtent l="0" t="0" r="0" b="0"/>
                      <wp:wrapNone/>
                      <wp:docPr id="90" name="Frame9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61010" cy="175260"/>
                      <wp:effectExtent l="0" t="0" r="0" b="0"/>
                      <wp:wrapNone/>
                      <wp:docPr id="91" name="Frame91"/>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51815" cy="175260"/>
                      <wp:effectExtent l="0" t="0" r="0" b="0"/>
                      <wp:wrapNone/>
                      <wp:docPr id="93" name="Frame9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02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2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2025</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29,949</w:t>
            </w:r>
          </w:p>
        </w:tc>
        <w:tc>
          <w:tcPr>
            <w:tcW w:w="3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02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Founders Square – Dallas, TX</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14,904</w:t>
            </w:r>
          </w:p>
        </w:tc>
        <w:tc>
          <w:tcPr>
            <w:tcW w:w="32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02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Promissory Note – Main Street – Daytona Beach, FL</w:t>
            </w:r>
          </w:p>
        </w:tc>
        <w:tc>
          <w:tcPr>
            <w:tcW w:w="32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2033</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7.00%</w:t>
            </w:r>
          </w:p>
        </w:tc>
      </w:tr>
      <w:tr>
        <w:trPr/>
        <w:tc>
          <w:tcPr>
            <w:tcW w:w="202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Sabal Pavilion – Tampa, FL</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2024</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15,400</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15,400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15,397</w:t>
            </w:r>
          </w:p>
        </w:tc>
        <w:tc>
          <w:tcPr>
            <w:tcW w:w="32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7.50%</w:t>
            </w:r>
          </w:p>
        </w:tc>
      </w:tr>
      <w:tr>
        <w:trPr/>
        <w:tc>
          <w:tcPr>
            <w:tcW w:w="202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Construction Loan - Hypoluxo - Lake Worth, FL </w:t>
            </w:r>
          </w:p>
        </w:tc>
        <w:tc>
          <w:tcPr>
            <w:tcW w:w="32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2024</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6,675</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6,577</w:t>
            </w:r>
          </w:p>
        </w:tc>
        <w:tc>
          <w:tcPr>
            <w:tcW w:w="3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20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70,800</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67,475</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67,227</w:t>
            </w:r>
          </w:p>
        </w:tc>
        <w:tc>
          <w:tcPr>
            <w:tcW w:w="32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r>
      <w:tr>
        <w:trPr/>
        <w:tc>
          <w:tcPr>
            <w:tcW w:w="202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(675)</w:t>
            </w:r>
          </w:p>
        </w:tc>
        <w:tc>
          <w:tcPr>
            <w:tcW w:w="32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2029"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66,552</w:t>
            </w:r>
          </w:p>
        </w:tc>
        <w:tc>
          <w:tcPr>
            <w:tcW w:w="32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r>
    </w:tbl>
    <w:p>
      <w:pPr>
        <w:pStyle w:val="TextBody"/>
        <w:bidi w:val="0"/>
        <w:spacing w:lineRule="auto" w:line="266" w:before="0" w:after="0"/>
        <w:ind w:left="0" w:right="0" w:firstLine="490"/>
        <w:jc w:val="both"/>
        <w:rPr/>
      </w:pPr>
      <w:r>
        <w:rPr/>
        <w:t>​</w:t>
      </w:r>
    </w:p>
    <w:p>
      <w:pPr>
        <w:pStyle w:val="TextBody"/>
        <w:bidi w:val="0"/>
        <w:spacing w:lineRule="auto" w:line="266" w:before="0" w:after="0"/>
        <w:ind w:left="0" w:right="0" w:firstLine="490"/>
        <w:jc w:val="both"/>
        <w:rPr/>
      </w:pPr>
      <w:r>
        <w:rPr/>
        <w:t>​</w:t>
      </w:r>
    </w:p>
    <w:p>
      <w:pPr>
        <w:pStyle w:val="TextBody"/>
        <w:bidi w:val="0"/>
        <w:spacing w:lineRule="auto" w:line="266"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commercial loans and investments were comprised of the following at December 31, 2023 (in thousands): </w:t>
      </w:r>
    </w:p>
    <w:tbl>
      <w:tblPr>
        <w:tblW w:w="10205" w:type="dxa"/>
        <w:jc w:val="left"/>
        <w:tblInd w:w="0" w:type="dxa"/>
        <w:tblLayout w:type="fixed"/>
        <w:tblCellMar>
          <w:top w:w="0" w:type="dxa"/>
          <w:left w:w="0" w:type="dxa"/>
          <w:bottom w:w="0" w:type="dxa"/>
          <w:right w:w="0" w:type="dxa"/>
        </w:tblCellMar>
      </w:tblPr>
      <w:tblGrid>
        <w:gridCol w:w="2205"/>
        <w:gridCol w:w="326"/>
        <w:gridCol w:w="1102"/>
        <w:gridCol w:w="326"/>
        <w:gridCol w:w="900"/>
        <w:gridCol w:w="326"/>
        <w:gridCol w:w="275"/>
        <w:gridCol w:w="846"/>
        <w:gridCol w:w="326"/>
        <w:gridCol w:w="273"/>
        <w:gridCol w:w="838"/>
        <w:gridCol w:w="326"/>
        <w:gridCol w:w="233"/>
        <w:gridCol w:w="717"/>
        <w:gridCol w:w="326"/>
        <w:gridCol w:w="860"/>
      </w:tblGrid>
      <w:tr>
        <w:trPr/>
        <w:tc>
          <w:tcPr>
            <w:tcW w:w="2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00175" cy="175260"/>
                      <wp:effectExtent l="0" t="0" r="0" b="0"/>
                      <wp:wrapNone/>
                      <wp:docPr id="94" name="Frame94"/>
                      <a:graphic xmlns:a="http://schemas.openxmlformats.org/drawingml/2006/main">
                        <a:graphicData uri="http://schemas.microsoft.com/office/word/2010/wordprocessingShape">
                          <wps:wsp>
                            <wps:cNvSpPr txBox="1"/>
                            <wps:spPr>
                              <a:xfrm>
                                <a:off x="0" y="0"/>
                                <a:ext cx="140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9770" cy="175260"/>
                      <wp:effectExtent l="0" t="0" r="0" b="0"/>
                      <wp:wrapNone/>
                      <wp:docPr id="96" name="Frame96"/>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71500" cy="175260"/>
                      <wp:effectExtent l="0" t="0" r="0" b="0"/>
                      <wp:wrapNone/>
                      <wp:docPr id="98" name="Frame9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74625" cy="175260"/>
                      <wp:effectExtent l="0" t="0" r="0" b="0"/>
                      <wp:wrapNone/>
                      <wp:docPr id="100" name="Frame100"/>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37210" cy="175260"/>
                      <wp:effectExtent l="0" t="0" r="0" b="0"/>
                      <wp:wrapNone/>
                      <wp:docPr id="101" name="Frame10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3355" cy="175260"/>
                      <wp:effectExtent l="0" t="0" r="0" b="0"/>
                      <wp:wrapNone/>
                      <wp:docPr id="103" name="Frame103"/>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32130" cy="175260"/>
                      <wp:effectExtent l="0" t="0" r="0" b="0"/>
                      <wp:wrapNone/>
                      <wp:docPr id="104" name="Frame104"/>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47955" cy="175260"/>
                      <wp:effectExtent l="0" t="0" r="0" b="0"/>
                      <wp:wrapNone/>
                      <wp:docPr id="106" name="Frame10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55295" cy="175260"/>
                      <wp:effectExtent l="0" t="0" r="0" b="0"/>
                      <wp:wrapNone/>
                      <wp:docPr id="107" name="Frame107"/>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46100" cy="175260"/>
                      <wp:effectExtent l="0" t="0" r="0" b="0"/>
                      <wp:wrapNone/>
                      <wp:docPr id="109" name="Frame109"/>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shd w:fill="CCEEFF" w:val="clear"/>
            <w:vAlign w:val="center"/>
          </w:tcPr>
          <w:p>
            <w:pPr>
              <w:pStyle w:val="TableContents"/>
              <w:bidi w:val="0"/>
              <w:spacing w:before="0" w:after="0"/>
              <w:ind w:left="0" w:right="0" w:hanging="0"/>
              <w:jc w:val="left"/>
              <w:rPr/>
            </w:pPr>
            <w:r>
              <w:rPr/>
              <w:t>    </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shd w:fill="CCEEFF" w:val="cle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shd w:fill="CCEEFF" w:val="clear"/>
            <w:vAlign w:val="center"/>
          </w:tcPr>
          <w:p>
            <w:pPr>
              <w:pStyle w:val="TableContents"/>
              <w:bidi w:val="0"/>
              <w:spacing w:before="0" w:after="0"/>
              <w:ind w:left="0" w:right="0" w:hanging="0"/>
              <w:jc w:val="left"/>
              <w:rPr/>
            </w:pPr>
            <w:r>
              <w:rPr/>
              <w:t>    </w:t>
            </w:r>
          </w:p>
        </w:tc>
        <w:tc>
          <w:tcPr>
            <w:tcW w:w="112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shd w:fill="CCEEFF" w:val="clear"/>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shd w:fill="CCEEFF" w:val="clear"/>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shd w:fill="CCEEFF" w:val="cle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0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The Exchange At Gwinnett – Buford, GA</w:t>
            </w:r>
          </w:p>
        </w:tc>
        <w:tc>
          <w:tcPr>
            <w:tcW w:w="32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2022</w:t>
            </w:r>
          </w:p>
        </w:tc>
        <w:tc>
          <w:tcPr>
            <w:tcW w:w="32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8,700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1,857</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1,854</w:t>
            </w:r>
          </w:p>
        </w:tc>
        <w:tc>
          <w:tcPr>
            <w:tcW w:w="326"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7.25%</w:t>
            </w:r>
          </w:p>
        </w:tc>
      </w:tr>
      <w:tr>
        <w:trPr/>
        <w:tc>
          <w:tcPr>
            <w:tcW w:w="220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26"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2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2025</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29,937</w:t>
            </w:r>
          </w:p>
        </w:tc>
        <w:tc>
          <w:tcPr>
            <w:tcW w:w="326"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20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Founders Square – Dallas, TX</w:t>
            </w:r>
          </w:p>
        </w:tc>
        <w:tc>
          <w:tcPr>
            <w:tcW w:w="32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2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14,892</w:t>
            </w:r>
          </w:p>
        </w:tc>
        <w:tc>
          <w:tcPr>
            <w:tcW w:w="326"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20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Promissory Note – Main Street – Daytona Beach, FL</w:t>
            </w:r>
          </w:p>
        </w:tc>
        <w:tc>
          <w:tcPr>
            <w:tcW w:w="326"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2023</w:t>
            </w:r>
          </w:p>
        </w:tc>
        <w:tc>
          <w:tcPr>
            <w:tcW w:w="32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2033</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7.00%</w:t>
            </w:r>
          </w:p>
        </w:tc>
      </w:tr>
      <w:tr>
        <w:trPr/>
        <w:tc>
          <w:tcPr>
            <w:tcW w:w="220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Sabal Pavilion – Tampa, FL</w:t>
            </w:r>
          </w:p>
        </w:tc>
        <w:tc>
          <w:tcPr>
            <w:tcW w:w="32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2023</w:t>
            </w:r>
          </w:p>
        </w:tc>
        <w:tc>
          <w:tcPr>
            <w:tcW w:w="32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2024</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15,400</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15,400</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15,393</w:t>
            </w:r>
          </w:p>
        </w:tc>
        <w:tc>
          <w:tcPr>
            <w:tcW w:w="326"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7.50%</w:t>
            </w:r>
          </w:p>
        </w:tc>
      </w:tr>
      <w:tr>
        <w:trPr/>
        <w:tc>
          <w:tcPr>
            <w:tcW w:w="220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69,500</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62,657</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62,476</w:t>
            </w:r>
          </w:p>
        </w:tc>
        <w:tc>
          <w:tcPr>
            <w:tcW w:w="326"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center"/>
              <w:rPr/>
            </w:pPr>
            <w:r>
              <w:rPr/>
              <w:t>​</w:t>
            </w:r>
          </w:p>
        </w:tc>
      </w:tr>
      <w:tr>
        <w:trPr/>
        <w:tc>
          <w:tcPr>
            <w:tcW w:w="220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(627)</w:t>
            </w:r>
          </w:p>
        </w:tc>
        <w:tc>
          <w:tcPr>
            <w:tcW w:w="326"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left"/>
              <w:rPr/>
            </w:pPr>
            <w:r>
              <w:rPr/>
              <w:t>​</w:t>
            </w:r>
          </w:p>
        </w:tc>
      </w:tr>
      <w:tr>
        <w:trPr/>
        <w:tc>
          <w:tcPr>
            <w:tcW w:w="220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61,849</w:t>
            </w:r>
          </w:p>
        </w:tc>
        <w:tc>
          <w:tcPr>
            <w:tcW w:w="326"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the commercial loans and investments portfolio at March 31, 2024 and December 31, 2023 consisted of the following (in thousands):</w:t>
      </w:r>
    </w:p>
    <w:tbl>
      <w:tblPr>
        <w:tblW w:w="7358" w:type="dxa"/>
        <w:jc w:val="left"/>
        <w:tblInd w:w="0" w:type="dxa"/>
        <w:tblLayout w:type="fixed"/>
        <w:tblCellMar>
          <w:top w:w="0" w:type="dxa"/>
          <w:left w:w="0" w:type="dxa"/>
          <w:bottom w:w="0" w:type="dxa"/>
          <w:right w:w="0" w:type="dxa"/>
        </w:tblCellMar>
      </w:tblPr>
      <w:tblGrid>
        <w:gridCol w:w="3496"/>
        <w:gridCol w:w="326"/>
        <w:gridCol w:w="342"/>
        <w:gridCol w:w="1098"/>
        <w:gridCol w:w="326"/>
        <w:gridCol w:w="371"/>
        <w:gridCol w:w="1399"/>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7170" cy="175260"/>
                      <wp:effectExtent l="0" t="0" r="0" b="0"/>
                      <wp:wrapNone/>
                      <wp:docPr id="111" name="Frame111"/>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7230" cy="175260"/>
                      <wp:effectExtent l="0" t="0" r="0" b="0"/>
                      <wp:wrapNone/>
                      <wp:docPr id="112" name="Frame112"/>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35585" cy="175260"/>
                      <wp:effectExtent l="0" t="0" r="0" b="0"/>
                      <wp:wrapNone/>
                      <wp:docPr id="114" name="Frame11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888365" cy="175260"/>
                      <wp:effectExtent l="0" t="0" r="0" b="0"/>
                      <wp:wrapNone/>
                      <wp:docPr id="115" name="Frame115"/>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67,475</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62,657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66,552</w:t>
            </w:r>
          </w:p>
        </w:tc>
        <w:tc>
          <w:tcPr>
            <w:tcW w:w="326" w:type="dxa"/>
            <w:tcBorders/>
            <w:vAlign w:val="center"/>
          </w:tcPr>
          <w:p>
            <w:pPr>
              <w:pStyle w:val="TableContents"/>
              <w:bidi w:val="0"/>
              <w:spacing w:before="0" w:after="0"/>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61,849</w:t>
            </w:r>
          </w:p>
        </w:tc>
      </w:tr>
    </w:tbl>
    <w:p>
      <w:pPr>
        <w:pStyle w:val="TextBody"/>
        <w:bidi w:val="0"/>
        <w:spacing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5.  MANAGEMENT SERVICES BUSINESS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management fee income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Management fee income is recognized as revenue over time, over the period the services are performed.</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i/>
          <w:sz w:val="20"/>
        </w:rPr>
        <w:t>Alpine Income Property Trust.</w:t>
      </w:r>
      <w:r>
        <w:rPr>
          <w:rFonts w:ascii="Times New Roman;Times;serif" w:hAnsi="Times New Roman;Times;serif"/>
          <w:sz w:val="20"/>
        </w:rPr>
        <w:t xml:space="preserve"> Pursuant to the Company’s management agreement with PINE, the Company 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2023.</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March 31, 2024 and 2023, the Company earned management fee revenue from PINE totaling $1.0 million and $1.1 million, respectively. Dividend income for each of the three months ended March 31, 2024 and 2023 totaled $0.6 million. </w:t>
      </w:r>
      <w:r>
        <w:rPr>
          <w:rFonts w:ascii="Times New Roman;Times;serif" w:hAnsi="Times New Roman;Times;serif"/>
          <w:sz w:val="20"/>
          <w:shd w:fill="FFFFFF" w:val="clear"/>
        </w:rPr>
        <w:t>Management fee revenue from PINE, included in management services, and dividend income, included in investment and other income (loss), are reflected in the accompanying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819" w:name="Tc_fOe1_fAzg0SK39N5QKySmg_6_5"/>
      <w:bookmarkStart w:id="820" w:name="Tc_aasKDee9wEmMjz93K7_t3A_6_2"/>
      <w:bookmarkStart w:id="821" w:name="Tc_OEvEKEuk40CTes2LiO4aKg_6_0"/>
      <w:bookmarkStart w:id="822" w:name="Tc_Ia7JepOH1UKPKEDa3JBVKw_5_0"/>
      <w:bookmarkStart w:id="823" w:name="Tc_0EHq6kaJhEmlF_W6CQZiLQ_4_0"/>
      <w:bookmarkStart w:id="824" w:name="Tc_oo5Xwf71OkuHFlSxRqK_0A_3_5"/>
      <w:bookmarkStart w:id="825" w:name="Tc_WNCoYzovG0au5R6ASuAN7g_3_2"/>
      <w:bookmarkStart w:id="826" w:name="Tc_pdZEi0kMHEyG17l5k4W68A_3_0"/>
      <w:bookmarkStart w:id="827" w:name="Tc_7uLFZrvlvk6k_MzfT74n5g_2_5"/>
      <w:bookmarkStart w:id="828" w:name="Tc_eNE039Owd0uoQf27RAOfoQ_2_2"/>
      <w:bookmarkStart w:id="829" w:name="Tc_8rNyeRiI9kabw3ocO-uLCA_2_0"/>
      <w:bookmarkStart w:id="830" w:name="Tc_58XK94-eX02X78gs15P9lw_1_2"/>
      <w:bookmarkStart w:id="831" w:name="_fb79294d_c712_4aa2_b943_483ec32b6de3"/>
      <w:bookmarkEnd w:id="819"/>
      <w:bookmarkEnd w:id="820"/>
      <w:bookmarkEnd w:id="821"/>
      <w:bookmarkEnd w:id="822"/>
      <w:bookmarkEnd w:id="823"/>
      <w:bookmarkEnd w:id="824"/>
      <w:bookmarkEnd w:id="825"/>
      <w:bookmarkEnd w:id="826"/>
      <w:bookmarkEnd w:id="827"/>
      <w:bookmarkEnd w:id="828"/>
      <w:bookmarkEnd w:id="829"/>
      <w:bookmarkEnd w:id="830"/>
      <w:bookmarkEnd w:id="831"/>
      <w:r>
        <w:rPr>
          <w:rFonts w:ascii="Times New Roman;Times;serif" w:hAnsi="Times New Roman;Times;serif"/>
          <w:sz w:val="20"/>
        </w:rPr>
        <w:t xml:space="preserve">The following table represents amounts due from PINE as of March 31, 2024 and December 31, 2023 which are included in other assets on the consolidated balance sheets (in thousands): </w:t>
      </w:r>
    </w:p>
    <w:tbl>
      <w:tblPr>
        <w:tblW w:w="7156" w:type="dxa"/>
        <w:jc w:val="left"/>
        <w:tblInd w:w="0" w:type="dxa"/>
        <w:tblLayout w:type="fixed"/>
        <w:tblCellMar>
          <w:top w:w="0" w:type="dxa"/>
          <w:left w:w="0" w:type="dxa"/>
          <w:bottom w:w="0" w:type="dxa"/>
          <w:right w:w="0" w:type="dxa"/>
        </w:tblCellMar>
      </w:tblPr>
      <w:tblGrid>
        <w:gridCol w:w="3511"/>
        <w:gridCol w:w="326"/>
        <w:gridCol w:w="388"/>
        <w:gridCol w:w="1052"/>
        <w:gridCol w:w="109"/>
        <w:gridCol w:w="414"/>
        <w:gridCol w:w="1356"/>
      </w:tblGrid>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68020" cy="175260"/>
                      <wp:effectExtent l="0" t="0" r="0" b="0"/>
                      <wp:wrapNone/>
                      <wp:docPr id="116" name="Frame116"/>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61060" cy="175260"/>
                      <wp:effectExtent l="0" t="0" r="0" b="0"/>
                      <wp:wrapNone/>
                      <wp:docPr id="118" name="Frame118"/>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 Fee due From PINE</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109" w:type="dxa"/>
            <w:tcBorders/>
            <w:shd w:fill="CCEEFF" w:val="clear"/>
            <w:vAlign w:val="center"/>
          </w:tcPr>
          <w:p>
            <w:pPr>
              <w:pStyle w:val="TableContents"/>
              <w:bidi w:val="0"/>
              <w:spacing w:before="0" w:after="0"/>
              <w:ind w:left="0" w:right="0" w:hanging="0"/>
              <w:jc w:val="righ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Receivable</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109" w:type="dxa"/>
            <w:tcBorders/>
            <w:vAlign w:val="center"/>
          </w:tcPr>
          <w:p>
            <w:pPr>
              <w:pStyle w:val="TableContents"/>
              <w:bidi w:val="0"/>
              <w:spacing w:before="0" w:after="0"/>
              <w:ind w:left="0" w:right="0" w:hanging="0"/>
              <w:jc w:val="righ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righ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109" w:type="dxa"/>
            <w:tcBorders/>
            <w:vAlign w:val="center"/>
          </w:tcPr>
          <w:p>
            <w:pPr>
              <w:pStyle w:val="TableContents"/>
              <w:bidi w:val="0"/>
              <w:spacing w:before="0" w:after="0"/>
              <w:ind w:left="0" w:right="0" w:hanging="0"/>
              <w:jc w:val="righ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1,395</w:t>
            </w:r>
          </w:p>
        </w:tc>
      </w:tr>
    </w:tbl>
    <w:p>
      <w:pPr>
        <w:pStyle w:val="TextBody"/>
        <w:bidi w:val="0"/>
        <w:spacing w:before="0" w:after="0"/>
        <w:ind w:left="0" w:right="0" w:hanging="0"/>
        <w:jc w:val="left"/>
        <w:rPr/>
      </w:pPr>
      <w:r>
        <w:rPr/>
        <w:t>​</w:t>
      </w:r>
    </w:p>
    <w:p>
      <w:pPr>
        <w:pStyle w:val="TextBody"/>
        <w:pBdr/>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26, 2021, the Board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Board cancelled the Prior PINE Share Purchase Authorization and authorized the purchase by the Company of up to $2.1 million in shares of common stock of PINE (the “February 2023 PINE Share Purchase Authorization”). Pursuant to the February 2023 PINE Share Purchase Authorization, during the nine months ended September 30, 2023, the Company purchased 129,271 shares of PINE common stock on the open market for a total of $2.1 million, or an average price of $16.21 per share, which completed the February 2023 PINE Share Purchase Authorization.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December 12, 2023, the Board authorized the purchase by the Company of up to $2.0 million in shares of common stock of PINE (the “December 2023 PINE Share Purchase Authorization”). No purchases of PINE common stock were made pursuant to the December 2023 PINE Share Purchase Authorization during the three months ended December 31, 2023 or the three months ended March 31, 2024.</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March 31, 2024, CTO owns, in the aggregate, 1,223,854 OP Units and 1,108,814 shares of PINE common stock, representing an investment totaling $35.6 million, or 15.7% of PINE’s outstanding equity.</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Portfolio Management Agreement. </w:t>
      </w:r>
      <w:r>
        <w:rPr>
          <w:rFonts w:ascii="Times New Roman;Times;serif" w:hAnsi="Times New Roman;Times;serif"/>
          <w:sz w:val="20"/>
        </w:rPr>
        <w:t>On December 4, 2023, the Company entered into an asset 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is expected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During the three months ended March 31, 2024, the Company recognized less than $0.1 million of revenue pursuant to the Portfolio Management Agreement, which is included in management fee income on the Company’s consolidated statement of operations.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Asset Management Agreement. </w:t>
      </w:r>
      <w:r>
        <w:rPr>
          <w:rFonts w:ascii="Times New Roman;Times;serif" w:hAnsi="Times New Roman;Times;serif"/>
          <w:sz w:val="20"/>
        </w:rPr>
        <w:t xml:space="preserve">On February 16, 2024, the Company entered into the Subsurface Management Agreement with a third party in conjunction with the sale of the Company’s remaining Subsurface Interests as further described in Note 6, “Real Estate Operations” below. The Company is expected to receive management and other fees pursuant to the Subsurface Management Agreement. During the three months ended March 31, 2024,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recognized less than $0.1 million of revenue pursuant to the Subsurface Management Agreement, which is included in management fee income on the Company’s consolidated statement of operations.</w:t>
      </w:r>
    </w:p>
    <w:p>
      <w:pPr>
        <w:pStyle w:val="TextBody"/>
        <w:bidi w:val="0"/>
        <w:spacing w:before="280" w:after="0"/>
        <w:ind w:left="0" w:right="0" w:hanging="0"/>
        <w:jc w:val="left"/>
        <w:rPr>
          <w:rFonts w:ascii="Times New Roman;Times;serif" w:hAnsi="Times New Roman;Times;serif"/>
          <w:b/>
          <w:sz w:val="20"/>
        </w:rPr>
      </w:pPr>
      <w:bookmarkStart w:id="832" w:name="Tc_dlr4F-QWQUGiMabUPAdDCQ_5_5"/>
      <w:bookmarkStart w:id="833" w:name="Tc_A6I5A9D8oUiYGwEBP0NdoQ_5_2"/>
      <w:bookmarkStart w:id="834" w:name="Tc_MYbAdxa7uUWC4YCZ6ZIvpA_5_0"/>
      <w:bookmarkStart w:id="835" w:name="Tc_nEJD2NrTykqk2JCmhqLNRQ_4_3"/>
      <w:bookmarkStart w:id="836" w:name="Tc_nDC5Qk1QIU21LavPFsYrhg_4_0"/>
      <w:bookmarkStart w:id="837" w:name="Tc_ONX55bmkf0e0mMlbofb_BQ_3_5"/>
      <w:bookmarkStart w:id="838" w:name="Tc_9n5pFLZUW0u-FExDEdgGFA_3_2"/>
      <w:bookmarkStart w:id="839" w:name="Tc_9pSx32YlZUKMX3uFPYv4xQ_3_0"/>
      <w:bookmarkStart w:id="840" w:name="Tc_b3oF99JQtkKo2Lyyc0nIeg_2_5"/>
      <w:bookmarkStart w:id="841" w:name="Tc_f25_jXYj9EO0CwHut9SCPA_2_2"/>
      <w:bookmarkStart w:id="842" w:name="Tc_GOlFlvvLrEmyZorw715SBA_1_2"/>
      <w:bookmarkStart w:id="843" w:name="_6bcbc6f6_0cad_4d79_a54f_225a4c1d3c83"/>
      <w:bookmarkEnd w:id="832"/>
      <w:bookmarkEnd w:id="833"/>
      <w:bookmarkEnd w:id="834"/>
      <w:bookmarkEnd w:id="835"/>
      <w:bookmarkEnd w:id="836"/>
      <w:bookmarkEnd w:id="837"/>
      <w:bookmarkEnd w:id="838"/>
      <w:bookmarkEnd w:id="839"/>
      <w:bookmarkEnd w:id="840"/>
      <w:bookmarkEnd w:id="841"/>
      <w:bookmarkEnd w:id="842"/>
      <w:bookmarkEnd w:id="843"/>
      <w:r>
        <w:rPr>
          <w:rFonts w:ascii="Times New Roman;Times;serif" w:hAnsi="Times New Roman;Times;serif"/>
          <w:b/>
          <w:sz w:val="20"/>
        </w:rPr>
        <w:t>NOTE 6. REAL ESTATE OPERATIONS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Real Estate Operations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Land and development costs at March 31, 2024 and December 31, 2023 were as follows (in thousands):</w:t>
      </w:r>
    </w:p>
    <w:p>
      <w:pPr>
        <w:pStyle w:val="TextBody"/>
        <w:bidi w:val="0"/>
        <w:spacing w:before="0" w:after="0"/>
        <w:ind w:left="0" w:right="0" w:firstLine="490"/>
        <w:jc w:val="both"/>
        <w:rPr/>
      </w:pPr>
      <w:r>
        <w:rPr/>
        <w:t>​</w:t>
      </w:r>
    </w:p>
    <w:tbl>
      <w:tblPr>
        <w:tblW w:w="6908" w:type="dxa"/>
        <w:jc w:val="left"/>
        <w:tblInd w:w="0" w:type="dxa"/>
        <w:tblLayout w:type="fixed"/>
        <w:tblCellMar>
          <w:top w:w="0" w:type="dxa"/>
          <w:left w:w="0" w:type="dxa"/>
          <w:bottom w:w="0" w:type="dxa"/>
          <w:right w:w="0" w:type="dxa"/>
        </w:tblCellMar>
      </w:tblPr>
      <w:tblGrid>
        <w:gridCol w:w="3046"/>
        <w:gridCol w:w="326"/>
        <w:gridCol w:w="479"/>
        <w:gridCol w:w="961"/>
        <w:gridCol w:w="326"/>
        <w:gridCol w:w="497"/>
        <w:gridCol w:w="1273"/>
      </w:tblGrid>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04165" cy="175260"/>
                      <wp:effectExtent l="0" t="0" r="0" b="0"/>
                      <wp:wrapNone/>
                      <wp:docPr id="120" name="Frame120"/>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10235" cy="175260"/>
                      <wp:effectExtent l="0" t="0" r="0" b="0"/>
                      <wp:wrapNone/>
                      <wp:docPr id="121" name="Frame12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15595" cy="175260"/>
                      <wp:effectExtent l="0" t="0" r="0" b="0"/>
                      <wp:wrapNone/>
                      <wp:docPr id="122" name="Frame122"/>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08355" cy="175260"/>
                      <wp:effectExtent l="0" t="0" r="0" b="0"/>
                      <wp:wrapNone/>
                      <wp:docPr id="123" name="Frame123"/>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5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0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Subsurface Interests</w:t>
            </w:r>
          </w:p>
        </w:tc>
        <w:tc>
          <w:tcPr>
            <w:tcW w:w="326" w:type="dxa"/>
            <w:tcBorders/>
            <w:vAlign w:val="center"/>
          </w:tcPr>
          <w:p>
            <w:pPr>
              <w:pStyle w:val="TableContents"/>
              <w:bidi w:val="0"/>
              <w:spacing w:before="0" w:after="0"/>
              <w:ind w:left="0" w:right="0" w:hanging="0"/>
              <w:jc w:val="left"/>
              <w:rPr/>
            </w:pPr>
            <w:r>
              <w:rPr/>
              <w:t>​</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Land and Development Costs </w:t>
            </w:r>
          </w:p>
        </w:tc>
        <w:tc>
          <w:tcPr>
            <w:tcW w:w="326" w:type="dxa"/>
            <w:tcBorders/>
            <w:shd w:fill="CCEEFF" w:val="clear"/>
            <w:vAlign w:val="center"/>
          </w:tcPr>
          <w:p>
            <w:pPr>
              <w:pStyle w:val="TableContents"/>
              <w:bidi w:val="0"/>
              <w:spacing w:before="0" w:after="0"/>
              <w:ind w:left="0" w:right="0" w:hanging="0"/>
              <w:jc w:val="left"/>
              <w:rPr/>
            </w:pPr>
            <w:r>
              <w:rPr/>
              <w:t>​</w:t>
            </w:r>
          </w:p>
        </w:tc>
        <w:tc>
          <w:tcPr>
            <w:tcW w:w="4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731</w:t>
            </w:r>
          </w:p>
        </w:tc>
      </w:tr>
    </w:tbl>
    <w:p>
      <w:pPr>
        <w:pStyle w:val="TextBody"/>
        <w:bidi w:val="0"/>
        <w:spacing w:before="0" w:after="0"/>
        <w:ind w:left="0" w:right="0" w:hanging="0"/>
        <w:jc w:val="left"/>
        <w:rPr/>
      </w:pPr>
      <w:r>
        <w:rPr/>
        <w:t>​</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Subsurface Interests. </w:t>
      </w:r>
      <w:r>
        <w:rPr>
          <w:rFonts w:ascii="Times New Roman;Times;serif" w:hAnsi="Times New Roman;Times;serif"/>
          <w:sz w:val="20"/>
        </w:rPr>
        <w:t>As of December 31, 2023, the Company owned 352,000 acres of Subsurface Interests</w:t>
      </w:r>
      <w:r>
        <w:rPr>
          <w:rFonts w:ascii="Times New Roman;Times;serif" w:hAnsi="Times New Roman;Times;serif"/>
          <w:i/>
          <w:sz w:val="20"/>
        </w:rPr>
        <w:t xml:space="preserve">. </w:t>
      </w:r>
      <w:r>
        <w:rPr>
          <w:rFonts w:ascii="Times New Roman;Times;serif" w:hAnsi="Times New Roman;Times;serif"/>
          <w:sz w:val="20"/>
        </w:rPr>
        <w:t>The Company sold its remaining acres of Subsurface Interests during the three months ended March 31, 2024 for $5.0 million, or a gain on sale of $4.5 million.</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historically leased certain of the Subsurface Interests to mineral exploration firms for exploration. The Company’s subsurface historical operations consisted of revenue from the leasing of exploration rights and in some instances, additional revenues from royalties applicable to production from the leased acreage, which revenues are included within real estate operations in the consolidated statements of operations. There were no sales of subsurface oil, gas, and mineral rights during the three months ended March 31, 2024. During the three months ended March 31, 2023, the Company sold subsurface oil, gas, and mineral rights of 2,412 acres for a sales price of $0.2 million.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The Company </w:t>
      </w:r>
      <w:r>
        <w:rPr>
          <w:rFonts w:ascii="Times New Roman;Times;serif" w:hAnsi="Times New Roman;Times;serif"/>
          <w:sz w:val="20"/>
        </w:rPr>
        <w:t xml:space="preserve">historically </w:t>
      </w:r>
      <w:r>
        <w:rPr>
          <w:rFonts w:ascii="Times New Roman;Times;serif" w:hAnsi="Times New Roman;Times;serif"/>
          <w:sz w:val="20"/>
          <w:shd w:fill="FFFFFF" w:val="clear"/>
        </w:rPr>
        <w:t xml:space="preserve">released surface entry rights or other rights upon request of a surface owner for a negotiated release fee typically based on a percentage of the surface value. </w:t>
      </w:r>
      <w:r>
        <w:rPr>
          <w:rFonts w:ascii="Times New Roman;Times;serif" w:hAnsi="Times New Roman;Times;serif"/>
          <w:sz w:val="20"/>
        </w:rPr>
        <w:t>Cash payments for the release of surface entry rights for the three months ended March 31, 2024 and 2023 totaled $0.1 million.</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Mitigation Credits. </w:t>
      </w:r>
      <w:r>
        <w:rPr>
          <w:rFonts w:ascii="Times New Roman;Times;serif" w:hAnsi="Times New Roman;Times;serif"/>
          <w:sz w:val="20"/>
        </w:rPr>
        <w:t>The Company owns an inventory of mitigation credits with a cost basis of $0.5 million as of March 31, 2024. As of December 31, 2023, the Company owned mitigation credits with an aggregate cost basis of $1.0 million.</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Revenues and the cost of sales of mitigation credit sales are reported as revenues from, and direct costs of, real estate operations, respectively, in the consolidated statements of operations. During the three months ended March 31, 2024, 7.5 mitigation credits were sold for $1.0 million, resulting in a gain on sale of $0.2 million. During the three months ended March 31, 2023, 0.73 mitigation credits were sold for $0.1 million, resulting in a gain on sale of less than $0.1 million. </w:t>
      </w:r>
    </w:p>
    <w:p>
      <w:pPr>
        <w:pStyle w:val="TextBody"/>
        <w:pBdr/>
        <w:bidi w:val="0"/>
        <w:spacing w:before="240" w:after="0"/>
        <w:ind w:left="0" w:right="0" w:hanging="490"/>
        <w:jc w:val="both"/>
        <w:rPr>
          <w:rFonts w:ascii="Times New Roman;Times;serif" w:hAnsi="Times New Roman;Times;serif"/>
          <w:b/>
          <w:sz w:val="20"/>
        </w:rPr>
      </w:pPr>
      <w:r>
        <w:rPr>
          <w:rFonts w:ascii="Times New Roman;Times;serif" w:hAnsi="Times New Roman;Times;serif"/>
          <w:b/>
          <w:sz w:val="20"/>
        </w:rPr>
        <w:t>NOTE 7. INVESTMENT SECURITIES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March 31, 2024, the Company owns, in the aggregate and on a fully diluted basis, 2.33 million shares of PINE, or 15.7% of PINE’s total shares outstanding for an investment value of $35.6 million, which total includes 1.2 million OP Units, or 8.2%, which the Company received in exchange for the contribution of certain income properties to the PINE Operating Partnership, in addition to 1,108,814 shares of common stock owned by the Company, or 7.5%.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calculates the unrealized gain or loss based on the closing stock price of PINE at each respective balance sheet date. The unrealized, non-cash gains and losses resulting from the changes in the closing stock price of PINE are included in investment and other loss in the accompanying consolidated statements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844" w:name="Tc_VqyF9KbSQkKonRLFOvzLhA_12_11"/>
      <w:bookmarkStart w:id="845" w:name="Tc_Fjml2MNHxEOyaXGet_CGWA_12_8"/>
      <w:bookmarkStart w:id="846" w:name="Tc_GHezY24XNUS1kAUf-ixAMQ_12_6"/>
      <w:bookmarkStart w:id="847" w:name="Tc_-jgkGXaAEkGVc05j-TOkEw_12_5"/>
      <w:bookmarkStart w:id="848" w:name="Tc_rNKAs_V4S0-m7KLPCxXU6Q_12_2"/>
      <w:bookmarkStart w:id="849" w:name="Tc_i_xKOZye1kyjZpaYb1bcxw_12_0"/>
      <w:bookmarkStart w:id="850" w:name="Tc_T-A4UvVWqUu4dVfrgSoHaw_11_6"/>
      <w:bookmarkStart w:id="851" w:name="Tc_oVEW2iertUKz6pakulITAQ_11_0"/>
      <w:bookmarkStart w:id="852" w:name="Tc_IWVBB1hTX0ujHSqvPjhrPg_10_6"/>
      <w:bookmarkStart w:id="853" w:name="Tc_jQCFrgrN1EiCr7mT76auwg_10_0"/>
      <w:bookmarkStart w:id="854" w:name="Tc_6UYw42i7eke6Follh1fdtA_9_11"/>
      <w:bookmarkStart w:id="855" w:name="Tc_Oet6Apkq1UaKoFPB9kIwfQ_9_8"/>
      <w:bookmarkStart w:id="856" w:name="Tc_QTO6_8xCaESqza1m4TXYMw_9_6"/>
      <w:bookmarkStart w:id="857" w:name="Tc_1uJsiYFxj0qEauS_mo-GrQ_9_5"/>
      <w:bookmarkStart w:id="858" w:name="Tc_4N1kby8HG0yrfGXJbDMkvw_9_2"/>
      <w:bookmarkStart w:id="859" w:name="Tc_6rxmy3wwEUuufVabw9VSkQ_9_0"/>
      <w:bookmarkStart w:id="860" w:name="Tc_SS5qFxs000WlmftswTJABw_8_0"/>
      <w:bookmarkStart w:id="861" w:name="Tc_0R3fJyjk70CmjKl87nz6GQ_6_11"/>
      <w:bookmarkStart w:id="862" w:name="Tc_njDTcLRta0C5NAMpazfDJg_6_8"/>
      <w:bookmarkStart w:id="863" w:name="Tc_M6EebxiUdUSgxieR_JFAMw_6_6"/>
      <w:bookmarkStart w:id="864" w:name="Tc_2csrv-E2e0ikzyqmtGe6qg_6_5"/>
      <w:bookmarkStart w:id="865" w:name="Tc_nPa414APOUq0HWobSYBfuA_6_2"/>
      <w:bookmarkStart w:id="866" w:name="Tc_YEso11gpQUmThOQbVl7iIA_6_0"/>
      <w:bookmarkStart w:id="867" w:name="Tc_mAkSc5RkbUedNF4wXqT2KQ_5_6"/>
      <w:bookmarkStart w:id="868" w:name="Tc_JXtDa3taa0ekj3PG3QgkEw_5_0"/>
      <w:bookmarkStart w:id="869" w:name="Tc_iHvEteQFsUyuHs4dsEd3ew_4_6"/>
      <w:bookmarkStart w:id="870" w:name="Tc_i4TW4pZKjEGshR_jRQWJJw_4_0"/>
      <w:bookmarkStart w:id="871" w:name="Tc_0dCgvUYaq0OcZkA2YwaC1Q_3_11"/>
      <w:bookmarkStart w:id="872" w:name="Tc_KFk7l3Y_Mkmz2rExfdzDIA_3_8"/>
      <w:bookmarkStart w:id="873" w:name="Tc_TyCdwJyS80aDPPlYRLQUiw_3_6"/>
      <w:bookmarkStart w:id="874" w:name="Tc_9QPOEbB5D0CaMPi3q1wwzA_3_5"/>
      <w:bookmarkStart w:id="875" w:name="Tc_F3EO2x062EG0ZQfXkI2o2A_3_2"/>
      <w:bookmarkStart w:id="876" w:name="Tc_pRgFlfNON0ChjWyZ5Ylp1w_3_0"/>
      <w:bookmarkStart w:id="877" w:name="Tc_benIgXybAUm_c-GKOsSS0A_2_0"/>
      <w:bookmarkStart w:id="878" w:name="Tc_zPueqD9exECqhhF8EZA-SQ_1_11"/>
      <w:bookmarkStart w:id="879" w:name="Tc_xygKc-aS3k6YRj16rJmCsA_1_8"/>
      <w:bookmarkStart w:id="880" w:name="Tc_GGXtmRbFIkK5OAcko2yLRA_1_5"/>
      <w:bookmarkStart w:id="881" w:name="Tc_nEGXSzTJz0qdYen2Nio9Dw_1_2"/>
      <w:bookmarkStart w:id="882" w:name="_99aa4e26_e848_4ba6_84e6_387b5aca6730"/>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sz w:val="20"/>
        </w:rPr>
        <w:t>The Company’s available-for-sale securities as of March 31, 2024 and December 31, 2023 are summarized below (in thousands):</w:t>
      </w:r>
    </w:p>
    <w:tbl>
      <w:tblPr>
        <w:tblW w:w="10082" w:type="dxa"/>
        <w:jc w:val="left"/>
        <w:tblInd w:w="0" w:type="dxa"/>
        <w:tblLayout w:type="fixed"/>
        <w:tblCellMar>
          <w:top w:w="0" w:type="dxa"/>
          <w:left w:w="0" w:type="dxa"/>
          <w:bottom w:w="0" w:type="dxa"/>
          <w:right w:w="0" w:type="dxa"/>
        </w:tblCellMar>
      </w:tblPr>
      <w:tblGrid>
        <w:gridCol w:w="2926"/>
        <w:gridCol w:w="326"/>
        <w:gridCol w:w="211"/>
        <w:gridCol w:w="676"/>
        <w:gridCol w:w="326"/>
        <w:gridCol w:w="675"/>
        <w:gridCol w:w="1110"/>
        <w:gridCol w:w="326"/>
        <w:gridCol w:w="427"/>
        <w:gridCol w:w="1283"/>
        <w:gridCol w:w="326"/>
        <w:gridCol w:w="309"/>
        <w:gridCol w:w="116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858010" cy="175260"/>
                      <wp:effectExtent l="0" t="0" r="0" b="0"/>
                      <wp:wrapNone/>
                      <wp:docPr id="124" name="Frame124"/>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9260" cy="175260"/>
                      <wp:effectExtent l="0" t="0" r="0" b="0"/>
                      <wp:wrapNone/>
                      <wp:docPr id="127"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28625" cy="175260"/>
                      <wp:effectExtent l="0" t="0" r="0" b="0"/>
                      <wp:wrapNone/>
                      <wp:docPr id="129" name="Frame129"/>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704850" cy="175260"/>
                      <wp:effectExtent l="0" t="0" r="0" b="0"/>
                      <wp:wrapNone/>
                      <wp:docPr id="130" name="Frame130"/>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71145" cy="175260"/>
                      <wp:effectExtent l="0" t="0" r="0" b="0"/>
                      <wp:wrapNone/>
                      <wp:docPr id="132" name="Frame132"/>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14705" cy="175260"/>
                      <wp:effectExtent l="0" t="0" r="0" b="0"/>
                      <wp:wrapNone/>
                      <wp:docPr id="133" name="Frame133"/>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96215" cy="175260"/>
                      <wp:effectExtent l="0" t="0" r="0" b="0"/>
                      <wp:wrapNone/>
                      <wp:docPr id="135" name="Frame135"/>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37235" cy="175260"/>
                      <wp:effectExtent l="0" t="0" r="0" b="0"/>
                      <wp:wrapNone/>
                      <wp:docPr id="136" name="Frame136"/>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26" w:type="dxa"/>
            <w:tcBorders/>
            <w:vAlign w:val="center"/>
          </w:tcPr>
          <w:p>
            <w:pPr>
              <w:pStyle w:val="TableContents"/>
              <w:bidi w:val="0"/>
              <w:spacing w:before="0" w:after="0"/>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 Gains in</w:t>
              <w:br/>
              <w:t>Investment Income</w:t>
            </w:r>
          </w:p>
        </w:tc>
        <w:tc>
          <w:tcPr>
            <w:tcW w:w="326" w:type="dxa"/>
            <w:tcBorders/>
            <w:vAlign w:val="center"/>
          </w:tcPr>
          <w:p>
            <w:pPr>
              <w:pStyle w:val="TableContents"/>
              <w:bidi w:val="0"/>
              <w:spacing w:before="0" w:after="0"/>
              <w:ind w:left="0" w:right="0" w:hanging="0"/>
              <w:jc w:val="left"/>
              <w:rPr/>
            </w:pPr>
            <w:r>
              <w:rPr/>
              <w:t>    </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w:t>
              <w:br/>
              <w:t>Losses in</w:t>
              <w:br/>
              <w:t>Investment Income</w:t>
            </w:r>
          </w:p>
        </w:tc>
        <w:tc>
          <w:tcPr>
            <w:tcW w:w="326" w:type="dxa"/>
            <w:tcBorders/>
            <w:vAlign w:val="center"/>
          </w:tcPr>
          <w:p>
            <w:pPr>
              <w:pStyle w:val="TableContents"/>
              <w:bidi w:val="0"/>
              <w:spacing w:before="0" w:after="0"/>
              <w:ind w:left="0" w:right="0" w:hanging="0"/>
              <w:jc w:val="left"/>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w:t>
              <w:br/>
              <w:t>Fair Value</w:t>
              <w:br/>
              <w:t>(Level 1 Inputs)</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center"/>
              <w:rPr/>
            </w:pPr>
            <w:r>
              <w:rPr/>
              <w:t>​</w:t>
            </w:r>
          </w:p>
        </w:tc>
        <w:tc>
          <w:tcPr>
            <w:tcW w:w="111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center"/>
              <w:rPr/>
            </w:pPr>
            <w:r>
              <w:rPr/>
              <w:t>​</w:t>
            </w:r>
          </w:p>
        </w:tc>
        <w:tc>
          <w:tcPr>
            <w:tcW w:w="128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center"/>
              <w:rPr/>
            </w:pPr>
            <w:r>
              <w:rPr/>
              <w:t>​</w:t>
            </w:r>
          </w:p>
        </w:tc>
        <w:tc>
          <w:tcPr>
            <w:tcW w:w="1161" w:type="dxa"/>
            <w:tcBorders/>
            <w:shd w:fill="CCEEFF" w:val="clear"/>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20,482</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16,942</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(4,552)</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43,735</w:t>
            </w:r>
          </w:p>
        </w:tc>
        <w:tc>
          <w:tcPr>
            <w:tcW w:w="326" w:type="dxa"/>
            <w:tcBorders/>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(8,092)</w:t>
            </w:r>
          </w:p>
        </w:tc>
        <w:tc>
          <w:tcPr>
            <w:tcW w:w="32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35,643</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43,735</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(8,092)</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35,643</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12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161"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161"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20,482</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18,750</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20,695</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43,735</w:t>
            </w:r>
          </w:p>
        </w:tc>
        <w:tc>
          <w:tcPr>
            <w:tcW w:w="326" w:type="dxa"/>
            <w:tcBorders/>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w:t>
            </w:r>
          </w:p>
        </w:tc>
        <w:tc>
          <w:tcPr>
            <w:tcW w:w="32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39,445</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43,735</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39,445</w:t>
            </w:r>
          </w:p>
        </w:tc>
      </w:tr>
    </w:tbl>
    <w:p>
      <w:pPr>
        <w:pStyle w:val="TextBody"/>
        <w:bidi w:val="0"/>
        <w:spacing w:before="0" w:after="0"/>
        <w:ind w:left="0" w:right="0" w:firstLine="360"/>
        <w:jc w:val="both"/>
        <w:rPr/>
      </w:pPr>
      <w:r>
        <w:rPr/>
        <w:t>​</w:t>
      </w:r>
    </w:p>
    <w:p>
      <w:pPr>
        <w:pStyle w:val="TextBody"/>
        <w:bidi w:val="0"/>
        <w:spacing w:lineRule="auto" w:line="271" w:before="0" w:after="0"/>
        <w:ind w:left="0" w:right="0" w:hanging="0"/>
        <w:jc w:val="left"/>
        <w:rPr/>
      </w:pPr>
      <w:r>
        <w:rPr/>
        <w:t>​</w:t>
      </w:r>
    </w:p>
    <w:p>
      <w:pPr>
        <w:pStyle w:val="TextBody"/>
        <w:bidi w:val="0"/>
        <w:spacing w:lineRule="auto" w:line="271" w:before="0" w:after="0"/>
        <w:ind w:left="0" w:right="0" w:firstLine="360"/>
        <w:jc w:val="both"/>
        <w:rPr/>
      </w:pPr>
      <w:r>
        <w:rPr/>
        <w:t>​</w:t>
      </w:r>
    </w:p>
    <w:p>
      <w:pPr>
        <w:pStyle w:val="TextBody"/>
        <w:bidi w:val="0"/>
        <w:spacing w:lineRule="auto" w:line="271" w:before="0" w:after="0"/>
        <w:ind w:left="0" w:right="0" w:hanging="0"/>
        <w:jc w:val="both"/>
        <w:rPr/>
      </w:pPr>
      <w:r>
        <w:rPr/>
        <w:t>​</w:t>
      </w:r>
    </w:p>
    <w:p>
      <w:pPr>
        <w:pStyle w:val="TextBody"/>
        <w:bidi w:val="0"/>
        <w:spacing w:lineRule="auto" w:line="271" w:before="0" w:after="0"/>
        <w:ind w:left="0" w:right="0" w:hanging="0"/>
        <w:jc w:val="left"/>
        <w:rPr>
          <w:rFonts w:ascii="Times New Roman;Times;serif" w:hAnsi="Times New Roman;Times;serif"/>
          <w:b/>
          <w:sz w:val="20"/>
        </w:rPr>
      </w:pPr>
      <w:bookmarkStart w:id="883" w:name="Tc_GQQ_HfFDX0uqRaXWyT--Gw_14_12"/>
      <w:bookmarkStart w:id="884" w:name="Tc_COQDuyqX0U2INaL5PMBGpQ_14_11"/>
      <w:bookmarkStart w:id="885" w:name="Tc_MCjhbxHkh023IiICnFoZAg_14_9"/>
      <w:bookmarkStart w:id="886" w:name="Tc_fIwvp5uxqEyAf12ESwktbg_14_8"/>
      <w:bookmarkStart w:id="887" w:name="Tc_hhSzl5Y2NkOdx0WHj0zC-w_14_5"/>
      <w:bookmarkStart w:id="888" w:name="Tc_UNyDGoAyM06lfc5NmNpyFQ_14_2"/>
      <w:bookmarkStart w:id="889" w:name="Tc_8666FV1fe0e5OP--y69n4Q_14_0"/>
      <w:bookmarkStart w:id="890" w:name="Tc_wt0IrWOyJEiMSPnDM36UCQ_13_12"/>
      <w:bookmarkStart w:id="891" w:name="Tc_jC5E4SasGUyaIkLdrL-g2A_13_11"/>
      <w:bookmarkStart w:id="892" w:name="Tc_kwnprS72Bkaob2BYtGaMJQ_13_8"/>
      <w:bookmarkStart w:id="893" w:name="Tc_Gt2B8h18-UeZiziCcqlQNg_13_6"/>
      <w:bookmarkStart w:id="894" w:name="Tc_4nMSaCppeEi7aRiN7j5CkA_13_5"/>
      <w:bookmarkStart w:id="895" w:name="Tc_DZje-rLpwEiT1nYhww8YhA_13_2"/>
      <w:bookmarkStart w:id="896" w:name="Tc_cpD6TCV9PES9c7j-ka0GFg_13_0"/>
      <w:bookmarkStart w:id="897" w:name="Tc_XLDGpaJU6ES838wwdQHWEA_12_12"/>
      <w:bookmarkStart w:id="898" w:name="Tc_R1DmPZA2-0ikzT-G53t4aw_12_11"/>
      <w:bookmarkStart w:id="899" w:name="Tc_E75r3VNNp0mQPGLfx86ysw_12_8"/>
      <w:bookmarkStart w:id="900" w:name="Tc_lijju3wZvkKdYVoiGOUpGA_12_6"/>
      <w:bookmarkStart w:id="901" w:name="Tc_d6GuCds8V0GOgiHd6vk6dA_12_5"/>
      <w:bookmarkStart w:id="902" w:name="Tc_fFSJJ58WbUirncnyNmYIAg_12_2"/>
      <w:bookmarkStart w:id="903" w:name="Tc_WvnfVhpxREaQ-7PJySzvGQ_12_0"/>
      <w:bookmarkStart w:id="904" w:name="Tc_rTTg1wOzzEGquEVYz7J0DA_11_12"/>
      <w:bookmarkStart w:id="905" w:name="Tc_7HrdU-fht0-9yKk8JIin-g_11_11"/>
      <w:bookmarkStart w:id="906" w:name="Tc_qvWsdj12t0uwRjp4caIREA_11_8"/>
      <w:bookmarkStart w:id="907" w:name="Tc_j5N9APY0k0-2KSzWbDF_eA_11_6"/>
      <w:bookmarkStart w:id="908" w:name="Tc_KREYH7FOyEmmYCSc5PybEA_11_5"/>
      <w:bookmarkStart w:id="909" w:name="Tc_XUVDf8r9JEqVoGjBwjypPw_11_2"/>
      <w:bookmarkStart w:id="910" w:name="Tc_zm65DsbnCUCHopQ-N_NdZg_11_0"/>
      <w:bookmarkStart w:id="911" w:name="Tc_hkWa-SrhxkamN44zXdXiTA_10_12"/>
      <w:bookmarkStart w:id="912" w:name="Tc_Jm_iNHBzr0Gh-Xhkc94EvA_10_11"/>
      <w:bookmarkStart w:id="913" w:name="Tc_taHATLA4GUairNZtN3bGTw_10_8"/>
      <w:bookmarkStart w:id="914" w:name="Tc_PAI0-wGL8Ue0hxiNTJbTFA_10_6"/>
      <w:bookmarkStart w:id="915" w:name="Tc_H7OfTNvDjEygZQZ0lT-v7g_10_5"/>
      <w:bookmarkStart w:id="916" w:name="Tc_wao6ujyaTU66ci7KyCf2RA_10_2"/>
      <w:bookmarkStart w:id="917" w:name="Tc_7-dkVSQy2kGSH6ew7mwo0g_10_0"/>
      <w:bookmarkStart w:id="918" w:name="Tc_TUBYju1TgEG9yP0nJnLYZg_9_0"/>
      <w:bookmarkStart w:id="919" w:name="Tc_6hbjWwzQskqSu6vKAWAi7g_8_12"/>
      <w:bookmarkStart w:id="920" w:name="Tc_fHO30noagEqzwZSs2xRYUA_8_11"/>
      <w:bookmarkStart w:id="921" w:name="Tc_NqFmmKIkRUyuTtYnC5vAKg_8_9"/>
      <w:bookmarkStart w:id="922" w:name="Tc_i7ssKSbqBk-r6xlvvIyr2Q_8_8"/>
      <w:bookmarkStart w:id="923" w:name="Tc_CqYr5-KP90uirTfhiItcxw_8_5"/>
      <w:bookmarkStart w:id="924" w:name="Tc_G6sXpmORm0WemP6GQpj-VA_8_2"/>
      <w:bookmarkStart w:id="925" w:name="Tc_EkYw1H1Dl0yhtHKxqNYeQg_8_0"/>
      <w:bookmarkStart w:id="926" w:name="Tc_oyM-jEMyEkWbmrJjNyJu6Q_7_12"/>
      <w:bookmarkStart w:id="927" w:name="Tc_cxsHgxmBvUi2CQZq9W5pvA_7_11"/>
      <w:bookmarkStart w:id="928" w:name="Tc_J8KlMxnmv0eu-aTcsupvwg_7_8"/>
      <w:bookmarkStart w:id="929" w:name="Tc_CmCxEa2idEW1Z6Q4wC9e_A_7_6"/>
      <w:bookmarkStart w:id="930" w:name="Tc_xnZccuUP0kWJxm5WaRvZXQ_7_5"/>
      <w:bookmarkStart w:id="931" w:name="Tc_VouOTPBz-k-nLFJRR48uRA_7_2"/>
      <w:bookmarkStart w:id="932" w:name="Tc_B66H7JX0LUGW0wepQbOxpA_7_0"/>
      <w:bookmarkStart w:id="933" w:name="Tc_XgoRcC-pfk21TytNF8wsyg_6_12"/>
      <w:bookmarkStart w:id="934" w:name="Tc_J5W1ANh4DEmuLG9D_rsZYw_6_11"/>
      <w:bookmarkStart w:id="935" w:name="Tc_YFhe_kylwE6FeYg3EvLP4Q_6_8"/>
      <w:bookmarkStart w:id="936" w:name="Tc_j1smj5ZPPEGLaJn30LghXw_6_6"/>
      <w:bookmarkStart w:id="937" w:name="Tc_yNxE6fJUE0ak7cYV9BUVDA_6_5"/>
      <w:bookmarkStart w:id="938" w:name="Tc_RZP6dvuFLUyMJfRbblIxcw_6_2"/>
      <w:bookmarkStart w:id="939" w:name="Tc_nYwM6vUGq0GBAfJODOiqJw_6_0"/>
      <w:bookmarkStart w:id="940" w:name="Tc_H_eQRPawGEKL38M8W4iK2g_5_12"/>
      <w:bookmarkStart w:id="941" w:name="Tc_O87frr0sm0GWRCUtKPQEDg_5_11"/>
      <w:bookmarkStart w:id="942" w:name="Tc_qOEINEQuH0m3EjjnWyYJPg_5_8"/>
      <w:bookmarkStart w:id="943" w:name="Tc_N8TGgW3YyEK7OzRbVcWNow_5_6"/>
      <w:bookmarkStart w:id="944" w:name="Tc_Kb01sZjEQUWyiHYGNpqEAA_5_5"/>
      <w:bookmarkStart w:id="945" w:name="Tc_N_Hpugf8s0q76PQsob6xtw_5_2"/>
      <w:bookmarkStart w:id="946" w:name="Tc_ZrXVtZkRj067ZIevTICbCA_5_0"/>
      <w:bookmarkStart w:id="947" w:name="Tc_8NC8MNsk-0aVtG0rK97pKA_4_12"/>
      <w:bookmarkStart w:id="948" w:name="Tc_1_YjM_nlX0a1cqro-tyn_A_4_11"/>
      <w:bookmarkStart w:id="949" w:name="Tc_LRJ6HgClw02Yxd8rUXwH6g_4_8"/>
      <w:bookmarkStart w:id="950" w:name="Tc_c86h_hkQRUOOpYES7915Gw_4_6"/>
      <w:bookmarkStart w:id="951" w:name="Tc_DxBuTLuuskWNh79UePfQqQ_4_5"/>
      <w:bookmarkStart w:id="952" w:name="Tc_PY1qu1Xt0EiMgVhI7dB8gA_4_2"/>
      <w:bookmarkStart w:id="953" w:name="Tc_t8KTqRwQtEWUXTUu6F3YCQ_4_0"/>
      <w:bookmarkStart w:id="954" w:name="Tc_iJcP0s4HcUOBGM6M--0ZHQ_3_0"/>
      <w:bookmarkStart w:id="955" w:name="Tc_0OOGJMxYX0uLJR2z3oB5eQ_2_11"/>
      <w:bookmarkStart w:id="956" w:name="Tc_Is-sc6qoTECQ8zpn0bWc9g_2_8"/>
      <w:bookmarkStart w:id="957" w:name="Tc_QPYseGSMAUCO5EQHR2p0sA_2_5"/>
      <w:bookmarkStart w:id="958" w:name="Tc_zIlUZ_v8zU2hj7dB8c_aYA_2_2"/>
      <w:bookmarkStart w:id="959" w:name="Tc_3CwlnF4gFUWmNeqmL7y-xQ_1_5"/>
      <w:bookmarkStart w:id="960" w:name="_401b5851_70ab_4f36_9a0e_c5ffec8f9aa4"/>
      <w:bookmarkStart w:id="961" w:name="Tc_9OaMC3orl0-JRHb9lhpx1g_6_11"/>
      <w:bookmarkStart w:id="962" w:name="Tc_tEUoCViAn0eAXfLU4ebx_A_6_8"/>
      <w:bookmarkStart w:id="963" w:name="Tc_rgvZwzu0aUKMYR3ZMvHcsg_6_5"/>
      <w:bookmarkStart w:id="964" w:name="Tc_mqEFv5Na10WTsqf0z6Unpg_6_2"/>
      <w:bookmarkStart w:id="965" w:name="Tc_IbfHp-BvFEq1zq9FfTeG2A_6_0"/>
      <w:bookmarkStart w:id="966" w:name="Tc_ME-zslVgNEiP9DRL1PGpUA_5_11"/>
      <w:bookmarkStart w:id="967" w:name="Tc_Vwfe7hKZP0ydGFxFqSQINw_5_8"/>
      <w:bookmarkStart w:id="968" w:name="Tc_dFKK6MEksUWgU26W_oTdmA_5_5"/>
      <w:bookmarkStart w:id="969" w:name="Tc_081UH9V_sUWSnKgrmwRghg_5_2"/>
      <w:bookmarkStart w:id="970" w:name="Tc_f4KHNGBUlkeCFO8uIVVTwA_5_0"/>
      <w:bookmarkStart w:id="971" w:name="Tc_uFCMHIYze0K24kiO1SjIQA_4_11"/>
      <w:bookmarkStart w:id="972" w:name="Tc_-NbFytJNd0S4ffSJLl4uVQ_4_8"/>
      <w:bookmarkStart w:id="973" w:name="Tc_aI_zUtT4dkOEkw1d33kctg_4_5"/>
      <w:bookmarkStart w:id="974" w:name="Tc_28IgdV5cK065s0Bf__I7GQ_4_2"/>
      <w:bookmarkStart w:id="975" w:name="Tc_XkdcQAE_REKecWxXrPX9Mw_4_0"/>
      <w:bookmarkStart w:id="976" w:name="Tc_ho4wLqqD60eA7Cul54Xa0w_3_11"/>
      <w:bookmarkStart w:id="977" w:name="Tc_JHa3UAjvuUONcpfKm695Lg_3_8"/>
      <w:bookmarkStart w:id="978" w:name="Tc_JyHO59tP5kWOXyHKCs7K4Q_3_5"/>
      <w:bookmarkStart w:id="979" w:name="Tc_OF_d8kBMr0aOW5J0t92D0w_3_2"/>
      <w:bookmarkStart w:id="980" w:name="Tc_CRUqbZ66Vk6gnXRJrex8vg_3_0"/>
      <w:bookmarkStart w:id="981" w:name="Tc_3-Yal7WTMUeXoMCW48u8jw_2_11"/>
      <w:bookmarkStart w:id="982" w:name="Tc_OzyT_ZH1nU6fzbF39vd4mg_2_8"/>
      <w:bookmarkStart w:id="983" w:name="Tc_Y9j4PmvDlEqepfecu2FUaw_2_5"/>
      <w:bookmarkStart w:id="984" w:name="Tc_fVUfAHxdX0q23unLRLbKwA_2_2"/>
      <w:bookmarkStart w:id="985" w:name="Tc_uGCIMkezXEWfqPlypPJUrg_1_8"/>
      <w:bookmarkStart w:id="986" w:name="Tc_Q81ZF2ym8k2T3k8bytYHmg_1_2"/>
      <w:bookmarkStart w:id="987" w:name="_b282e86b_cc08_44b8_9236_752c254c20f1"/>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Pr>
          <w:rFonts w:ascii="Times New Roman;Times;serif" w:hAnsi="Times New Roman;Times;serif"/>
          <w:b/>
          <w:sz w:val="20"/>
        </w:rPr>
        <w:t>NOTE 8. FAIR VALUE OF FINANCIAL INSTRUMENTS</w:t>
      </w:r>
    </w:p>
    <w:p>
      <w:pPr>
        <w:pStyle w:val="TextBody"/>
        <w:bidi w:val="0"/>
        <w:spacing w:lineRule="auto" w:line="271" w:before="0" w:after="0"/>
        <w:ind w:left="0" w:right="0" w:firstLine="490"/>
        <w:jc w:val="both"/>
        <w:rPr/>
      </w:pPr>
      <w:r>
        <w:rPr/>
        <w:t>​</w:t>
      </w:r>
    </w:p>
    <w:p>
      <w:pPr>
        <w:pStyle w:val="TextBody"/>
        <w:bidi w:val="0"/>
        <w:spacing w:lineRule="auto" w:line="271" w:before="0" w:after="120"/>
        <w:ind w:left="0" w:right="0" w:firstLine="49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March 31, 2024 and December 31, 2023 (in thousands):</w:t>
      </w:r>
    </w:p>
    <w:tbl>
      <w:tblPr>
        <w:tblW w:w="10205" w:type="dxa"/>
        <w:jc w:val="left"/>
        <w:tblInd w:w="0" w:type="dxa"/>
        <w:tblLayout w:type="fixed"/>
        <w:tblCellMar>
          <w:top w:w="0" w:type="dxa"/>
          <w:left w:w="0" w:type="dxa"/>
          <w:bottom w:w="0" w:type="dxa"/>
          <w:right w:w="0" w:type="dxa"/>
        </w:tblCellMar>
      </w:tblPr>
      <w:tblGrid>
        <w:gridCol w:w="2955"/>
        <w:gridCol w:w="326"/>
        <w:gridCol w:w="276"/>
        <w:gridCol w:w="1024"/>
        <w:gridCol w:w="326"/>
        <w:gridCol w:w="348"/>
        <w:gridCol w:w="1293"/>
        <w:gridCol w:w="326"/>
        <w:gridCol w:w="276"/>
        <w:gridCol w:w="1024"/>
        <w:gridCol w:w="326"/>
        <w:gridCol w:w="323"/>
        <w:gridCol w:w="1382"/>
      </w:tblGrid>
      <w:tr>
        <w:trPr/>
        <w:tc>
          <w:tcPr>
            <w:tcW w:w="29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5260" cy="175260"/>
                      <wp:effectExtent l="0" t="0" r="0" b="0"/>
                      <wp:wrapNone/>
                      <wp:docPr id="138" name="Frame138"/>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50240" cy="175260"/>
                      <wp:effectExtent l="0" t="0" r="0" b="0"/>
                      <wp:wrapNone/>
                      <wp:docPr id="139" name="Frame139"/>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20980" cy="175260"/>
                      <wp:effectExtent l="0" t="0" r="0" b="0"/>
                      <wp:wrapNone/>
                      <wp:docPr id="141" name="Frame14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21055" cy="175260"/>
                      <wp:effectExtent l="0" t="0" r="0" b="0"/>
                      <wp:wrapNone/>
                      <wp:docPr id="142" name="Frame142"/>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5260" cy="175260"/>
                      <wp:effectExtent l="0" t="0" r="0" b="0"/>
                      <wp:wrapNone/>
                      <wp:docPr id="144" name="Frame144"/>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50240" cy="175260"/>
                      <wp:effectExtent l="0" t="0" r="0" b="0"/>
                      <wp:wrapNone/>
                      <wp:docPr id="145" name="Frame145"/>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5105" cy="175260"/>
                      <wp:effectExtent l="0" t="0" r="0" b="0"/>
                      <wp:wrapNone/>
                      <wp:docPr id="147" name="Frame147"/>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77570" cy="175260"/>
                      <wp:effectExtent l="0" t="0" r="0" b="0"/>
                      <wp:wrapNone/>
                      <wp:docPr id="148" name="Frame148"/>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left"/>
              <w:rPr/>
            </w:pPr>
            <w:r>
              <w:rPr/>
              <w:t>​</w:t>
            </w:r>
          </w:p>
        </w:tc>
        <w:tc>
          <w:tcPr>
            <w:tcW w:w="33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9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vAlign w:val="center"/>
          </w:tcPr>
          <w:p>
            <w:pPr>
              <w:pStyle w:val="TableContents"/>
              <w:bidi w:val="0"/>
              <w:spacing w:before="0" w:after="0"/>
              <w:ind w:left="0" w:right="0" w:hanging="0"/>
              <w:jc w:val="left"/>
              <w:rPr/>
            </w:pPr>
            <w:r>
              <w:rPr/>
              <w:t>    </w:t>
            </w:r>
          </w:p>
        </w:tc>
        <w:tc>
          <w:tcPr>
            <w:tcW w:w="16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c>
          <w:tcPr>
            <w:tcW w:w="326"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vAlign w:val="center"/>
          </w:tcPr>
          <w:p>
            <w:pPr>
              <w:pStyle w:val="TableContents"/>
              <w:bidi w:val="0"/>
              <w:spacing w:before="0" w:after="0"/>
              <w:ind w:left="0" w:right="0" w:hanging="0"/>
              <w:jc w:val="left"/>
              <w:rPr/>
            </w:pPr>
            <w:r>
              <w:rPr/>
              <w:t>    </w:t>
            </w:r>
          </w:p>
        </w:tc>
        <w:tc>
          <w:tcPr>
            <w:tcW w:w="1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6,760</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6,760</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10,214</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10,214</w:t>
            </w:r>
          </w:p>
        </w:tc>
      </w:tr>
      <w:tr>
        <w:trPr/>
        <w:tc>
          <w:tcPr>
            <w:tcW w:w="2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66,552</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68,156</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61,849</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63,261</w:t>
            </w:r>
          </w:p>
        </w:tc>
      </w:tr>
      <w:tr>
        <w:trPr/>
        <w:tc>
          <w:tcPr>
            <w:tcW w:w="2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542,020</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523,310</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495,370</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473,807</w:t>
            </w:r>
          </w:p>
        </w:tc>
      </w:tr>
    </w:tbl>
    <w:p>
      <w:pPr>
        <w:pStyle w:val="TextBody"/>
        <w:bidi w:val="0"/>
        <w:spacing w:lineRule="auto" w:line="271" w:before="0" w:after="0"/>
        <w:ind w:left="0" w:right="0" w:firstLine="490"/>
        <w:jc w:val="both"/>
        <w:rPr/>
      </w:pPr>
      <w:r>
        <w:rPr/>
        <w:t>​</w:t>
      </w:r>
    </w:p>
    <w:p>
      <w:pPr>
        <w:pStyle w:val="TextBody"/>
        <w:bidi w:val="0"/>
        <w:spacing w:lineRule="auto" w:line="271" w:before="0" w:after="0"/>
        <w:ind w:left="0" w:right="0" w:firstLine="490"/>
        <w:jc w:val="both"/>
        <w:rPr>
          <w:rFonts w:ascii="Times New Roman;Times;serif" w:hAnsi="Times New Roman;Times;serif"/>
          <w:sz w:val="20"/>
        </w:rPr>
      </w:pPr>
      <w:r>
        <w:rPr>
          <w:rFonts w:ascii="Times New Roman;Times;serif" w:hAnsi="Times New Roman;Times;serif"/>
          <w:sz w:val="20"/>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lineRule="auto" w:line="271" w:before="0" w:after="0"/>
        <w:ind w:left="0" w:right="0" w:firstLine="490"/>
        <w:jc w:val="both"/>
        <w:rPr/>
      </w:pPr>
      <w:r>
        <w:rPr/>
        <w:t>​</w:t>
      </w:r>
    </w:p>
    <w:p>
      <w:pPr>
        <w:pStyle w:val="TextBody"/>
        <w:bidi w:val="0"/>
        <w:spacing w:lineRule="auto" w:line="271"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presents the fair value of assets measured on a recurring basis by level as of March 31, 2024 and December 31, 2023 (in thousands). See Note 16, “Interest Rate Swaps” for further disclosure related to the Company’s interest rate swaps.</w:t>
      </w:r>
    </w:p>
    <w:tbl>
      <w:tblPr>
        <w:tblW w:w="10205" w:type="dxa"/>
        <w:jc w:val="left"/>
        <w:tblInd w:w="0" w:type="dxa"/>
        <w:tblLayout w:type="fixed"/>
        <w:tblCellMar>
          <w:top w:w="0" w:type="dxa"/>
          <w:left w:w="0" w:type="dxa"/>
          <w:bottom w:w="0" w:type="dxa"/>
          <w:right w:w="0" w:type="dxa"/>
        </w:tblCellMar>
      </w:tblPr>
      <w:tblGrid>
        <w:gridCol w:w="2447"/>
        <w:gridCol w:w="109"/>
        <w:gridCol w:w="204"/>
        <w:gridCol w:w="642"/>
        <w:gridCol w:w="326"/>
        <w:gridCol w:w="541"/>
        <w:gridCol w:w="1660"/>
        <w:gridCol w:w="326"/>
        <w:gridCol w:w="458"/>
        <w:gridCol w:w="1337"/>
        <w:gridCol w:w="326"/>
        <w:gridCol w:w="552"/>
        <w:gridCol w:w="1277"/>
      </w:tblGrid>
      <w:tr>
        <w:trPr/>
        <w:tc>
          <w:tcPr>
            <w:tcW w:w="2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553845" cy="175260"/>
                      <wp:effectExtent l="0" t="0" r="0" b="0"/>
                      <wp:wrapNone/>
                      <wp:docPr id="149" name="Frame149"/>
                      <a:graphic xmlns:a="http://schemas.openxmlformats.org/drawingml/2006/main">
                        <a:graphicData uri="http://schemas.microsoft.com/office/word/2010/wordprocessingShape">
                          <wps:wsp>
                            <wps:cNvSpPr txBox="1"/>
                            <wps:spPr>
                              <a:xfrm>
                                <a:off x="0" y="0"/>
                                <a:ext cx="155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9540" cy="175260"/>
                      <wp:effectExtent l="0" t="0" r="0" b="0"/>
                      <wp:wrapNone/>
                      <wp:docPr id="151" name="Frame151"/>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07670" cy="175260"/>
                      <wp:effectExtent l="0" t="0" r="0" b="0"/>
                      <wp:wrapNone/>
                      <wp:docPr id="152" name="Frame152"/>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43535" cy="175260"/>
                      <wp:effectExtent l="0" t="0" r="0" b="0"/>
                      <wp:wrapNone/>
                      <wp:docPr id="154" name="Frame15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054100" cy="175260"/>
                      <wp:effectExtent l="0" t="0" r="0" b="0"/>
                      <wp:wrapNone/>
                      <wp:docPr id="155" name="Frame155"/>
                      <a:graphic xmlns:a="http://schemas.openxmlformats.org/drawingml/2006/main">
                        <a:graphicData uri="http://schemas.microsoft.com/office/word/2010/wordprocessingShape">
                          <wps:wsp>
                            <wps:cNvSpPr txBox="1"/>
                            <wps:spPr>
                              <a:xfrm>
                                <a:off x="0" y="0"/>
                                <a:ext cx="1054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90830" cy="175260"/>
                      <wp:effectExtent l="0" t="0" r="0" b="0"/>
                      <wp:wrapNone/>
                      <wp:docPr id="157" name="Frame157"/>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48995" cy="175260"/>
                      <wp:effectExtent l="0" t="0" r="0" b="0"/>
                      <wp:wrapNone/>
                      <wp:docPr id="158" name="Frame158"/>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50520" cy="175260"/>
                      <wp:effectExtent l="0" t="0" r="0" b="0"/>
                      <wp:wrapNone/>
                      <wp:docPr id="160" name="Frame160"/>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10895" cy="175260"/>
                      <wp:effectExtent l="0" t="0" r="0" b="0"/>
                      <wp:wrapNone/>
                      <wp:docPr id="161" name="Frame161"/>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7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at Reporting Date Using</w:t>
            </w:r>
          </w:p>
        </w:tc>
      </w:tr>
      <w:tr>
        <w:trPr/>
        <w:tc>
          <w:tcPr>
            <w:tcW w:w="244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0"/>
              <w:ind w:left="0" w:right="0" w:hanging="0"/>
              <w:jc w:val="left"/>
              <w:rPr/>
            </w:pPr>
            <w:r>
              <w:rPr/>
              <w:t>    </w:t>
            </w:r>
          </w:p>
        </w:tc>
        <w:tc>
          <w:tcPr>
            <w:tcW w:w="2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Quoted Prices in Active Markets for Identical Assets</w:t>
              <w:br/>
              <w:t>(Level 1)</w:t>
            </w:r>
          </w:p>
        </w:tc>
        <w:tc>
          <w:tcPr>
            <w:tcW w:w="326" w:type="dxa"/>
            <w:tcBorders/>
            <w:vAlign w:val="center"/>
          </w:tcPr>
          <w:p>
            <w:pPr>
              <w:pStyle w:val="TableContents"/>
              <w:bidi w:val="0"/>
              <w:spacing w:before="0" w:after="0"/>
              <w:ind w:left="0" w:right="0" w:hanging="0"/>
              <w:jc w:val="left"/>
              <w:rPr/>
            </w:pPr>
            <w:r>
              <w:rPr/>
              <w:t>    </w:t>
            </w:r>
          </w:p>
        </w:tc>
        <w:tc>
          <w:tcPr>
            <w:tcW w:w="1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2)</w:t>
            </w:r>
          </w:p>
        </w:tc>
        <w:tc>
          <w:tcPr>
            <w:tcW w:w="326" w:type="dxa"/>
            <w:tcBorders/>
            <w:vAlign w:val="center"/>
          </w:tcPr>
          <w:p>
            <w:pPr>
              <w:pStyle w:val="TableContents"/>
              <w:bidi w:val="0"/>
              <w:spacing w:before="0" w:after="0"/>
              <w:ind w:left="0" w:right="0" w:hanging="0"/>
              <w:jc w:val="left"/>
              <w:rPr/>
            </w:pPr>
            <w:r>
              <w:rPr/>
              <w:t>    </w:t>
            </w:r>
          </w:p>
        </w:tc>
        <w:tc>
          <w:tcPr>
            <w:tcW w:w="1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Unobservable Inputs</w:t>
              <w:br/>
              <w:t>(Level 3)</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March 31, 2024</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64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166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center"/>
              <w:rPr/>
            </w:pPr>
            <w:r>
              <w:rPr/>
              <w:t>​</w:t>
            </w:r>
          </w:p>
        </w:tc>
        <w:tc>
          <w:tcPr>
            <w:tcW w:w="133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center"/>
              <w:rPr/>
            </w:pPr>
            <w:r>
              <w:rPr/>
              <w:t>​</w:t>
            </w:r>
          </w:p>
        </w:tc>
        <w:tc>
          <w:tcPr>
            <w:tcW w:w="1277" w:type="dxa"/>
            <w:tcBorders/>
            <w:shd w:fill="CCEEFF" w:val="clear"/>
            <w:vAlign w:val="center"/>
          </w:tcPr>
          <w:p>
            <w:pPr>
              <w:pStyle w:val="TableContents"/>
              <w:bidi w:val="0"/>
              <w:spacing w:before="0" w:after="0"/>
              <w:ind w:left="0" w:right="0" w:hanging="0"/>
              <w:jc w:val="center"/>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- 2026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3,491</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3,491</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7,170</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7,170</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3,371</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3,371</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35,643</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35,643</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64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166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center"/>
              <w:rPr/>
            </w:pPr>
            <w:r>
              <w:rPr/>
              <w:t>​</w:t>
            </w:r>
          </w:p>
        </w:tc>
        <w:tc>
          <w:tcPr>
            <w:tcW w:w="133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center"/>
              <w:rPr/>
            </w:pPr>
            <w:r>
              <w:rPr/>
              <w:t>​</w:t>
            </w:r>
          </w:p>
        </w:tc>
        <w:tc>
          <w:tcPr>
            <w:tcW w:w="1277" w:type="dxa"/>
            <w:tcBorders/>
            <w:shd w:fill="CCEEFF" w:val="clear"/>
            <w:vAlign w:val="center"/>
          </w:tcPr>
          <w:p>
            <w:pPr>
              <w:pStyle w:val="TableContents"/>
              <w:bidi w:val="0"/>
              <w:spacing w:before="0" w:after="0"/>
              <w:ind w:left="0" w:right="0" w:hanging="0"/>
              <w:jc w:val="center"/>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- 2026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2,813</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2,813</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5,759</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5,759</w:t>
            </w:r>
          </w:p>
        </w:tc>
        <w:tc>
          <w:tcPr>
            <w:tcW w:w="326"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0" w:hanging="0"/>
              <w:jc w:val="right"/>
              <w:rPr/>
            </w:pPr>
            <w:r>
              <w:rPr/>
              <w:t>—</w:t>
            </w:r>
          </w:p>
        </w:tc>
      </w:tr>
      <w:tr>
        <w:trPr/>
        <w:tc>
          <w:tcPr>
            <w:tcW w:w="24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326" w:type="dxa"/>
            <w:tcBorders/>
            <w:shd w:fill="CCEEFF" w:val="clear"/>
            <w:vAlign w:val="center"/>
          </w:tcPr>
          <w:p>
            <w:pPr>
              <w:pStyle w:val="TableContents"/>
              <w:bidi w:val="0"/>
              <w:spacing w:before="0" w:after="0"/>
              <w:ind w:left="0" w:right="0" w:hanging="0"/>
              <w:jc w:val="left"/>
              <w:rPr/>
            </w:pPr>
            <w:r>
              <w:rPr/>
              <w:t>​</w:t>
            </w:r>
          </w:p>
        </w:tc>
        <w:tc>
          <w:tcPr>
            <w:tcW w:w="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shd w:fill="CCEEFF" w:val="clear"/>
            <w:vAlign w:val="center"/>
          </w:tcPr>
          <w:p>
            <w:pPr>
              <w:pStyle w:val="TableContents"/>
              <w:bidi w:val="0"/>
              <w:spacing w:before="0" w:after="0"/>
              <w:ind w:left="0" w:right="0" w:hanging="0"/>
              <w:jc w:val="right"/>
              <w:rPr/>
            </w:pPr>
            <w:r>
              <w:rPr/>
              <w:t>—</w:t>
            </w:r>
          </w:p>
        </w:tc>
      </w:tr>
      <w:tr>
        <w:trPr/>
        <w:tc>
          <w:tcPr>
            <w:tcW w:w="24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39,445</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39,445</w:t>
            </w:r>
          </w:p>
        </w:tc>
        <w:tc>
          <w:tcPr>
            <w:tcW w:w="32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7" w:type="dxa"/>
            <w:tcBorders/>
            <w:vAlign w:val="center"/>
          </w:tcPr>
          <w:p>
            <w:pPr>
              <w:pStyle w:val="TableContents"/>
              <w:bidi w:val="0"/>
              <w:spacing w:before="0" w:after="0"/>
              <w:ind w:left="0" w:right="60" w:hanging="0"/>
              <w:jc w:val="right"/>
              <w:rPr/>
            </w:pPr>
            <w:r>
              <w:rPr/>
              <w:t>—</w:t>
            </w:r>
          </w:p>
        </w:tc>
      </w:tr>
    </w:tbl>
    <w:p>
      <w:pPr>
        <w:pStyle w:val="TextBody"/>
        <w:bidi w:val="0"/>
        <w:spacing w:lineRule="auto" w:line="271" w:before="0" w:after="24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88" w:name="Tc_Pmpxh5-6l0akX4ugROKMlA_9_8"/>
      <w:bookmarkStart w:id="989" w:name="Tc_rl378IVD80Oq3tog_ljgsw_9_5"/>
      <w:bookmarkStart w:id="990" w:name="Tc_9mTYZvTPyEuTLMEDi0PLJg_9_2"/>
      <w:bookmarkStart w:id="991" w:name="Tc_kxpaoK1_IEytQWeT5naSFQ_9_0"/>
      <w:bookmarkStart w:id="992" w:name="Tc_78p6N7E4SEmYzEhet_fZYA_8_0"/>
      <w:bookmarkStart w:id="993" w:name="Tc_mL8RfusTVkm0HQa6uSzreQ_7_0"/>
      <w:bookmarkStart w:id="994" w:name="Tc_PZrBP6Wr2kWTkDIYFyUtxg_6_0"/>
      <w:bookmarkStart w:id="995" w:name="Tc_Z4NCc_x6NU-eYameOaq_kw_5_0"/>
      <w:bookmarkStart w:id="996" w:name="Tc_Uzx9VX24KEyHTK3u8yD1Bw_4_0"/>
      <w:bookmarkStart w:id="997" w:name="Tc_PzEDfN4AH02Y5dpDOZ72Hw_3_0"/>
      <w:bookmarkStart w:id="998" w:name="Tc__5ezkm2g-EGqvXQKZM4dQQ_2_8"/>
      <w:bookmarkStart w:id="999" w:name="Tc_oku607s3gk6lSkY1n3OBeg_2_5"/>
      <w:bookmarkStart w:id="1000" w:name="Tc_QnDfo7yxFU-Z1Ts-q8tW7w_2_2"/>
      <w:bookmarkStart w:id="1001" w:name="Tc_CYbjQ7zV30CL8LFdT493fw_2_0"/>
      <w:bookmarkStart w:id="1002" w:name="Tc_AmsQOO-yyUufrWLUfnX-Xg_1_8"/>
      <w:bookmarkStart w:id="1003" w:name="Tc_NM_u5m5SeEe1C7q_HPCCEA_1_5"/>
      <w:bookmarkStart w:id="1004" w:name="Tc_hlPcVwqRzk2Eg3vwmyWCsw_1_2"/>
      <w:bookmarkStart w:id="1005" w:name="Tc_gSSUHHkWU0atM3Yj2y401w_1_0"/>
      <w:bookmarkStart w:id="1006" w:name="_ff51a9dd_4df9_4686_8bd5_d55d34db9a22"/>
      <w:bookmarkStart w:id="1007" w:name="Tc_NeXlZhGoKkqSLgV5LGOmIA_5_5"/>
      <w:bookmarkStart w:id="1008" w:name="Tc_aGVY6V3wZ0S_ssXo2kdEhQ_5_2"/>
      <w:bookmarkStart w:id="1009" w:name="Tc_f6bqEbeS90iwzyoCXfVvYw_5_0"/>
      <w:bookmarkStart w:id="1010" w:name="Tc_6_kGRdegDk2-AHg_suR9cA_4_0"/>
      <w:bookmarkStart w:id="1011" w:name="Tc_mIwqU6I1I0-fWtZm_fYEfA_3_5"/>
      <w:bookmarkStart w:id="1012" w:name="Tc_F3RHKNGoJkuJwJPfUhw-kg_3_2"/>
      <w:bookmarkStart w:id="1013" w:name="Tc_dFTQalqQ10ifO0yxESnsqg_3_0"/>
      <w:bookmarkStart w:id="1014" w:name="Tc_Zj3GrPzFEkyv9I7zZ2iViQ_2_5"/>
      <w:bookmarkStart w:id="1015" w:name="Tc_mNW5DOLAWE2ahdkl1Rintg_2_2"/>
      <w:bookmarkStart w:id="1016" w:name="Tc_V3t5wJcUXUezT5aApG9UpA_1_2"/>
      <w:bookmarkStart w:id="1017" w:name="_d1b39755_7ac9_4766_9ff3_a2fcab4802d2"/>
      <w:bookmarkStart w:id="1018" w:name="Tc_Mm1nGLwuOUW2-Tc6VQm-LA_15_5"/>
      <w:bookmarkStart w:id="1019" w:name="Tc_kb7MiMiNokS1gjg_1Zt2Vw_15_2"/>
      <w:bookmarkStart w:id="1020" w:name="Tc_ikFmzh4K4UmQuxw0-C543A_15_0"/>
      <w:bookmarkStart w:id="1021" w:name="Tc_ff5ZAod3Lk68rGNWQsJqBw_14_0"/>
      <w:bookmarkStart w:id="1022" w:name="Tc_g7mLcxwzokGGSthB7LOz6Q_13_0"/>
      <w:bookmarkStart w:id="1023" w:name="Tc__bAqIUbEW0aqBkrMnlBGtQ_12_0"/>
      <w:bookmarkStart w:id="1024" w:name="Tc_p3yCmK1YM06N_8IDrXzKPg_11_0"/>
      <w:bookmarkStart w:id="1025" w:name="Tc_i4R42aevbEeZe9GthnNNmQ_10_0"/>
      <w:bookmarkStart w:id="1026" w:name="Tc_P-tRmGvrP0izKS7-emiGtQ_9_0"/>
      <w:bookmarkStart w:id="1027" w:name="Tc_RsTAroQYgUiG_-5s5RIUWA_8_0"/>
      <w:bookmarkStart w:id="1028" w:name="Tc_8EXQYwZugkChtxcBUYPIlg_7_0"/>
      <w:bookmarkStart w:id="1029" w:name="Tc_iFTUXJno3kyGXnazD5Yd2w_6_0"/>
      <w:bookmarkStart w:id="1030" w:name="Tc_njOSwD9PSkSS_c9fNgbzug_5_0"/>
      <w:bookmarkStart w:id="1031" w:name="Tc_kTMvpj1KvEGHwnU1MO7XRQ_4_5"/>
      <w:bookmarkStart w:id="1032" w:name="Tc_BICv6NeIJEOb9HycP6pfkg_4_2"/>
      <w:bookmarkStart w:id="1033" w:name="Tc_CD7-yLQnAEWaFFOOceLHsQ_4_0"/>
      <w:bookmarkStart w:id="1034" w:name="Tc_bnlqKSo1mk6H3eKR3l_xlw_3_0"/>
      <w:bookmarkStart w:id="1035" w:name="Tc_AmBdefqGNkWzkH6ycHxpBw_2_5"/>
      <w:bookmarkStart w:id="1036" w:name="Tc_Nzh_iiCvm0Golmm4bBQ5Jw_2_2"/>
      <w:bookmarkStart w:id="1037" w:name="Tc_pPI74JxIckKQ7xgzZQKdDA_1_2"/>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b/>
          <w:sz w:val="20"/>
        </w:rPr>
        <w:t>NOTE 9. INTANGIBLE ASSETS AND LIABILITIES</w:t>
      </w:r>
    </w:p>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Intangible assets and liabilities consisted of the following as of March 31, 2024 and December 31, 2023 (in thousands):</w:t>
      </w:r>
    </w:p>
    <w:p>
      <w:pPr>
        <w:pStyle w:val="TextBody"/>
        <w:bidi w:val="0"/>
        <w:spacing w:before="0" w:after="0"/>
        <w:ind w:left="0" w:right="0" w:hanging="0"/>
        <w:jc w:val="left"/>
        <w:rPr/>
      </w:pPr>
      <w:r>
        <w:rPr/>
        <w:t>​</w:t>
      </w:r>
    </w:p>
    <w:tbl>
      <w:tblPr>
        <w:tblW w:w="8921" w:type="dxa"/>
        <w:jc w:val="left"/>
        <w:tblInd w:w="0" w:type="dxa"/>
        <w:tblLayout w:type="fixed"/>
        <w:tblCellMar>
          <w:top w:w="0" w:type="dxa"/>
          <w:left w:w="0" w:type="dxa"/>
          <w:bottom w:w="0" w:type="dxa"/>
          <w:right w:w="0" w:type="dxa"/>
        </w:tblCellMar>
      </w:tblPr>
      <w:tblGrid>
        <w:gridCol w:w="5956"/>
        <w:gridCol w:w="326"/>
        <w:gridCol w:w="211"/>
        <w:gridCol w:w="796"/>
        <w:gridCol w:w="326"/>
        <w:gridCol w:w="265"/>
        <w:gridCol w:w="1041"/>
      </w:tblGrid>
      <w:tr>
        <w:trPr/>
        <w:tc>
          <w:tcPr>
            <w:tcW w:w="5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5460" cy="175260"/>
                      <wp:effectExtent l="0" t="0" r="0" b="0"/>
                      <wp:wrapNone/>
                      <wp:docPr id="164" name="Frame1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68275" cy="175260"/>
                      <wp:effectExtent l="0" t="0" r="0" b="0"/>
                      <wp:wrapNone/>
                      <wp:docPr id="166" name="Frame16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1035" cy="175260"/>
                      <wp:effectExtent l="0" t="0" r="0" b="0"/>
                      <wp:wrapNone/>
                      <wp:docPr id="167" name="Frame167"/>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9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2024</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96,388</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90,246</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30,993</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31,533</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26,728</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24,974</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154,109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146,753</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(53,070)</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(49,644)</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101,039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97,109</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 (Included in Accrued and 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(19,373)</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(14,848)</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(19,373)</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(14,848)</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5,020</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w:t>
            </w:r>
          </w:p>
        </w:tc>
      </w:tr>
      <w:tr>
        <w:trPr/>
        <w:tc>
          <w:tcPr>
            <w:tcW w:w="5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(14,353)</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(10,441)</w:t>
            </w:r>
          </w:p>
        </w:tc>
      </w:tr>
      <w:tr>
        <w:trPr/>
        <w:tc>
          <w:tcPr>
            <w:tcW w:w="5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86,686</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86,668</w:t>
            </w:r>
          </w:p>
        </w:tc>
      </w:tr>
    </w:tbl>
    <w:p>
      <w:pPr>
        <w:pStyle w:val="TextBody"/>
        <w:shd w:fill="FFFFFF" w:val="clear"/>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three months ended March 31, 2024 and 2023 (in thousands):</w:t>
      </w:r>
    </w:p>
    <w:p>
      <w:pPr>
        <w:pStyle w:val="TextBody"/>
        <w:bidi w:val="0"/>
        <w:spacing w:before="0" w:after="0"/>
        <w:ind w:left="0" w:right="0" w:firstLine="490"/>
        <w:jc w:val="both"/>
        <w:rPr/>
      </w:pPr>
      <w:r>
        <w:rPr/>
        <w:t>​</w:t>
      </w:r>
    </w:p>
    <w:tbl>
      <w:tblPr>
        <w:tblW w:w="6634" w:type="dxa"/>
        <w:jc w:val="left"/>
        <w:tblInd w:w="0" w:type="dxa"/>
        <w:tblLayout w:type="fixed"/>
        <w:tblCellMar>
          <w:top w:w="0" w:type="dxa"/>
          <w:left w:w="0" w:type="dxa"/>
          <w:bottom w:w="0" w:type="dxa"/>
          <w:right w:w="0" w:type="dxa"/>
        </w:tblCellMar>
      </w:tblPr>
      <w:tblGrid>
        <w:gridCol w:w="4411"/>
        <w:gridCol w:w="109"/>
        <w:gridCol w:w="263"/>
        <w:gridCol w:w="713"/>
        <w:gridCol w:w="117"/>
        <w:gridCol w:w="242"/>
        <w:gridCol w:w="779"/>
      </w:tblGrid>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7005" cy="175260"/>
                      <wp:effectExtent l="0" t="0" r="0" b="0"/>
                      <wp:wrapNone/>
                      <wp:docPr id="169" name="Frame16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52755" cy="175260"/>
                      <wp:effectExtent l="0" t="0" r="0" b="0"/>
                      <wp:wrapNone/>
                      <wp:docPr id="170" name="Frame170"/>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4295" cy="175260"/>
                      <wp:effectExtent l="0" t="0" r="0" b="0"/>
                      <wp:wrapNone/>
                      <wp:docPr id="171" name="Frame171"/>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3670" cy="175260"/>
                      <wp:effectExtent l="0" t="0" r="0" b="0"/>
                      <wp:wrapNone/>
                      <wp:docPr id="172" name="Frame17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4665" cy="175260"/>
                      <wp:effectExtent l="0" t="0" r="0" b="0"/>
                      <wp:wrapNone/>
                      <wp:docPr id="173" name="Frame173"/>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2024</w:t>
            </w:r>
          </w:p>
        </w:tc>
        <w:tc>
          <w:tcPr>
            <w:tcW w:w="117"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w:t>
            </w:r>
          </w:p>
        </w:tc>
        <w:tc>
          <w:tcPr>
            <w:tcW w:w="117"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Income Properties Revenue</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117"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5,007</w:t>
            </w:r>
          </w:p>
        </w:tc>
        <w:tc>
          <w:tcPr>
            <w:tcW w:w="117"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5,070</w:t>
            </w:r>
          </w:p>
        </w:tc>
      </w:tr>
    </w:tbl>
    <w:p>
      <w:pPr>
        <w:pStyle w:val="TextBody"/>
        <w:bidi w:val="0"/>
        <w:spacing w:before="0" w:after="12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tbl>
      <w:tblPr>
        <w:tblW w:w="10205" w:type="dxa"/>
        <w:jc w:val="left"/>
        <w:tblInd w:w="0" w:type="dxa"/>
        <w:tblLayout w:type="fixed"/>
        <w:tblCellMar>
          <w:top w:w="0" w:type="dxa"/>
          <w:left w:w="0" w:type="dxa"/>
          <w:bottom w:w="0" w:type="dxa"/>
          <w:right w:w="0" w:type="dxa"/>
        </w:tblCellMar>
      </w:tblPr>
      <w:tblGrid>
        <w:gridCol w:w="2374"/>
        <w:gridCol w:w="326"/>
        <w:gridCol w:w="423"/>
        <w:gridCol w:w="1357"/>
        <w:gridCol w:w="326"/>
        <w:gridCol w:w="583"/>
        <w:gridCol w:w="1580"/>
        <w:gridCol w:w="326"/>
        <w:gridCol w:w="610"/>
        <w:gridCol w:w="2300"/>
      </w:tblGrid>
      <w:tr>
        <w:trPr/>
        <w:tc>
          <w:tcPr>
            <w:tcW w:w="23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861695" cy="175260"/>
                      <wp:effectExtent l="0" t="0" r="0" b="0"/>
                      <wp:wrapNone/>
                      <wp:docPr id="174" name="Frame174"/>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0"/>
              <w:ind w:left="0" w:right="0" w:hanging="0"/>
              <w:jc w:val="left"/>
              <w:rPr/>
            </w:pPr>
            <w:r>
              <w:rPr/>
              <w:t>​</w:t>
            </w:r>
          </w:p>
        </w:tc>
        <w:tc>
          <w:tcPr>
            <w:tcW w:w="1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003300" cy="175260"/>
                      <wp:effectExtent l="0" t="0" r="0" b="0"/>
                      <wp:wrapNone/>
                      <wp:docPr id="176" name="Frame176"/>
                      <a:graphic xmlns:a="http://schemas.openxmlformats.org/drawingml/2006/main">
                        <a:graphicData uri="http://schemas.microsoft.com/office/word/2010/wordprocessingShape">
                          <wps:wsp>
                            <wps:cNvSpPr txBox="1"/>
                            <wps:spPr>
                              <a:xfrm>
                                <a:off x="0" y="0"/>
                                <a:ext cx="1003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0"/>
              <w:ind w:left="0" w:right="0" w:hanging="0"/>
              <w:jc w:val="left"/>
              <w:rPr/>
            </w:pPr>
            <w:r>
              <w:rPr/>
              <w:t>​</w:t>
            </w:r>
          </w:p>
        </w:tc>
        <w:tc>
          <w:tcPr>
            <w:tcW w:w="2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60500" cy="175260"/>
                      <wp:effectExtent l="0" t="0" r="0" b="0"/>
                      <wp:wrapNone/>
                      <wp:docPr id="178" name="Frame178"/>
                      <a:graphic xmlns:a="http://schemas.openxmlformats.org/drawingml/2006/main">
                        <a:graphicData uri="http://schemas.microsoft.com/office/word/2010/wordprocessingShape">
                          <wps:wsp>
                            <wps:cNvSpPr txBox="1"/>
                            <wps:spPr>
                              <a:xfrm>
                                <a:off x="0" y="0"/>
                                <a:ext cx="146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Amount</w:t>
            </w:r>
          </w:p>
        </w:tc>
        <w:tc>
          <w:tcPr>
            <w:tcW w:w="326" w:type="dxa"/>
            <w:tcBorders/>
            <w:vAlign w:val="center"/>
          </w:tcPr>
          <w:p>
            <w:pPr>
              <w:pStyle w:val="TableContents"/>
              <w:bidi w:val="0"/>
              <w:spacing w:before="0" w:after="0"/>
              <w:ind w:left="0" w:right="0" w:hanging="0"/>
              <w:jc w:val="left"/>
              <w:rPr/>
            </w:pPr>
            <w:r>
              <w:rPr/>
              <w:t>    </w:t>
            </w:r>
          </w:p>
        </w:tc>
        <w:tc>
          <w:tcPr>
            <w:tcW w:w="2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Accretion to Income Property Revenue</w:t>
            </w:r>
          </w:p>
        </w:tc>
        <w:tc>
          <w:tcPr>
            <w:tcW w:w="326" w:type="dxa"/>
            <w:tcBorders/>
            <w:vAlign w:val="center"/>
          </w:tcPr>
          <w:p>
            <w:pPr>
              <w:pStyle w:val="TableContents"/>
              <w:bidi w:val="0"/>
              <w:spacing w:before="0" w:after="0"/>
              <w:ind w:left="0" w:right="0" w:hanging="0"/>
              <w:jc w:val="left"/>
              <w:rPr/>
            </w:pPr>
            <w:r>
              <w:rPr/>
              <w:t>    </w:t>
            </w:r>
          </w:p>
        </w:tc>
        <w:tc>
          <w:tcPr>
            <w:tcW w:w="2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Future Amortization of Intangible Assets and Liabilities</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14,433</w:t>
            </w:r>
          </w:p>
        </w:tc>
        <w:tc>
          <w:tcPr>
            <w:tcW w:w="32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15,166</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17,407</w:t>
            </w:r>
          </w:p>
        </w:tc>
        <w:tc>
          <w:tcPr>
            <w:tcW w:w="326"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1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w:t>
            </w:r>
          </w:p>
        </w:tc>
        <w:tc>
          <w:tcPr>
            <w:tcW w:w="32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2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18,399</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16,536</w:t>
            </w:r>
          </w:p>
        </w:tc>
        <w:tc>
          <w:tcPr>
            <w:tcW w:w="32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1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2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17,600</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13,873</w:t>
            </w:r>
          </w:p>
        </w:tc>
        <w:tc>
          <w:tcPr>
            <w:tcW w:w="326"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1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2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14,200</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9,837</w:t>
            </w:r>
          </w:p>
        </w:tc>
        <w:tc>
          <w:tcPr>
            <w:tcW w:w="326"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left"/>
              <w:rPr/>
            </w:pPr>
            <w:r>
              <w:rPr/>
              <w:t>​</w:t>
            </w:r>
          </w:p>
        </w:tc>
        <w:tc>
          <w:tcPr>
            <w:tcW w:w="1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left"/>
              <w:rPr/>
            </w:pPr>
            <w:r>
              <w:rPr/>
              <w:t>​</w:t>
            </w:r>
          </w:p>
        </w:tc>
        <w:tc>
          <w:tcPr>
            <w:tcW w:w="2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10,147</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0"/>
              <w:ind w:left="0" w:right="0" w:hanging="0"/>
              <w:jc w:val="left"/>
              <w:rPr/>
            </w:pPr>
            <w:r>
              <w:rPr/>
              <w:t>​</w:t>
            </w:r>
          </w:p>
        </w:tc>
        <w:tc>
          <w:tcPr>
            <w:tcW w:w="423"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w:t>
            </w:r>
          </w:p>
        </w:tc>
        <w:tc>
          <w:tcPr>
            <w:tcW w:w="326"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1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2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4,709</w:t>
            </w:r>
          </w:p>
        </w:tc>
      </w:tr>
      <w:tr>
        <w:trPr/>
        <w:tc>
          <w:tcPr>
            <w:tcW w:w="2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4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5,909</w:t>
            </w:r>
          </w:p>
        </w:tc>
        <w:tc>
          <w:tcPr>
            <w:tcW w:w="326" w:type="dxa"/>
            <w:tcBorders/>
            <w:shd w:fill="CCEEFF" w:val="clear"/>
            <w:vAlign w:val="center"/>
          </w:tcPr>
          <w:p>
            <w:pPr>
              <w:pStyle w:val="TableContents"/>
              <w:bidi w:val="0"/>
              <w:spacing w:before="0" w:after="0"/>
              <w:ind w:left="0" w:right="0" w:hanging="0"/>
              <w:jc w:val="left"/>
              <w:rPr/>
            </w:pPr>
            <w:r>
              <w:rPr/>
              <w:t>​</w:t>
            </w:r>
          </w:p>
        </w:tc>
        <w:tc>
          <w:tcPr>
            <w:tcW w:w="5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shd w:fill="CCEEFF" w:val="cle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6,465</w:t>
            </w:r>
          </w:p>
        </w:tc>
      </w:tr>
      <w:tr>
        <w:trPr/>
        <w:tc>
          <w:tcPr>
            <w:tcW w:w="2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4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81,831</w:t>
            </w:r>
          </w:p>
        </w:tc>
        <w:tc>
          <w:tcPr>
            <w:tcW w:w="326" w:type="dxa"/>
            <w:tcBorders/>
            <w:vAlign w:val="center"/>
          </w:tcPr>
          <w:p>
            <w:pPr>
              <w:pStyle w:val="TableContents"/>
              <w:bidi w:val="0"/>
              <w:spacing w:before="0" w:after="0"/>
              <w:ind w:left="0" w:right="0" w:hanging="0"/>
              <w:jc w:val="left"/>
              <w:rPr/>
            </w:pPr>
            <w:r>
              <w:rPr/>
              <w:t>​</w:t>
            </w:r>
          </w:p>
        </w:tc>
        <w:tc>
          <w:tcPr>
            <w:tcW w:w="5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4,855</w:t>
            </w:r>
          </w:p>
        </w:tc>
        <w:tc>
          <w:tcPr>
            <w:tcW w:w="326" w:type="dxa"/>
            <w:tcBorders/>
            <w:vAlign w:val="center"/>
          </w:tcPr>
          <w:p>
            <w:pPr>
              <w:pStyle w:val="TableContents"/>
              <w:bidi w:val="0"/>
              <w:spacing w:before="0" w:after="0"/>
              <w:ind w:left="0" w:right="0" w:hanging="0"/>
              <w:jc w:val="left"/>
              <w:rPr/>
            </w:pPr>
            <w:r>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86,686</w:t>
            </w:r>
          </w:p>
        </w:tc>
      </w:tr>
    </w:tbl>
    <w:p>
      <w:pPr>
        <w:pStyle w:val="TextBody"/>
        <w:bidi w:val="0"/>
        <w:spacing w:before="0" w:after="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March 31, 2024, the weighted average amortization period of total intangible assets and liabilities was 6.0 years and 5.6 years, respectively.</w:t>
      </w:r>
    </w:p>
    <w:p>
      <w:pPr>
        <w:pStyle w:val="TextBody"/>
        <w:bidi w:val="0"/>
        <w:spacing w:lineRule="auto" w:line="268"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hanging="0"/>
        <w:jc w:val="both"/>
        <w:rPr>
          <w:rFonts w:ascii="Times New Roman;Times;serif" w:hAnsi="Times New Roman;Times;serif"/>
          <w:b/>
          <w:sz w:val="20"/>
        </w:rPr>
      </w:pPr>
      <w:r>
        <w:rPr>
          <w:rFonts w:ascii="Times New Roman;Times;serif" w:hAnsi="Times New Roman;Times;serif"/>
          <w:b/>
          <w:sz w:val="20"/>
        </w:rPr>
        <w:t>NOTE 10. PROVISION FOR IMPAIRMENT</w:t>
      </w:r>
    </w:p>
    <w:p>
      <w:pPr>
        <w:pStyle w:val="TextBody"/>
        <w:bidi w:val="0"/>
        <w:spacing w:before="0" w:after="0"/>
        <w:ind w:left="0" w:right="0" w:hanging="0"/>
        <w:jc w:val="both"/>
        <w:rPr/>
      </w:pPr>
      <w:r>
        <w:rPr/>
        <w:t>​</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Income Properties. </w:t>
      </w:r>
      <w:r>
        <w:rPr>
          <w:rFonts w:ascii="Times New Roman;Times;serif" w:hAnsi="Times New Roman;Times;serif"/>
          <w:sz w:val="20"/>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three months ended March 31, 2024 or 2023.</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Pursuant to ASC 326, Financial Instruments - Credit Losses, 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March 31, 2024 and 2023, the Company recorded less than $0.1 and $0.5 million in impairment charges, respectively. These charges represent provisions for credit losses related to our commercial loans and investments. </w:t>
      </w:r>
    </w:p>
    <w:p>
      <w:pPr>
        <w:pStyle w:val="TextBody"/>
        <w:bidi w:val="0"/>
        <w:spacing w:before="240" w:after="0"/>
        <w:ind w:left="0" w:right="0" w:hanging="0"/>
        <w:jc w:val="left"/>
        <w:rPr>
          <w:rFonts w:ascii="Times New Roman;Times;serif" w:hAnsi="Times New Roman;Times;serif"/>
          <w:b/>
          <w:sz w:val="20"/>
        </w:rPr>
      </w:pPr>
      <w:bookmarkStart w:id="1038" w:name="Tc_hpxjQHxbHk2hEPLILCJ3Uw_13_5"/>
      <w:bookmarkStart w:id="1039" w:name="Tc_wdtDcywWIkK5iv8ySZ2CRg_13_2"/>
      <w:bookmarkStart w:id="1040" w:name="Tc_nw79cerL3ECSAKaBx2mBnw_13_0"/>
      <w:bookmarkStart w:id="1041" w:name="Tc_LLuPN3UDmUmrx3tcGcgynA_12_0"/>
      <w:bookmarkStart w:id="1042" w:name="Tc_j7apcSFOlUaFTYwifnxUzQ_11_0"/>
      <w:bookmarkStart w:id="1043" w:name="Tc_yxktJLUUKUa2tG7N7qtetQ_10_0"/>
      <w:bookmarkStart w:id="1044" w:name="Tc_nP496-dzxEaXzV3Lk8Cjkg_9_0"/>
      <w:bookmarkStart w:id="1045" w:name="Tc_Ra4uBhqvPE6u08GsJLmptQ_8_0"/>
      <w:bookmarkStart w:id="1046" w:name="Tc_5BFtLWF640Kb7hqm-Y6qNw_7_0"/>
      <w:bookmarkStart w:id="1047" w:name="Tc_eiW21LuZTEOWcLq2q_vuYg_5_0"/>
      <w:bookmarkStart w:id="1048" w:name="Tc_n_fpH_4A-UmSvPrcn5bqxg_4_0"/>
      <w:bookmarkStart w:id="1049" w:name="Tc_VQgJ2hujC0O12aaxhALLMA_3_5"/>
      <w:bookmarkStart w:id="1050" w:name="Tc_q0tvLsS0qEyzgUA7339-hg_3_2"/>
      <w:bookmarkStart w:id="1051" w:name="Tc_yYYkSiDHckm4eZ5TxDIMjA_3_0"/>
      <w:bookmarkStart w:id="1052" w:name="Tc_RuKR5k_q_EmIhhra_w3ZbA_2_5"/>
      <w:bookmarkStart w:id="1053" w:name="Tc_6WiOxoSrG0u2UUxdtPka8w_2_2"/>
      <w:bookmarkStart w:id="1054" w:name="Tc_3HKGhA-8dUeOXns3DcwuJg_1_2"/>
      <w:bookmarkStart w:id="1055" w:name="_7a71d79e_4205_47ce_9f7e_5778ccc0af5c"/>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rFonts w:ascii="Times New Roman;Times;serif" w:hAnsi="Times New Roman;Times;serif"/>
          <w:b/>
          <w:sz w:val="20"/>
        </w:rPr>
        <w:t>NOTE 11. OTHER ASSETS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Other assets consisted of the following as of March 31, 2024 and December 31, 2023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6392"/>
        <w:gridCol w:w="326"/>
        <w:gridCol w:w="336"/>
        <w:gridCol w:w="1079"/>
        <w:gridCol w:w="326"/>
        <w:gridCol w:w="369"/>
        <w:gridCol w:w="1377"/>
      </w:tblGrid>
      <w:tr>
        <w:trPr/>
        <w:tc>
          <w:tcPr>
            <w:tcW w:w="6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058920" cy="175260"/>
                      <wp:effectExtent l="0" t="0" r="0" b="0"/>
                      <wp:wrapNone/>
                      <wp:docPr id="179" name="Frame179"/>
                      <a:graphic xmlns:a="http://schemas.openxmlformats.org/drawingml/2006/main">
                        <a:graphicData uri="http://schemas.microsoft.com/office/word/2010/wordprocessingShape">
                          <wps:wsp>
                            <wps:cNvSpPr txBox="1"/>
                            <wps:spPr>
                              <a:xfrm>
                                <a:off x="0" y="0"/>
                                <a:ext cx="405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3360" cy="175260"/>
                      <wp:effectExtent l="0" t="0" r="0" b="0"/>
                      <wp:wrapNone/>
                      <wp:docPr id="181" name="Frame18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85165" cy="175260"/>
                      <wp:effectExtent l="0" t="0" r="0" b="0"/>
                      <wp:wrapNone/>
                      <wp:docPr id="182" name="Frame182"/>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34315" cy="175260"/>
                      <wp:effectExtent l="0" t="0" r="0" b="0"/>
                      <wp:wrapNone/>
                      <wp:docPr id="184" name="Frame184"/>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74395" cy="175260"/>
                      <wp:effectExtent l="0" t="0" r="0" b="0"/>
                      <wp:wrapNone/>
                      <wp:docPr id="185" name="Frame185"/>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3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left"/>
              <w:rPr/>
            </w:pPr>
            <w:r>
              <w:rPr/>
              <w:t>    </w:t>
            </w:r>
          </w:p>
        </w:tc>
        <w:tc>
          <w:tcPr>
            <w:tcW w:w="17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639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Property Tenant Receivables, Net of Allowance for Doubtful Accounts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4,620</w:t>
            </w:r>
          </w:p>
        </w:tc>
        <w:tc>
          <w:tcPr>
            <w:tcW w:w="32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4,568</w:t>
            </w:r>
          </w:p>
        </w:tc>
      </w:tr>
      <w:tr>
        <w:trPr/>
        <w:tc>
          <w:tcPr>
            <w:tcW w:w="6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Straight-line Rent Adjustment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w:t>
            </w:r>
          </w:p>
        </w:tc>
        <w:tc>
          <w:tcPr>
            <w:tcW w:w="32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6,033</w:t>
            </w:r>
          </w:p>
        </w:tc>
      </w:tr>
      <w:tr>
        <w:trPr/>
        <w:tc>
          <w:tcPr>
            <w:tcW w:w="6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Leasing Commissions and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5,590</w:t>
            </w:r>
          </w:p>
        </w:tc>
        <w:tc>
          <w:tcPr>
            <w:tcW w:w="32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4,943</w:t>
            </w:r>
          </w:p>
        </w:tc>
      </w:tr>
      <w:tr>
        <w:trPr/>
        <w:tc>
          <w:tcPr>
            <w:tcW w:w="639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Right-of-Use Asset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6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Golf Rounds Surcharge</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6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15,954</w:t>
            </w:r>
          </w:p>
        </w:tc>
        <w:tc>
          <w:tcPr>
            <w:tcW w:w="32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11,770</w:t>
            </w:r>
          </w:p>
        </w:tc>
      </w:tr>
      <w:tr>
        <w:trPr/>
        <w:tc>
          <w:tcPr>
            <w:tcW w:w="6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Infrastructure Reimbursement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2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6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326"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r>
      <w:tr>
        <w:trPr/>
        <w:tc>
          <w:tcPr>
            <w:tcW w:w="6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Alpine Income Property Trust, Inc.</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326"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6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Costs, Net of Accumulated Amortization </w:t>
            </w:r>
          </w:p>
        </w:tc>
        <w:tc>
          <w:tcPr>
            <w:tcW w:w="32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26" w:type="dxa"/>
            <w:tcBorders/>
            <w:vAlign w:val="center"/>
          </w:tcPr>
          <w:p>
            <w:pPr>
              <w:pStyle w:val="TableContents"/>
              <w:bidi w:val="0"/>
              <w:spacing w:before="0" w:after="0"/>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w:t>
            </w:r>
          </w:p>
        </w:tc>
      </w:tr>
      <w:tr>
        <w:trPr/>
        <w:tc>
          <w:tcPr>
            <w:tcW w:w="6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37,964</w:t>
            </w:r>
          </w:p>
        </w:tc>
        <w:tc>
          <w:tcPr>
            <w:tcW w:w="326" w:type="dxa"/>
            <w:tcBorders/>
            <w:shd w:fill="CCEEFF" w:val="clear"/>
            <w:vAlign w:val="center"/>
          </w:tcPr>
          <w:p>
            <w:pPr>
              <w:pStyle w:val="TableContents"/>
              <w:bidi w:val="0"/>
              <w:spacing w:before="0" w:after="0"/>
              <w:ind w:left="0" w:right="0" w:hanging="0"/>
              <w:jc w:val="left"/>
              <w:rPr/>
            </w:pPr>
            <w:r>
              <w:rPr/>
              <w:t>​</w:t>
            </w:r>
          </w:p>
        </w:tc>
        <w:tc>
          <w:tcPr>
            <w:tcW w:w="3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34,953</w:t>
            </w:r>
          </w:p>
        </w:tc>
      </w:tr>
    </w:tbl>
    <w:tbl>
      <w:tblPr>
        <w:tblW w:w="7277" w:type="dxa"/>
        <w:jc w:val="left"/>
        <w:tblInd w:w="0" w:type="dxa"/>
        <w:tblLayout w:type="fixed"/>
        <w:tblCellMar>
          <w:top w:w="0" w:type="dxa"/>
          <w:left w:w="0" w:type="dxa"/>
          <w:bottom w:w="0" w:type="dxa"/>
          <w:right w:w="0" w:type="dxa"/>
        </w:tblCellMar>
      </w:tblPr>
      <w:tblGrid>
        <w:gridCol w:w="286"/>
        <w:gridCol w:w="6991"/>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69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Allowance for doubtful accounts was $1.7</w:t>
            </w:r>
            <w:r>
              <w:rPr>
                <w:rFonts w:ascii="Times New Roman;Times;serif" w:hAnsi="Times New Roman;Times;serif"/>
                <w:sz w:val="20"/>
              </w:rPr>
              <w:t xml:space="preserve"> </w:t>
            </w:r>
            <w:r>
              <w:rPr>
                <w:rFonts w:ascii="Times New Roman;Times;serif" w:hAnsi="Times New Roman;Times;serif"/>
                <w:sz w:val="16"/>
              </w:rPr>
              <w:t xml:space="preserve">million as of March 31, 2024 and December 31, 2023. </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Infrastructure Reimbursement Receivables. </w:t>
      </w:r>
      <w:r>
        <w:rPr>
          <w:rFonts w:ascii="Times New Roman;Times;serif" w:hAnsi="Times New Roman;Times;serif"/>
          <w:sz w:val="20"/>
        </w:rPr>
        <w:t>As of March 31, 2024 and December 31, 2023, the infrastructure reimbursement receivables were all related to two land sale transactions which closed in the fourth quarter of 2015 within the Tomoka Town Center.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 EQUITY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“2021 Registration Statement”). The Securities and Exchange Commission declared the 2021 Registration Statement effective on April 19, 2021.</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11, 2022, the Company filed a new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 The 2021 Registration Statement was terminated concurrently with the effectiveness of the 2022 Registration Statement.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EQUITY OFFERING</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Company was not active under the 2021 ATM Program during the year ended December 31, 2021. The 2021 ATM Program was terminated in connection with the establishment of the 2022 ATM Program (hereinafter defined).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 The Company was not active under the 2022 ATM Program during the year ended December 31, 2023. During the three months ended March 31, 2024, the Company sold 125,857 shares under the 2022 ATM Program for gross proceeds of $2.1 million at a weighted average price of $17.05 per share, generating net proceeds of $2.1 million after deducting transaction fees totaling less than $0.1 million. As of March 31, 2024, $135.6 million of availability remained under the 2022 ATM Program.</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discount and expenses. 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14, “Share Repurchases” for the Company’s Series A Preferred Stock repurchase activity.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23, “Subsequent Events” for a description of the Company’s follow-on public offering of 1,718,417 shares of the Series A Preferred Stock.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bookmarkStart w:id="1056" w:name="Tc_PPIOj7bdf0ylQ2iimAlMag_9_5"/>
      <w:bookmarkStart w:id="1057" w:name="Tc_csTPpNDflU6OmhqKhYU25w_9_2"/>
      <w:bookmarkStart w:id="1058" w:name="Tc_oA6wJmmKWEq9TVPMGEbS0A_9_0"/>
      <w:bookmarkStart w:id="1059" w:name="Tc_ADeB9qT_ZUer-MGKBJM00Q_8_5"/>
      <w:bookmarkStart w:id="1060" w:name="Tc_hFFPHBOW9E25t3ZfaZoiUg_8_2"/>
      <w:bookmarkStart w:id="1061" w:name="Tc_Z5fYX1CC90ayZ3_Gid5nEg_8_0"/>
      <w:bookmarkStart w:id="1062" w:name="Tc_eIeHiaZw0UCcRY6TXfrzew_7_0"/>
      <w:bookmarkStart w:id="1063" w:name="Tc_D7AIV8GJ00iqUbbmxp-XhA_5_5"/>
      <w:bookmarkStart w:id="1064" w:name="Tc_RqFGZAt5uUaKQ98GlHpQZw_5_2"/>
      <w:bookmarkStart w:id="1065" w:name="Tc_a09Vc61GvkWxEILV4NRbYA_5_0"/>
      <w:bookmarkStart w:id="1066" w:name="Tc_s1sLEMky4E25_oPXW1Eziw_4_5"/>
      <w:bookmarkStart w:id="1067" w:name="Tc_QCw_OsGtgUWSfIloBKylMw_4_2"/>
      <w:bookmarkStart w:id="1068" w:name="Tc_px_o-q9FvkKCiq-4aVymXQ_4_0"/>
      <w:bookmarkStart w:id="1069" w:name="Tc_uAMAqGztN0ek4Ue-i2vNfg_3_0"/>
      <w:bookmarkStart w:id="1070" w:name="Tc_OhTQHcINcEqyymovMQAB1g_2_5"/>
      <w:bookmarkStart w:id="1071" w:name="Tc_xGbd-7VJW0ivE9pcGnwKsQ_2_2"/>
      <w:bookmarkStart w:id="1072" w:name="Tc_kUzunB2NU0OnUXRvuDsDAA_1_2"/>
      <w:bookmarkStart w:id="1073" w:name="_b5591f53_c79a_49ec_8bd0_03ff7382d3e8"/>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i/>
          <w:sz w:val="20"/>
        </w:rPr>
        <w:t>DIVIDENDS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elect to make dividend payments in excess of operating cash flows.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outlines dividends declared and paid for each issuance of CTO’s stock during the three months ended March 31, 2024 and 2023 (in thousands, except per share data): </w:t>
      </w:r>
    </w:p>
    <w:p>
      <w:pPr>
        <w:pStyle w:val="TextBody"/>
        <w:bidi w:val="0"/>
        <w:spacing w:before="0" w:after="0"/>
        <w:ind w:left="0" w:right="0" w:firstLine="490"/>
        <w:jc w:val="both"/>
        <w:rPr/>
      </w:pPr>
      <w:r>
        <w:rPr/>
        <w:t>​</w:t>
      </w:r>
    </w:p>
    <w:tbl>
      <w:tblPr>
        <w:tblW w:w="4750" w:type="dxa"/>
        <w:jc w:val="left"/>
        <w:tblInd w:w="0" w:type="dxa"/>
        <w:tblLayout w:type="fixed"/>
        <w:tblCellMar>
          <w:top w:w="0" w:type="dxa"/>
          <w:left w:w="0" w:type="dxa"/>
          <w:bottom w:w="0" w:type="dxa"/>
          <w:right w:w="0" w:type="dxa"/>
        </w:tblCellMar>
      </w:tblPr>
      <w:tblGrid>
        <w:gridCol w:w="2101"/>
        <w:gridCol w:w="326"/>
        <w:gridCol w:w="263"/>
        <w:gridCol w:w="713"/>
        <w:gridCol w:w="326"/>
        <w:gridCol w:w="260"/>
        <w:gridCol w:w="761"/>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7005" cy="175260"/>
                      <wp:effectExtent l="0" t="0" r="0" b="0"/>
                      <wp:wrapNone/>
                      <wp:docPr id="187" name="Frame18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52755" cy="175260"/>
                      <wp:effectExtent l="0" t="0" r="0" b="0"/>
                      <wp:wrapNone/>
                      <wp:docPr id="188" name="Frame188"/>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5100" cy="175260"/>
                      <wp:effectExtent l="0" t="0" r="0" b="0"/>
                      <wp:wrapNone/>
                      <wp:docPr id="190" name="Frame19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83235" cy="175260"/>
                      <wp:effectExtent l="0" t="0" r="0" b="0"/>
                      <wp:wrapNone/>
                      <wp:docPr id="191" name="Frame19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21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2024</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A Preferred Stock </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8,601</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8,658</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 Share </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0.38</w:t>
            </w:r>
          </w:p>
        </w:tc>
      </w:tr>
    </w:tbl>
    <w:p>
      <w:pPr>
        <w:pStyle w:val="TextBody"/>
        <w:bidi w:val="0"/>
        <w:spacing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74" w:name="Tc_XK-aS9QsB0Kaz0RAPIxTcA_17_5"/>
      <w:bookmarkStart w:id="1075" w:name="Tc_todjzBCQbkuYSLwusalgaw_17_2"/>
      <w:bookmarkStart w:id="1076" w:name="Tc_JKfk7-ARIUilLIiHxRavug_17_0"/>
      <w:bookmarkStart w:id="1077" w:name="Tc_ncUCOSNpJESX_WiLTTDM4w_16_5"/>
      <w:bookmarkStart w:id="1078" w:name="Tc_Sza3wSrrvU-K5_M4GyTGVA_16_2"/>
      <w:bookmarkStart w:id="1079" w:name="Tc_0tKFBoALP0ah81Med--QAg_16_0"/>
      <w:bookmarkStart w:id="1080" w:name="Tc_u_bxIkz4o0q31aplXhLwog_15_0"/>
      <w:bookmarkStart w:id="1081" w:name="Tc_0nxaEm78q0mr-uzbXHftxQ_14_0"/>
      <w:bookmarkStart w:id="1082" w:name="Tc_Mu_8xlJOPUa4Z3BcKT6onA_12_0"/>
      <w:bookmarkStart w:id="1083" w:name="Tc_C_dAYp6Jp02YRLkc14d6JA_11_6"/>
      <w:bookmarkStart w:id="1084" w:name="Tc_bXBqs-ntekqW5UOnZ0-McA_11_0"/>
      <w:bookmarkStart w:id="1085" w:name="Tc_L4TawjwH_UemEKacxvdv5g_10_6"/>
      <w:bookmarkStart w:id="1086" w:name="Tc_gUCScyhTXkOwW_NghHckYA_10_0"/>
      <w:bookmarkStart w:id="1087" w:name="Tc_0yFlY2sDoEShrjptVApGjA_9_0"/>
      <w:bookmarkStart w:id="1088" w:name="Tc_MMVBO8n7-kORqoGoE7Lrng_8_0"/>
      <w:bookmarkStart w:id="1089" w:name="Tc_muDTRmAaCECrs-55-7WydQ_6_5"/>
      <w:bookmarkStart w:id="1090" w:name="Tc_wnwdaQ7VnECNF11HbrQ_iQ_6_2"/>
      <w:bookmarkStart w:id="1091" w:name="Tc_kKoiLUOxzUmGgYzmIGFJKQ_6_0"/>
      <w:bookmarkStart w:id="1092" w:name="Tc_cndvWXVWSkud1xv4ReqLEg_5_6"/>
      <w:bookmarkStart w:id="1093" w:name="Tc__KrILvwbcEq_y5_hct9wyA_5_0"/>
      <w:bookmarkStart w:id="1094" w:name="Tc_d7GFqT3iREardjpXjEzrhw_4_5"/>
      <w:bookmarkStart w:id="1095" w:name="Tc_pK1A4ezvhU2smIIkEzsc2A_4_2"/>
      <w:bookmarkStart w:id="1096" w:name="Tc_deULmZWyLkyJB9yRpww5AA_4_0"/>
      <w:bookmarkStart w:id="1097" w:name="Tc_BMoLlrY4hUS7m-0wydKtlA_3_0"/>
      <w:bookmarkStart w:id="1098" w:name="Tc_Th8pgIxOekitmPjdORXzwQ_2_5"/>
      <w:bookmarkStart w:id="1099" w:name="Tc_mnKmg-1SzU2WWtPWuTqEXw_2_2"/>
      <w:bookmarkStart w:id="1100" w:name="Tc_t38bmYGBH0OHJQUfD8_xAw_1_2"/>
      <w:bookmarkStart w:id="1101" w:name="_bda1ae8c_9d0f_4f20_971a_aadae15bf94b"/>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rFonts w:ascii="Times New Roman;Times;serif" w:hAnsi="Times New Roman;Times;serif"/>
          <w:b/>
          <w:sz w:val="20"/>
        </w:rPr>
        <w:t>NOTE 13. COMMON STOCK AND EARNINGS PER SHARE</w:t>
      </w:r>
    </w:p>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 Effective as of January 1, 2022, diluted earnings per common share also reflects the 2025 Notes (hereinafter defined) on an if-converted basis. </w:t>
      </w:r>
    </w:p>
    <w:p>
      <w:pPr>
        <w:pStyle w:val="TextBody"/>
        <w:bidi w:val="0"/>
        <w:spacing w:lineRule="auto" w:line="256"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following is a reconciliation of basic and diluted earnings per common share for each of the periods presented (in thousands, except share and per share data):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14"/>
        <w:gridCol w:w="326"/>
        <w:gridCol w:w="211"/>
        <w:gridCol w:w="1036"/>
        <w:gridCol w:w="326"/>
        <w:gridCol w:w="211"/>
        <w:gridCol w:w="1081"/>
      </w:tblGrid>
      <w:tr>
        <w:trPr/>
        <w:tc>
          <w:tcPr>
            <w:tcW w:w="70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57860" cy="175260"/>
                      <wp:effectExtent l="0" t="0" r="0" b="0"/>
                      <wp:wrapNone/>
                      <wp:docPr id="194" name="Frame1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86435" cy="175260"/>
                      <wp:effectExtent l="0" t="0" r="0" b="0"/>
                      <wp:wrapNone/>
                      <wp:docPr id="197" name="Frame19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70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2024</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2023</w:t>
            </w:r>
          </w:p>
        </w:tc>
      </w:tr>
      <w:tr>
        <w:trPr/>
        <w:tc>
          <w:tcPr>
            <w:tcW w:w="7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7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Basic EPS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r>
      <w:tr>
        <w:trPr/>
        <w:tc>
          <w:tcPr>
            <w:tcW w:w="701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Diluted EPS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r>
      <w:tr>
        <w:trPr/>
        <w:tc>
          <w:tcPr>
            <w:tcW w:w="701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7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Shares: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7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22,551,241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r>
      <w:tr>
        <w:trPr/>
        <w:tc>
          <w:tcPr>
            <w:tcW w:w="7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Applicable to Unvested Restricted Stock Using the Treasury Stock Method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701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Shares Applicable to Dilutive Effect of 2025 Notes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3,505,857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26,057,652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r>
      <w:tr>
        <w:trPr/>
        <w:tc>
          <w:tcPr>
            <w:tcW w:w="701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7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7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70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70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lineRule="auto" w:line="240" w:before="0" w:after="0"/>
              <w:jc w:val="both"/>
              <w:rPr>
                <w:rFonts w:ascii="Times New Roman;Times;serif" w:hAnsi="Times New Roman;Times;serif"/>
                <w:sz w:val="11"/>
              </w:rPr>
            </w:pPr>
            <w:r>
              <w:rPr>
                <w:rFonts w:ascii="Times New Roman;Times;serif" w:hAnsi="Times New Roman;Times;serif"/>
                <w:sz w:val="11"/>
              </w:rPr>
              <w:t>(1)</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As applicable, includes interest expense, amortization of discount, amortization of fees, and other changes in net income or loss that would result from the assumed conversion of the 2025 Convertible Senior Notes effective January 1, 2022 due to the implementation of ASU 2020-06 which requires presentation on an if-converted basis. For the three months ended March 31, 2023, a total of $0.5</w:t>
            </w:r>
            <w:r>
              <w:rPr>
                <w:rFonts w:ascii="Times New Roman;Times;serif" w:hAnsi="Times New Roman;Times;serif"/>
                <w:sz w:val="20"/>
              </w:rPr>
              <w:t xml:space="preserve"> </w:t>
            </w:r>
            <w:r>
              <w:rPr>
                <w:rFonts w:ascii="Times New Roman;Times;serif" w:hAnsi="Times New Roman;Times;serif"/>
                <w:sz w:val="16"/>
              </w:rPr>
              <w:t>million of interest was not included, as the impact of the 2025 Notes, if-converted, would have been antidilutive to net income (loss) attributable to common stockholders for the period. For the three months ended March 31, 2024, a total of $0.5</w:t>
            </w:r>
            <w:r>
              <w:rPr>
                <w:rFonts w:ascii="Times New Roman;Times;serif" w:hAnsi="Times New Roman;Times;serif"/>
                <w:sz w:val="20"/>
              </w:rPr>
              <w:t xml:space="preserve"> </w:t>
            </w:r>
            <w:r>
              <w:rPr>
                <w:rFonts w:ascii="Times New Roman;Times;serif" w:hAnsi="Times New Roman;Times;serif"/>
                <w:sz w:val="16"/>
              </w:rPr>
              <w:t>million was included as the impact to earnings per share, if-converted, would have been dilutive to net income attributable to common stockholders for the period.</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(2)</w:t>
            </w:r>
          </w:p>
        </w:tc>
        <w:tc>
          <w:tcPr>
            <w:tcW w:w="997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A total of 3.5</w:t>
            </w:r>
            <w:r>
              <w:rPr>
                <w:rFonts w:ascii="Times New Roman;Times;serif" w:hAnsi="Times New Roman;Times;serif"/>
                <w:sz w:val="20"/>
              </w:rPr>
              <w:t xml:space="preserve"> </w:t>
            </w:r>
            <w:r>
              <w:rPr>
                <w:rFonts w:ascii="Times New Roman;Times;serif" w:hAnsi="Times New Roman;Times;serif"/>
                <w:sz w:val="16"/>
              </w:rPr>
              <w:t>million shares representing the dilutive impact of the 2025 Notes, upon adoption of ASU 2020-06 effective January 1, 2022, were included in the computation of diluted net income per share attributable to common stockholders for the three months ended March 31, 2024, because they were dilutive to net income attributable to common stockholders for the period. A total of 3.2</w:t>
            </w:r>
            <w:r>
              <w:rPr>
                <w:rFonts w:ascii="Times New Roman;Times;serif" w:hAnsi="Times New Roman;Times;serif"/>
                <w:sz w:val="20"/>
              </w:rPr>
              <w:t xml:space="preserve"> </w:t>
            </w:r>
            <w:r>
              <w:rPr>
                <w:rFonts w:ascii="Times New Roman;Times;serif" w:hAnsi="Times New Roman;Times;serif"/>
                <w:sz w:val="16"/>
              </w:rPr>
              <w:t>million shares, representing the dilutive impact of the 2025 Notes, upon adoption of ASU 2020-06 effective January 1, 2022, were not included in the computation of diluted net income (loss) attributable to common stockholders for the three months ended March 31, 2023, because they were antidilutive to net income (loss) attributable to common stockholders for the period.</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There were 554 potentially dilutive shares for the three months ended March 31, 2024 and no potentially dilutive securities for the three months ended March 31, 2023 related to the Company’s restricted stock. The effect of 68,447 potentially dilutive restricted stock units were not included for the three months ended March 31, 2023, as the effect would be antidilutive.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Effective January 1, 2022, the Company adopted ASU 2020-06 whereby diluted EPS includes the dilutive impact, if any, of the 2025 Notes using the if-converted method, irrespective of intended cash settlement. The Company intends to settle its 3.875% Convertible Senior Notes due 2025 (the “2025 Notes”) in cash upon conversion with any excess conversion value to be settled in shares of our common stock. The Company elected, upon adoption, to utilize the modified retrospective approach, negating the required restatement of EPS for periods prior to adoption. The effect of 3.5 million potentially dilutive shares issuable on the conversion of the 2025 Notes, if-converted, were included for the three months ended March 31, 2024. The effect of 3.2 million potentially dilutive shares issuable on the conversion of the 2025 Notes, if-converted, were not included for the three months ended March 31, 2023, as the effect would be antidilutive. </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14. SHARE REPURCHASES</w:t>
      </w:r>
    </w:p>
    <w:p>
      <w:pPr>
        <w:pStyle w:val="TextBody"/>
        <w:bidi w:val="0"/>
        <w:spacing w:before="0" w:after="0"/>
        <w:ind w:left="0" w:right="0" w:firstLine="49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COMMON STOCK REPURCHASE PROGRAM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In February 2020, the Company’s Board approved a $10.0</w:t>
      </w:r>
      <w:r>
        <w:rPr>
          <w:rFonts w:ascii="Times New Roman;Times;serif" w:hAnsi="Times New Roman;Times;serif"/>
          <w:sz w:val="20"/>
        </w:rPr>
        <w:t xml:space="preserve"> </w:t>
      </w:r>
      <w:r>
        <w:rPr>
          <w:rFonts w:ascii="TimesNewRomanPSMT" w:hAnsi="TimesNewRomanPSMT"/>
          <w:sz w:val="20"/>
        </w:rPr>
        <w:t>million common stock repurchase program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2020, the Company repurchased 265,695</w:t>
      </w:r>
      <w:r>
        <w:rPr>
          <w:rFonts w:ascii="Times New Roman;Times;serif" w:hAnsi="Times New Roman;Times;serif"/>
          <w:sz w:val="20"/>
        </w:rPr>
        <w:t xml:space="preserve"> </w:t>
      </w:r>
      <w:r>
        <w:rPr>
          <w:rFonts w:ascii="TimesNewRomanPSMT" w:hAnsi="TimesNewRomanPSMT"/>
          <w:sz w:val="20"/>
        </w:rPr>
        <w:t>shares of its common stock on the open market for a total cost of $4.1</w:t>
      </w:r>
      <w:r>
        <w:rPr>
          <w:rFonts w:ascii="Times New Roman;Times;serif" w:hAnsi="Times New Roman;Times;serif"/>
          <w:sz w:val="20"/>
        </w:rPr>
        <w:t xml:space="preserve"> </w:t>
      </w:r>
      <w:r>
        <w:rPr>
          <w:rFonts w:ascii="TimesNewRomanPSMT" w:hAnsi="TimesNewRomanPSMT"/>
          <w:sz w:val="20"/>
        </w:rPr>
        <w:t>million, or an average price per share of $15.43. During the year ended December 31, 2021, the Company repurchased 121,659</w:t>
      </w:r>
      <w:r>
        <w:rPr>
          <w:rFonts w:ascii="Times New Roman;Times;serif" w:hAnsi="Times New Roman;Times;serif"/>
          <w:sz w:val="20"/>
        </w:rPr>
        <w:t xml:space="preserve"> </w:t>
      </w:r>
      <w:r>
        <w:rPr>
          <w:rFonts w:ascii="TimesNewRomanPSMT" w:hAnsi="TimesNewRomanPSMT"/>
          <w:sz w:val="20"/>
        </w:rPr>
        <w:t>shares of its common stock on the open market for a total cost of $2.2</w:t>
      </w:r>
      <w:r>
        <w:rPr>
          <w:rFonts w:ascii="Times New Roman;Times;serif" w:hAnsi="Times New Roman;Times;serif"/>
          <w:sz w:val="20"/>
        </w:rPr>
        <w:t xml:space="preserve"> </w:t>
      </w:r>
      <w:r>
        <w:rPr>
          <w:rFonts w:ascii="TimesNewRomanPSMT" w:hAnsi="TimesNewRomanPSMT"/>
          <w:sz w:val="20"/>
        </w:rPr>
        <w:t>million, or an average price per share of $18.16. During the year ended December 31, 2022, the Company repurchased 145,724</w:t>
      </w:r>
      <w:r>
        <w:rPr>
          <w:rFonts w:ascii="Times New Roman;Times;serif" w:hAnsi="Times New Roman;Times;serif"/>
          <w:sz w:val="20"/>
        </w:rPr>
        <w:t xml:space="preserve"> </w:t>
      </w:r>
      <w:r>
        <w:rPr>
          <w:rFonts w:ascii="TimesNewRomanPSMT" w:hAnsi="TimesNewRomanPSMT"/>
          <w:sz w:val="20"/>
        </w:rPr>
        <w:t>shares of its common stock on the open market for a total cost of $2.8</w:t>
      </w:r>
      <w:r>
        <w:rPr>
          <w:rFonts w:ascii="Times New Roman;Times;serif" w:hAnsi="Times New Roman;Times;serif"/>
          <w:sz w:val="20"/>
        </w:rPr>
        <w:t xml:space="preserve"> </w:t>
      </w:r>
      <w:r>
        <w:rPr>
          <w:rFonts w:ascii="TimesNewRomanPSMT" w:hAnsi="TimesNewRomanPSMT"/>
          <w:sz w:val="20"/>
        </w:rPr>
        <w:t>million, or an average price per share of $19.15. No</w:t>
      </w:r>
      <w:r>
        <w:rPr>
          <w:rFonts w:ascii="Times New Roman;Times;serif" w:hAnsi="Times New Roman;Times;serif"/>
          <w:sz w:val="20"/>
        </w:rPr>
        <w:t xml:space="preserve"> </w:t>
      </w:r>
      <w:r>
        <w:rPr>
          <w:rFonts w:ascii="TimesNewRomanPSMT" w:hAnsi="TimesNewRomanPSMT"/>
          <w:sz w:val="20"/>
        </w:rPr>
        <w:t>repurchases were made pursuant to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2023.</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On February 16, 2023, the Company’s Board of Directors approved a common stock repurchase program (the “February 2023 $5.0</w:t>
      </w:r>
      <w:r>
        <w:rPr>
          <w:rFonts w:ascii="Times New Roman;Times;serif" w:hAnsi="Times New Roman;Times;serif"/>
          <w:sz w:val="20"/>
        </w:rPr>
        <w:t xml:space="preserve"> </w:t>
      </w:r>
      <w:r>
        <w:rPr>
          <w:rFonts w:ascii="TimesNewRomanPSMT" w:hAnsi="TimesNewRomanPSMT"/>
          <w:sz w:val="20"/>
        </w:rPr>
        <w:t>Million Common Stock Repurchase Program”), which eliminated the unutilized portion of the $10.0</w:t>
      </w:r>
      <w:r>
        <w:rPr>
          <w:rFonts w:ascii="Times New Roman;Times;serif" w:hAnsi="Times New Roman;Times;serif"/>
          <w:sz w:val="20"/>
        </w:rPr>
        <w:t xml:space="preserve"> </w:t>
      </w:r>
      <w:r>
        <w:rPr>
          <w:rFonts w:ascii="TimesNewRomanPSMT" w:hAnsi="TimesNewRomanPSMT"/>
          <w:sz w:val="20"/>
        </w:rPr>
        <w:t>Million Common Stock Repurchase Program.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three months ended March 31, 2023, the Company repurchased 303,354</w:t>
      </w:r>
      <w:r>
        <w:rPr>
          <w:rFonts w:ascii="Times New Roman;Times;serif" w:hAnsi="Times New Roman;Times;serif"/>
          <w:sz w:val="20"/>
        </w:rPr>
        <w:t xml:space="preserve"> </w:t>
      </w:r>
      <w:r>
        <w:rPr>
          <w:rFonts w:ascii="TimesNewRomanPSMT" w:hAnsi="TimesNewRomanPSMT"/>
          <w:sz w:val="20"/>
        </w:rPr>
        <w:t>shares of its common stock on the open market for a total cost of $5.0</w:t>
      </w:r>
      <w:r>
        <w:rPr>
          <w:rFonts w:ascii="Times New Roman;Times;serif" w:hAnsi="Times New Roman;Times;serif"/>
          <w:sz w:val="20"/>
        </w:rPr>
        <w:t xml:space="preserve"> </w:t>
      </w:r>
      <w:r>
        <w:rPr>
          <w:rFonts w:ascii="TimesNewRomanPSMT" w:hAnsi="TimesNewRomanPSMT"/>
          <w:sz w:val="20"/>
        </w:rPr>
        <w:t>million, or an average price per share of $16.48,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w:t>
      </w:r>
      <w:r>
        <w:rPr>
          <w:rFonts w:ascii="Times New Roman;Times;serif" w:hAnsi="Times New Roman;Times;serif"/>
          <w:sz w:val="20"/>
        </w:rPr>
        <w:t xml:space="preserve">. Accordingly, as of </w:t>
      </w:r>
      <w:r>
        <w:rPr>
          <w:rFonts w:ascii="TimesNewRomanPSMT" w:hAnsi="TimesNewRomanPSMT"/>
          <w:sz w:val="20"/>
        </w:rPr>
        <w:t>March 31</w:t>
      </w:r>
      <w:r>
        <w:rPr>
          <w:rFonts w:ascii="Times New Roman;Times;serif" w:hAnsi="Times New Roman;Times;serif"/>
          <w:sz w:val="20"/>
        </w:rPr>
        <w:t>, 2023, no shares of the Company’s common stock remained available for repurchase under the February 2023 $5.0 Million Common Stock Repurchase Program.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April 25, 2023, the Company’s Board of Directors approved a common stock repurchase program, </w:t>
      </w:r>
      <w:r>
        <w:rPr>
          <w:rFonts w:ascii="TimesNewRomanPSMT" w:hAnsi="TimesNewRomanPSMT"/>
          <w:sz w:val="20"/>
        </w:rPr>
        <w:t>(the “April 2023 $5.0</w:t>
      </w:r>
      <w:r>
        <w:rPr>
          <w:rFonts w:ascii="Times New Roman;Times;serif" w:hAnsi="Times New Roman;Times;serif"/>
          <w:sz w:val="20"/>
        </w:rPr>
        <w:t xml:space="preserve"> </w:t>
      </w:r>
      <w:r>
        <w:rPr>
          <w:rFonts w:ascii="TimesNewRomanPSMT" w:hAnsi="TimesNewRomanPSMT"/>
          <w:sz w:val="20"/>
        </w:rPr>
        <w:t>Million Common Stock Repurchase Program”). Pursuant to the April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year ended December 31, 2023, the Company repurchased  62,015</w:t>
      </w:r>
      <w:r>
        <w:rPr>
          <w:rFonts w:ascii="Times New Roman;Times;serif" w:hAnsi="Times New Roman;Times;serif"/>
          <w:sz w:val="20"/>
        </w:rPr>
        <w:t xml:space="preserve"> </w:t>
      </w:r>
      <w:r>
        <w:rPr>
          <w:rFonts w:ascii="TimesNewRomanPSMT" w:hAnsi="TimesNewRomanPSMT"/>
          <w:sz w:val="20"/>
        </w:rPr>
        <w:t>shares of its common stock on the open market for a total cost of $1.0</w:t>
      </w:r>
      <w:r>
        <w:rPr>
          <w:rFonts w:ascii="Times New Roman;Times;serif" w:hAnsi="Times New Roman;Times;serif"/>
          <w:sz w:val="20"/>
        </w:rPr>
        <w:t xml:space="preserve"> </w:t>
      </w:r>
      <w:r>
        <w:rPr>
          <w:rFonts w:ascii="TimesNewRomanPSMT" w:hAnsi="TimesNewRomanPSMT"/>
          <w:sz w:val="20"/>
        </w:rPr>
        <w:t>million, or an average price per share of $15.72. The April 2023 $5.0</w:t>
      </w:r>
      <w:r>
        <w:rPr>
          <w:rFonts w:ascii="Times New Roman;Times;serif" w:hAnsi="Times New Roman;Times;serif"/>
          <w:sz w:val="20"/>
        </w:rPr>
        <w:t xml:space="preserve"> </w:t>
      </w:r>
      <w:r>
        <w:rPr>
          <w:rFonts w:ascii="TimesNewRomanPSMT" w:hAnsi="TimesNewRomanPSMT"/>
          <w:sz w:val="20"/>
        </w:rPr>
        <w:t>Million Common Stock Repurchase Program was terminated in connection with the establishment of the December 2023 $5.0</w:t>
      </w:r>
      <w:r>
        <w:rPr>
          <w:rFonts w:ascii="Times New Roman;Times;serif" w:hAnsi="Times New Roman;Times;serif"/>
          <w:sz w:val="20"/>
        </w:rPr>
        <w:t xml:space="preserve"> </w:t>
      </w:r>
      <w:r>
        <w:rPr>
          <w:rFonts w:ascii="TimesNewRomanPSMT" w:hAnsi="TimesNewRomanPSMT"/>
          <w:sz w:val="20"/>
        </w:rPr>
        <w:t xml:space="preserve">Million Common Stock Repurchase Program (hereinafter defined). </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December 12, 2023, the Company’s Board of Directors approved a common stock repurchase program, which is </w:t>
      </w:r>
      <w:r>
        <w:rPr>
          <w:rFonts w:ascii="TimesNewRomanPSMT" w:hAnsi="TimesNewRomanPSMT"/>
          <w:sz w:val="20"/>
        </w:rPr>
        <w:t>expected to be in effect until the approved dollar amount has been used to repurchase shares (the “December 2023 $5.0</w:t>
      </w:r>
      <w:r>
        <w:rPr>
          <w:rFonts w:ascii="Times New Roman;Times;serif" w:hAnsi="Times New Roman;Times;serif"/>
          <w:sz w:val="20"/>
        </w:rPr>
        <w:t xml:space="preserve"> </w:t>
      </w:r>
      <w:r>
        <w:rPr>
          <w:rFonts w:ascii="TimesNewRomanPSMT" w:hAnsi="TimesNewRomanPSMT"/>
          <w:sz w:val="20"/>
        </w:rPr>
        <w:t>Million Common Stock Repurchase Program”). 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the Company may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Shares may be purchased under the December 2023 $5.0</w:t>
      </w:r>
      <w:r>
        <w:rPr>
          <w:rFonts w:ascii="Times New Roman;Times;serif" w:hAnsi="Times New Roman;Times;serif"/>
          <w:sz w:val="20"/>
        </w:rPr>
        <w:t xml:space="preserve"> </w:t>
      </w:r>
      <w:r>
        <w:rPr>
          <w:rFonts w:ascii="TimesNewRomanPSMT" w:hAnsi="TimesNewRomanPSMT"/>
          <w:sz w:val="20"/>
        </w:rPr>
        <w:t>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December 2023 $5.0</w:t>
      </w:r>
      <w:r>
        <w:rPr>
          <w:rFonts w:ascii="Times New Roman;Times;serif" w:hAnsi="Times New Roman;Times;serif"/>
          <w:sz w:val="20"/>
        </w:rPr>
        <w:t xml:space="preserve"> </w:t>
      </w:r>
      <w:r>
        <w:rPr>
          <w:rFonts w:ascii="TimesNewRomanPSMT" w:hAnsi="TimesNewRomanPSMT"/>
          <w:sz w:val="20"/>
        </w:rPr>
        <w:t>Million Common Stock Repurchase Program does not obligate the Company to acquire any particular amount of shares of its common stock and may be modified or suspended. During the three months ended March 31, 2024, the Company repurchased 40,726</w:t>
      </w:r>
      <w:r>
        <w:rPr>
          <w:rFonts w:ascii="Times New Roman;Times;serif" w:hAnsi="Times New Roman;Times;serif"/>
          <w:sz w:val="20"/>
        </w:rPr>
        <w:t xml:space="preserve"> </w:t>
      </w:r>
      <w:r>
        <w:rPr>
          <w:rFonts w:ascii="TimesNewRomanPSMT" w:hAnsi="TimesNewRomanPSMT"/>
          <w:sz w:val="20"/>
        </w:rPr>
        <w:t>shares of its common stock on the open market for a total cost of $0.7</w:t>
      </w:r>
      <w:r>
        <w:rPr>
          <w:rFonts w:ascii="Times New Roman;Times;serif" w:hAnsi="Times New Roman;Times;serif"/>
          <w:sz w:val="20"/>
        </w:rPr>
        <w:t xml:space="preserve"> </w:t>
      </w:r>
      <w:r>
        <w:rPr>
          <w:rFonts w:ascii="TimesNewRomanPSMT" w:hAnsi="TimesNewRomanPSMT"/>
          <w:sz w:val="20"/>
        </w:rPr>
        <w:t>million, or an average price per share of $16.28, 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leaving $4.3</w:t>
      </w:r>
      <w:r>
        <w:rPr>
          <w:rFonts w:ascii="Times New Roman;Times;serif" w:hAnsi="Times New Roman;Times;serif"/>
          <w:sz w:val="20"/>
        </w:rPr>
        <w:t xml:space="preserve"> </w:t>
      </w:r>
      <w:r>
        <w:rPr>
          <w:rFonts w:ascii="TimesNewRomanPSMT" w:hAnsi="TimesNewRomanPSMT"/>
          <w:sz w:val="20"/>
        </w:rPr>
        <w:t>million remaining of the December 2023 $5.0</w:t>
      </w:r>
      <w:r>
        <w:rPr>
          <w:rFonts w:ascii="Times New Roman;Times;serif" w:hAnsi="Times New Roman;Times;serif"/>
          <w:sz w:val="20"/>
        </w:rPr>
        <w:t xml:space="preserve"> </w:t>
      </w:r>
      <w:r>
        <w:rPr>
          <w:rFonts w:ascii="TimesNewRomanPSMT" w:hAnsi="TimesNewRomanPSMT"/>
          <w:sz w:val="20"/>
        </w:rPr>
        <w:t>Million Common Stock Repurchase Program as of March 31, 2024.</w:t>
      </w:r>
    </w:p>
    <w:p>
      <w:pPr>
        <w:pStyle w:val="TextBody"/>
        <w:bidi w:val="0"/>
        <w:spacing w:before="0" w:after="0"/>
        <w:ind w:left="0" w:right="0" w:firstLine="49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SERIES A PREFERRED STOCK REPURCHASE PROGRAM</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The Company did not purchase any shares of its Series A Preferred Stock under the Series A Preferred Stock Repurchase Program during the three months ended March 31, 2024 and 2023. </w:t>
      </w:r>
    </w:p>
    <w:p>
      <w:pPr>
        <w:pStyle w:val="TextBody"/>
        <w:bidi w:val="0"/>
        <w:spacing w:before="280" w:after="0"/>
        <w:ind w:left="0" w:right="0" w:hanging="0"/>
        <w:jc w:val="both"/>
        <w:rPr>
          <w:rFonts w:ascii="Times New Roman;Times;serif" w:hAnsi="Times New Roman;Times;serif"/>
          <w:b/>
          <w:sz w:val="20"/>
        </w:rPr>
      </w:pPr>
      <w:bookmarkStart w:id="1102" w:name="MORTGAGE_NOTES_PAYABLE"/>
      <w:bookmarkStart w:id="1103" w:name="CREDIT_FACILITY"/>
      <w:bookmarkStart w:id="1104" w:name="Tc_Hg04aCqOc0Sk6d0Km1_pgw_8_2"/>
      <w:bookmarkStart w:id="1105" w:name="Tc_tJAHFDig7kqHx9E5vqA-PQ_8_0"/>
      <w:bookmarkStart w:id="1106" w:name="Tc_Wj6qKkwCOkuRrRSULovmUA_7_5"/>
      <w:bookmarkStart w:id="1107" w:name="Tc_ahgA5gDKuE6zP_MoXfHA8w_7_0"/>
      <w:bookmarkStart w:id="1108" w:name="Tc_33q9L31fy0ON-3-r0YPmQQ_6_5"/>
      <w:bookmarkStart w:id="1109" w:name="Tc_XBt620ZlpUKSG4K9426K3A_6_0"/>
      <w:bookmarkStart w:id="1110" w:name="Tc_HZFAciEEBke8eKlHiU2xjQ_5_9"/>
      <w:bookmarkStart w:id="1111" w:name="Tc_cKPXiy_NTkeAJ2_weqsWlw_5_5"/>
      <w:bookmarkStart w:id="1112" w:name="Tc_i0thvxkEDEqHgTeKGqWq8A_5_0"/>
      <w:bookmarkStart w:id="1113" w:name="Tc_j-o5X-a4xkKBFA2A-HhUtA_4_9"/>
      <w:bookmarkStart w:id="1114" w:name="Tc_j3wh-nwWdkurOIuI4eqzTw_4_5"/>
      <w:bookmarkStart w:id="1115" w:name="Tc_mGDG7fcUq0eGJhJldK_vGA_4_0"/>
      <w:bookmarkStart w:id="1116" w:name="Tc_Kq95lk8NVUe9yh-Dta0gMw_3_9"/>
      <w:bookmarkStart w:id="1117" w:name="Tc_JNigOPRJMU-rPeq7TU6omw_3_5"/>
      <w:bookmarkStart w:id="1118" w:name="Tc_JWZZe3AH20SbQeA6asdnWw_3_0"/>
      <w:bookmarkStart w:id="1119" w:name="Tc_m1vw3RnxC0KzIdX-TWuQXQ_2_9"/>
      <w:bookmarkStart w:id="1120" w:name="Tc_iUwtx4zd30uo2DIiywaNBQ_2_5"/>
      <w:bookmarkStart w:id="1121" w:name="Tc_uNzMTrJgYEqi9au12Flxyg_2_2"/>
      <w:bookmarkStart w:id="1122" w:name="Tc_PKZSxMGV2EavJjpbU83OVQ_2_0"/>
      <w:bookmarkStart w:id="1123" w:name="Tc_nPvpMlmlpES6cmzeUpQxhg_1_8"/>
      <w:bookmarkStart w:id="1124" w:name="Tc_v1rcVsHNVEGS6tR9jl1jCA_1_5"/>
      <w:bookmarkStart w:id="1125" w:name="Tc_w9AzzeOI6EKfpitF-AyqPg_1_2"/>
      <w:bookmarkStart w:id="1126" w:name="_79e4c11c_a6a9_439e_bf78_3dc80c747fd3"/>
      <w:bookmarkStart w:id="1127" w:name="LT_DEBT"/>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b/>
          <w:sz w:val="20"/>
        </w:rPr>
        <w:t>NOTE 15. LONG-TERM DEBT</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March 31, 2024, the Company’s outstanding indebtedness, at face value, was as follows (in thousands):</w:t>
      </w:r>
    </w:p>
    <w:tbl>
      <w:tblPr>
        <w:tblW w:w="8859" w:type="dxa"/>
        <w:jc w:val="left"/>
        <w:tblInd w:w="0" w:type="dxa"/>
        <w:tblLayout w:type="fixed"/>
        <w:tblCellMar>
          <w:top w:w="0" w:type="dxa"/>
          <w:left w:w="0" w:type="dxa"/>
          <w:bottom w:w="0" w:type="dxa"/>
          <w:right w:w="0" w:type="dxa"/>
        </w:tblCellMar>
      </w:tblPr>
      <w:tblGrid>
        <w:gridCol w:w="3661"/>
        <w:gridCol w:w="326"/>
        <w:gridCol w:w="316"/>
        <w:gridCol w:w="1169"/>
        <w:gridCol w:w="326"/>
        <w:gridCol w:w="652"/>
        <w:gridCol w:w="653"/>
        <w:gridCol w:w="146"/>
        <w:gridCol w:w="109"/>
        <w:gridCol w:w="150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324735" cy="175260"/>
                      <wp:effectExtent l="0" t="0" r="0" b="0"/>
                      <wp:wrapNone/>
                      <wp:docPr id="198" name="Frame198"/>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0660" cy="175260"/>
                      <wp:effectExtent l="0" t="0" r="0" b="0"/>
                      <wp:wrapNone/>
                      <wp:docPr id="200" name="Frame2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42315" cy="175260"/>
                      <wp:effectExtent l="0" t="0" r="0" b="0"/>
                      <wp:wrapNone/>
                      <wp:docPr id="201" name="Frame201"/>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14020" cy="175260"/>
                      <wp:effectExtent l="0" t="0" r="0" b="0"/>
                      <wp:wrapNone/>
                      <wp:docPr id="203" name="Frame203"/>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14655" cy="175260"/>
                      <wp:effectExtent l="0" t="0" r="0" b="0"/>
                      <wp:wrapNone/>
                      <wp:docPr id="204" name="Frame204"/>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2710" cy="175260"/>
                      <wp:effectExtent l="0" t="0" r="0" b="0"/>
                      <wp:wrapNone/>
                      <wp:docPr id="205" name="Frame2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53135" cy="175260"/>
                      <wp:effectExtent l="0" t="0" r="0" b="0"/>
                      <wp:wrapNone/>
                      <wp:docPr id="207" name="Frame20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c>
          <w:tcPr>
            <w:tcW w:w="146" w:type="dxa"/>
            <w:tcBorders/>
            <w:vAlign w:val="center"/>
          </w:tcPr>
          <w:p>
            <w:pPr>
              <w:pStyle w:val="TableContents"/>
              <w:bidi w:val="0"/>
              <w:spacing w:before="0" w:after="0"/>
              <w:ind w:left="0" w:right="0" w:hanging="0"/>
              <w:jc w:val="left"/>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r>
      <w:tr>
        <w:trPr/>
        <w:tc>
          <w:tcPr>
            <w:tcW w:w="36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 xml:space="preserve">(1) </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209,500</w:t>
            </w:r>
          </w:p>
        </w:tc>
        <w:tc>
          <w:tcPr>
            <w:tcW w:w="326" w:type="dxa"/>
            <w:tcBorders/>
            <w:shd w:fill="CCEEFF" w:val="clear"/>
            <w:vAlign w:val="center"/>
          </w:tcPr>
          <w:p>
            <w:pPr>
              <w:pStyle w:val="TableContents"/>
              <w:bidi w:val="0"/>
              <w:spacing w:before="0" w:after="0"/>
              <w:ind w:left="0" w:right="0" w:hanging="0"/>
              <w:jc w:val="left"/>
              <w:rPr/>
            </w:pPr>
            <w:r>
              <w:rPr/>
              <w:t>​</w:t>
            </w:r>
          </w:p>
        </w:tc>
        <w:tc>
          <w:tcPr>
            <w:tcW w:w="130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 xml:space="preserve">(2) </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 xml:space="preserve">(3) </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130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r>
      <w:tr>
        <w:trPr/>
        <w:tc>
          <w:tcPr>
            <w:tcW w:w="36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2028 Term Loan </w:t>
            </w:r>
            <w:r>
              <w:rPr>
                <w:rFonts w:ascii="Times New Roman;Times;serif" w:hAnsi="Times New Roman;Times;serif"/>
                <w:sz w:val="15"/>
              </w:rPr>
              <w:t xml:space="preserve">(4) </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2028</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[1.20% - 2.15%]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3.875% Convertible Senior Notes due 2025</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51,034</w:t>
            </w:r>
          </w:p>
        </w:tc>
        <w:tc>
          <w:tcPr>
            <w:tcW w:w="326" w:type="dxa"/>
            <w:tcBorders/>
            <w:shd w:fill="CCEEFF" w:val="clear"/>
            <w:vAlign w:val="center"/>
          </w:tcPr>
          <w:p>
            <w:pPr>
              <w:pStyle w:val="TableContents"/>
              <w:bidi w:val="0"/>
              <w:spacing w:before="0" w:after="0"/>
              <w:ind w:left="0" w:right="0" w:hanging="0"/>
              <w:jc w:val="left"/>
              <w:rPr/>
            </w:pPr>
            <w:r>
              <w:rPr/>
              <w:t>​</w:t>
            </w:r>
          </w:p>
        </w:tc>
        <w:tc>
          <w:tcPr>
            <w:tcW w:w="130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3.875%</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326"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4.060%</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Face Value Debt</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543,334</w:t>
            </w:r>
          </w:p>
        </w:tc>
        <w:tc>
          <w:tcPr>
            <w:tcW w:w="326"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(1)</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$150.0</w:t>
            </w:r>
            <w:r>
              <w:rPr>
                <w:rFonts w:ascii="Times New Roman;Times;serif" w:hAnsi="Times New Roman;Times;serif"/>
                <w:sz w:val="20"/>
              </w:rPr>
              <w:t xml:space="preserve"> </w:t>
            </w:r>
            <w:r>
              <w:rPr>
                <w:rFonts w:ascii="Times New Roman;Times;serif" w:hAnsi="Times New Roman;Times;serif"/>
                <w:sz w:val="16"/>
              </w:rPr>
              <w:t>million of the Credit Facility balance to fix SOFR and achieve a weighted average fixed swap rate of 3.47%</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p>
      <w:pPr>
        <w:pStyle w:val="TextBody"/>
        <w:pBdr/>
        <w:bidi w:val="0"/>
        <w:spacing w:lineRule="auto" w:line="240" w:before="0" w:after="0"/>
        <w:ind w:left="0" w:right="0" w:hanging="360"/>
        <w:jc w:val="both"/>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Company utilized interest rate swaps on the $65.0 million 2026 Term Loan balance to fix SOFR and achieve a weighted average fixed swap rate of 1.27% plus the 10 bps SOFR adjustment plus the applicable spread.</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(3)</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2027 Term Loan balance to fix SOFR and achieve a fixed swap rate of 1.35%</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(4)</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2028 Term Loan balance to fix SOFR and achieve a weighted average fixed swap rate of 3.78%</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p>
      <w:pPr>
        <w:pStyle w:val="TextBody"/>
        <w:pBdr/>
        <w:bidi w:val="0"/>
        <w:spacing w:before="0" w:after="0"/>
        <w:ind w:left="0" w:right="0" w:hanging="360"/>
        <w:jc w:val="both"/>
        <w:rPr/>
      </w:pPr>
      <w:r>
        <w:rPr/>
        <w:t> </w:t>
      </w:r>
    </w:p>
    <w:p>
      <w:pPr>
        <w:pStyle w:val="TextBody"/>
        <w:bidi w:val="0"/>
        <w:spacing w:before="220" w:after="0"/>
        <w:ind w:left="0" w:right="0" w:firstLine="490"/>
        <w:jc w:val="both"/>
        <w:rPr>
          <w:rFonts w:ascii="Times New Roman;Times;serif" w:hAnsi="Times New Roman;Times;serif"/>
          <w:sz w:val="20"/>
        </w:rPr>
      </w:pPr>
      <w:r>
        <w:rPr>
          <w:rFonts w:ascii="Times New Roman;Times;serif" w:hAnsi="Times New Roman;Times;serif"/>
          <w:i/>
          <w:sz w:val="20"/>
        </w:rPr>
        <w:t xml:space="preserve">Credit Facility. </w:t>
      </w:r>
      <w:r>
        <w:rPr>
          <w:rFonts w:ascii="Times New Roman;Times;serif" w:hAnsi="Times New Roman;Times;serif"/>
          <w:sz w:val="20"/>
        </w:rPr>
        <w:t xml:space="preserve">The Credit Facility, with Bank of Montreal (“BMO”) as the administrative agent for the lenders 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Amendment and the Eighth Amendment, both as defined below, </w:t>
      </w:r>
      <w:r>
        <w:rPr>
          <w:rFonts w:ascii="Times New Roman;Times;serif" w:hAnsi="Times New Roman;Times;serif"/>
          <w:sz w:val="20"/>
          <w:shd w:fill="FFFFFF" w:val="clear"/>
        </w:rPr>
        <w:t>The Huntington National Bank, PNC Bank, National Association, and Regions Bank, were added as lenders to the Company’s Credit Facility.</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July 1, 2020, the Company entered into the fourth amendment to the 2017 Amended Credit Facility (the “July 2020 Revolver Amendment”) whereby the tangible net worth covenant was adjusted to be more reflective of market terms. The July 2020 Revolver Amendment was effective as of March 31, 2020.</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November 12, 2020, the Company entered into the fifth amendment to the 2017 Amended Credit Facility (the “November 2020 Revolver Amendment”).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 </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bookmarkStart w:id="1128" w:name="CONVERTIBLE_DEBT"/>
      <w:bookmarkEnd w:id="1128"/>
      <w:r>
        <w:rPr>
          <w:rFonts w:ascii="Times New Roman;Times;serif" w:hAnsi="Times New Roman;Times;serif"/>
          <w:sz w:val="20"/>
        </w:rPr>
        <w:t>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pStyle w:val="TextBody"/>
        <w:shd w:fill="FFFFFF" w:val="clear"/>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On December 20, 2023, the Company entered into the ninth amendment to the 2017 Amended Credit Facility (the “Ninth Amendment”), which revises certain non-monetary limitations as described in more detail in the Ninth Amendment.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At March 31, 2024, the current commitment level under the Credit Facility was $300.0 million, and the undrawn commitment under the Credit Facility totaled $90.5 million. As of March 31, 2024, the Credit Facility had a $209.5 million balance outstanding.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Mortgage Notes Payable</w:t>
      </w:r>
      <w:r>
        <w:rPr>
          <w:rFonts w:ascii="Times New Roman;Times;serif" w:hAnsi="Times New Roman;Times;serif"/>
          <w:sz w:val="20"/>
        </w:rPr>
        <w:t xml:space="preserve">. </w:t>
      </w:r>
      <w:r>
        <w:rPr>
          <w:rFonts w:ascii="Times New Roman;Times;serif" w:hAnsi="Times New Roman;Times;serif"/>
          <w:sz w:val="20"/>
          <w:shd w:fill="FFFFFF" w:val="clear"/>
        </w:rPr>
        <w:t>On March 3, 2022, in connection with the acquisition of Price Plaza Shopping Center, the Company assumed an existing $17.8 million secured fixed-rate mortgage note payable, which bears interest at a fixed rate of 4.06% and matures in August 2026.</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Convertible Debt</w:t>
      </w:r>
      <w:r>
        <w:rPr>
          <w:rFonts w:ascii="Times New Roman;Times;serif" w:hAnsi="Times New Roman;Times;serif"/>
          <w:sz w:val="20"/>
        </w:rPr>
        <w:t>. The Company had an initial aggregate principal amount of $75.0 million of 3.875% Convertible Notes  (the “2025 Notes”). 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Following these repurchases, $51.0 million aggregate principal amount of the 2025 Notes remains outstanding at March 31, 2024.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The 2025 Notes Repurchase Program does not obligate the Company to acquire any particular amount of 2025 Notes and may be modified or suspended. The Company was not active under the 2025 Notes Repurchase Program during the three months ended March 31, 2024 and 2023.</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first quarter 2024 dividend, the conversion rate is equal to 68.6965 shares of common stock for each $1,000 principal amount of 2025 Notes, which represents an adjusted conversion price of $14.56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conversion rate is subject to adjustment in certain circumstances. Holders may not surrender their 2025 Notes for conversion prior to January 15, 2025 except upon the occurrence of certain conditions relating to the closing sale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29" w:name="Narr_zf5Qe2JQB0iXhPyr7mttPA"/>
      <w:bookmarkStart w:id="1130" w:name="Tc_Fy1A1dHHBE6r3VwpyVYJpw_5_2"/>
      <w:bookmarkStart w:id="1131" w:name="Tc_0JG_7PzS9U6objI3hbAuUA_5_0"/>
      <w:bookmarkStart w:id="1132" w:name="Tc_Sg3DzXPJOEuSXuf4i_3K1A_4_0"/>
      <w:bookmarkStart w:id="1133" w:name="Tc_3e6KanwpmEiZml8yZq0PSw_3_0"/>
      <w:bookmarkStart w:id="1134" w:name="Tc_FI9GTNLbsEiL3M-f5UPrAw_2_2"/>
      <w:bookmarkStart w:id="1135" w:name="Tc_UP0ji1h0Y0emTdw0JifGFg_2_0"/>
      <w:bookmarkStart w:id="1136" w:name="Tc_49fNPfM9REWU4xihH41tnQ_1_2"/>
      <w:bookmarkStart w:id="1137" w:name="_d3676e3e_749f_44c9_8273_135a3f7b2ffe"/>
      <w:bookmarkStart w:id="1138" w:name="Tc_NEalIQvZC0O9PkLj__YcdQ_9_2"/>
      <w:bookmarkStart w:id="1139" w:name="Tc_lAZgrY-I8EGtZWY4NpiKWg_9_0"/>
      <w:bookmarkStart w:id="1140" w:name="Tc_CQi1MD8Q7UmSJJ4ygASfeA_8_3"/>
      <w:bookmarkStart w:id="1141" w:name="Tc_tCwggJKPw0Cpq8nV-K9RSw_8_0"/>
      <w:bookmarkStart w:id="1142" w:name="Tc_39ZxwM94Lk6oPNb3dA0U1g_7_3"/>
      <w:bookmarkStart w:id="1143" w:name="Tc_iMie5DDXxkCX5p4xPjIM4g_7_0"/>
      <w:bookmarkStart w:id="1144" w:name="Tc_5QOQYuA9MkG6ra8AqJIdwg_6_0"/>
      <w:bookmarkStart w:id="1145" w:name="Tc_O593Xer4M0WhX6uCI8SMZQ_5_0"/>
      <w:bookmarkStart w:id="1146" w:name="Tc_MUDLBJObwUmNjB_v75EGKg_4_0"/>
      <w:bookmarkStart w:id="1147" w:name="Tc_ADJpq4MO_UuujBHeDzHlfQ_3_0"/>
      <w:bookmarkStart w:id="1148" w:name="Tc_S7iFKPjnnEmAD5OYpub_9w_2_3"/>
      <w:bookmarkStart w:id="1149" w:name="Tc_WtgRcDtYhkSA3JLlv7Jp7Q_2_2"/>
      <w:bookmarkStart w:id="1150" w:name="Tc_q0JGYXvXvE2h15qVvnlluA_2_0"/>
      <w:bookmarkStart w:id="1151" w:name="Tc_F5BY7BYfXkakXWkGu_ysOg_1_2"/>
      <w:bookmarkStart w:id="1152" w:name="Tc_dZQnZCpWqU-X61KkomNPpA_1_0"/>
      <w:bookmarkStart w:id="1153" w:name="_8d5e61bf_559d_488e_8b34_6b453f8938ad"/>
      <w:bookmarkStart w:id="1154" w:name="Tc_S7sjg2mEIUKOUcYOA8aiAw_10_12"/>
      <w:bookmarkStart w:id="1155" w:name="Tc_AwpwMQRJWkKJgQu6xWh01A_10_11"/>
      <w:bookmarkStart w:id="1156" w:name="Tc_OrJOIc1TX0-oq4TmgWiEKQ_10_8"/>
      <w:bookmarkStart w:id="1157" w:name="Tc_YVIi_YpmSkmgCh-sCBoojg_10_6"/>
      <w:bookmarkStart w:id="1158" w:name="Tc_vbV7beWJVE6BsOopObO8PA_10_5"/>
      <w:bookmarkStart w:id="1159" w:name="Tc_Nj8_qxg9k0q2RGV1tJosXw_10_2"/>
      <w:bookmarkStart w:id="1160" w:name="Tc_tOE2VPW510uZy_L1zLoaUg_10_0"/>
      <w:bookmarkStart w:id="1161" w:name="Tc_l9PGCb7kikuuwyYVtd3y6g_9_12"/>
      <w:bookmarkStart w:id="1162" w:name="Tc_Bbaun6fZvUacpcFzc5Gf5A_9_6"/>
      <w:bookmarkStart w:id="1163" w:name="Tc_4y-_zypUsUuCQWj2WJlLBw_9_0"/>
      <w:bookmarkStart w:id="1164" w:name="Tc_7NT-XH1iUEKmOw4MosCTlg_8_12"/>
      <w:bookmarkStart w:id="1165" w:name="Tc_WEoCgrAM2kSzZss_PfrCNA_8_6"/>
      <w:bookmarkStart w:id="1166" w:name="Tc_zbIHghOfiEuiyUxbVPeGIA_8_0"/>
      <w:bookmarkStart w:id="1167" w:name="Tc_KF3fKCUfF02-4WZPCCnnhw_7_12"/>
      <w:bookmarkStart w:id="1168" w:name="Tc_EV_fw0GE6UWNiEn7wx3UyA_7_6"/>
      <w:bookmarkStart w:id="1169" w:name="Tc_B8aFPABduUqal5eJyEqmDQ_7_0"/>
      <w:bookmarkStart w:id="1170" w:name="Tc_16iVvpd0k0SMGTUSgE1zxQ_6_12"/>
      <w:bookmarkStart w:id="1171" w:name="Tc_JLh1d_dlrk2CcAO_iCclgA_6_6"/>
      <w:bookmarkStart w:id="1172" w:name="Tc_tXSBFyZVs0iG5ZZ-N2Z25Q_6_0"/>
      <w:bookmarkStart w:id="1173" w:name="Tc_BbguKLqVF0ChYzIvFhg3XA_5_12"/>
      <w:bookmarkStart w:id="1174" w:name="Tc_B35G7mpYq0WSrzkK4fghCw_5_6"/>
      <w:bookmarkStart w:id="1175" w:name="Tc_Q0IgSp-lhUuVuJ4Cdx-6oA_5_0"/>
      <w:bookmarkStart w:id="1176" w:name="Tc_uHMwAWU5YUq47_XdL9UwGQ_4_12"/>
      <w:bookmarkStart w:id="1177" w:name="Tc_ehU27AFWXkmsIQslhq-bZA_4_6"/>
      <w:bookmarkStart w:id="1178" w:name="Tc_iPH4BG_kBUOiuqr-6LZd_Q_4_0"/>
      <w:bookmarkStart w:id="1179" w:name="Tc_YwkAJ4RRykCtU16Cx0VDVg_3_12"/>
      <w:bookmarkStart w:id="1180" w:name="Tc_aqJ8HitspEOtbNhxvYD8IA_3_11"/>
      <w:bookmarkStart w:id="1181" w:name="Tc_AEd9DMnEM0yGCgoR6ELzAA_3_8"/>
      <w:bookmarkStart w:id="1182" w:name="Tc_cVS0ipKy_ku7JoOt6MltsA_3_6"/>
      <w:bookmarkStart w:id="1183" w:name="Tc_3L7QnvMYV0O3EORS2i4rzg_3_5"/>
      <w:bookmarkStart w:id="1184" w:name="Tc_M1DABNPIo0WOBbdxofIIPA_3_2"/>
      <w:bookmarkStart w:id="1185" w:name="Tc_a3tlMveS_EOa_6ikosQzLw_3_0"/>
      <w:bookmarkStart w:id="1186" w:name="Tc_B5U2USyo7UKsty4fR7MkJA_2_11"/>
      <w:bookmarkStart w:id="1187" w:name="Tc_QpID27iTSkmjn6mOHLw7WA_2_8"/>
      <w:bookmarkStart w:id="1188" w:name="Tc_t_AZKcK590ydAWr2-QVSgA_2_5"/>
      <w:bookmarkStart w:id="1189" w:name="Tc_y8nmPWZgyU68A28SZPG51Q_2_2"/>
      <w:bookmarkStart w:id="1190" w:name="Tc_T7_A0j0p7kWhCVnMwXul7A_1_8"/>
      <w:bookmarkStart w:id="1191" w:name="Tc_Ar99UnwXBEu5sQMWqhAJYQ_1_2"/>
      <w:bookmarkStart w:id="1192" w:name="_688834bc_2e5d_4b02_bc33_e41db34a27c4"/>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r>
        <w:rPr>
          <w:rFonts w:ascii="Times New Roman;Times;serif" w:hAnsi="Times New Roman;Times;serif"/>
          <w:sz w:val="20"/>
        </w:rPr>
        <w:t xml:space="preserve">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At time of issuance, in accordance with U.S. GAAP, the 2025 Notes were accounted for as a liability with a separate equity component recorded for the conversion option. The equity component was eliminated on January 1, 2022 with the 2025 Notes Adjustment.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March 31, 2024</w:t>
      </w:r>
      <w:r>
        <w:rPr>
          <w:rFonts w:ascii="Times New Roman;Times;serif" w:hAnsi="Times New Roman;Times;serif"/>
          <w:sz w:val="20"/>
          <w:shd w:fill="FFFFFF" w:val="clear"/>
        </w:rPr>
        <w:t>, the unamortized debt discount of our 2025 Notes was $0.2 million, which represents the cash component of the discount.</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Long-term debt consisted of the following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22"/>
        <w:gridCol w:w="326"/>
        <w:gridCol w:w="211"/>
        <w:gridCol w:w="781"/>
        <w:gridCol w:w="326"/>
        <w:gridCol w:w="647"/>
        <w:gridCol w:w="1067"/>
        <w:gridCol w:w="146"/>
        <w:gridCol w:w="211"/>
        <w:gridCol w:w="781"/>
        <w:gridCol w:w="326"/>
        <w:gridCol w:w="560"/>
        <w:gridCol w:w="1201"/>
      </w:tblGrid>
      <w:tr>
        <w:trPr/>
        <w:tc>
          <w:tcPr>
            <w:tcW w:w="3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95935" cy="175260"/>
                      <wp:effectExtent l="0" t="0" r="0" b="0"/>
                      <wp:wrapNone/>
                      <wp:docPr id="210" name="Frame2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10845" cy="175260"/>
                      <wp:effectExtent l="0" t="0" r="0" b="0"/>
                      <wp:wrapNone/>
                      <wp:docPr id="212" name="Frame212"/>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77545" cy="175260"/>
                      <wp:effectExtent l="0" t="0" r="0" b="0"/>
                      <wp:wrapNone/>
                      <wp:docPr id="213" name="Frame213"/>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2710" cy="175260"/>
                      <wp:effectExtent l="0" t="0" r="0" b="0"/>
                      <wp:wrapNone/>
                      <wp:docPr id="214" name="Frame2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95935" cy="175260"/>
                      <wp:effectExtent l="0" t="0" r="0" b="0"/>
                      <wp:wrapNone/>
                      <wp:docPr id="216" name="Frame2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55600" cy="175260"/>
                      <wp:effectExtent l="0" t="0" r="0" b="0"/>
                      <wp:wrapNone/>
                      <wp:docPr id="218" name="Frame218"/>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62635" cy="175260"/>
                      <wp:effectExtent l="0" t="0" r="0" b="0"/>
                      <wp:wrapNone/>
                      <wp:docPr id="219" name="Frame21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46" w:type="dxa"/>
            <w:tcBorders/>
            <w:vAlign w:val="center"/>
          </w:tcPr>
          <w:p>
            <w:pPr>
              <w:pStyle w:val="TableContents"/>
              <w:bidi w:val="0"/>
              <w:spacing w:before="0" w:after="0"/>
              <w:ind w:left="0" w:right="0" w:hanging="0"/>
              <w:jc w:val="left"/>
              <w:rPr/>
            </w:pPr>
            <w:r>
              <w:rPr/>
              <w:t>​</w:t>
            </w:r>
          </w:p>
        </w:tc>
        <w:tc>
          <w:tcPr>
            <w:tcW w:w="30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6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6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209,500</w:t>
            </w:r>
          </w:p>
        </w:tc>
        <w:tc>
          <w:tcPr>
            <w:tcW w:w="326"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163,000</w:t>
            </w:r>
          </w:p>
        </w:tc>
        <w:tc>
          <w:tcPr>
            <w:tcW w:w="326"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6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6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6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Term Loan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3.875% Convertible Senior Notes, net of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50,869</w:t>
            </w:r>
          </w:p>
        </w:tc>
        <w:tc>
          <w:tcPr>
            <w:tcW w:w="326"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50,830</w:t>
            </w:r>
          </w:p>
        </w:tc>
        <w:tc>
          <w:tcPr>
            <w:tcW w:w="326"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26" w:type="dxa"/>
            <w:tcBorders/>
            <w:shd w:fill="CCEEFF" w:val="cle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shd w:fill="CCEEFF" w:val="cle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542,020</w:t>
            </w:r>
          </w:p>
        </w:tc>
        <w:tc>
          <w:tcPr>
            <w:tcW w:w="326" w:type="dxa"/>
            <w:tcBorders/>
            <w:vAlign w:val="center"/>
          </w:tcPr>
          <w:p>
            <w:pPr>
              <w:pStyle w:val="TableContents"/>
              <w:bidi w:val="0"/>
              <w:spacing w:before="0" w:after="0"/>
              <w:ind w:left="0" w:right="0" w:hanging="0"/>
              <w:jc w:val="left"/>
              <w:rPr/>
            </w:pPr>
            <w:r>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495,370</w:t>
            </w:r>
          </w:p>
        </w:tc>
        <w:tc>
          <w:tcPr>
            <w:tcW w:w="326" w:type="dxa"/>
            <w:tcBorders/>
            <w:vAlign w:val="center"/>
          </w:tcPr>
          <w:p>
            <w:pPr>
              <w:pStyle w:val="TableContents"/>
              <w:bidi w:val="0"/>
              <w:spacing w:before="0" w:after="0"/>
              <w:ind w:left="0" w:right="0" w:hanging="0"/>
              <w:jc w:val="left"/>
              <w:rPr/>
            </w:pPr>
            <w:r>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both"/>
        <w:rPr/>
      </w:pPr>
      <w:r>
        <w:rPr/>
        <w: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Payments applicable to reduction of principal amounts as of March 31, 2024 will be required as follows (in thousands):</w:t>
      </w:r>
    </w:p>
    <w:p>
      <w:pPr>
        <w:pStyle w:val="TextBody"/>
        <w:bidi w:val="0"/>
        <w:spacing w:before="0" w:after="0"/>
        <w:ind w:left="0" w:right="0" w:firstLine="490"/>
        <w:jc w:val="both"/>
        <w:rPr/>
      </w:pPr>
      <w:r>
        <w:rPr/>
        <w:t>​</w:t>
      </w:r>
    </w:p>
    <w:tbl>
      <w:tblPr>
        <w:tblW w:w="4424" w:type="dxa"/>
        <w:jc w:val="left"/>
        <w:tblInd w:w="0" w:type="dxa"/>
        <w:tblLayout w:type="fixed"/>
        <w:tblCellMar>
          <w:top w:w="0" w:type="dxa"/>
          <w:left w:w="0" w:type="dxa"/>
          <w:bottom w:w="0" w:type="dxa"/>
          <w:right w:w="0" w:type="dxa"/>
        </w:tblCellMar>
      </w:tblPr>
      <w:tblGrid>
        <w:gridCol w:w="3001"/>
        <w:gridCol w:w="326"/>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905635" cy="175260"/>
                      <wp:effectExtent l="0" t="0" r="0" b="0"/>
                      <wp:wrapNone/>
                      <wp:docPr id="220" name="Frame22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62610" cy="175260"/>
                      <wp:effectExtent l="0" t="0" r="0" b="0"/>
                      <wp:wrapNone/>
                      <wp:docPr id="223" name="Frame2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March 31, 2024</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51,034</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309,500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543,334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long-term debt as of March 31, 2024 consisted of the following (in thousands):</w:t>
      </w:r>
    </w:p>
    <w:tbl>
      <w:tblPr>
        <w:tblW w:w="5669" w:type="dxa"/>
        <w:jc w:val="left"/>
        <w:tblInd w:w="0" w:type="dxa"/>
        <w:tblLayout w:type="fixed"/>
        <w:tblCellMar>
          <w:top w:w="0" w:type="dxa"/>
          <w:left w:w="0" w:type="dxa"/>
          <w:bottom w:w="0" w:type="dxa"/>
          <w:right w:w="0" w:type="dxa"/>
        </w:tblCellMar>
      </w:tblPr>
      <w:tblGrid>
        <w:gridCol w:w="4246"/>
        <w:gridCol w:w="326"/>
        <w:gridCol w:w="211"/>
        <w:gridCol w:w="886"/>
      </w:tblGrid>
      <w:tr>
        <w:trPr/>
        <w:tc>
          <w:tcPr>
            <w:tcW w:w="4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62610" cy="175260"/>
                      <wp:effectExtent l="0" t="0" r="0" b="0"/>
                      <wp:wrapNone/>
                      <wp:docPr id="226" name="Frame22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543,334</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Discount on Convertible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542,020</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 </w:t>
      </w:r>
    </w:p>
    <w:p>
      <w:pPr>
        <w:pStyle w:val="TextBody"/>
        <w:bidi w:val="0"/>
        <w:spacing w:before="220" w:after="240"/>
        <w:ind w:left="0" w:right="0" w:firstLine="490"/>
        <w:jc w:val="both"/>
        <w:rPr>
          <w:rFonts w:ascii="Times New Roman;Times;serif" w:hAnsi="Times New Roman;Times;serif"/>
          <w:sz w:val="20"/>
        </w:rPr>
      </w:pPr>
      <w:r>
        <w:rPr>
          <w:rFonts w:ascii="Times New Roman;Times;serif" w:hAnsi="Times New Roman;Times;serif"/>
          <w:sz w:val="20"/>
        </w:rPr>
        <w:t xml:space="preserve">In addition to the $1.1 million of financing costs, net of accumulated amortization included in the table above, as of March 31, 2024, the Company also had financing costs, net of accumulated amortization related to the Credit Facility of $1.5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bookmarkStart w:id="1193" w:name="Tc_aR_hDmH0-UihICVn5tHT9w_8_5"/>
      <w:bookmarkStart w:id="1194" w:name="Tc_moOjedSnhEexsVrXofxJWA_8_2"/>
      <w:bookmarkStart w:id="1195" w:name="Tc_86LYz2oMnUqPuj-ttQwJag_8_0"/>
      <w:bookmarkStart w:id="1196" w:name="Tc_f-L3dLZm7UuglrIOYipC3Q_6_5"/>
      <w:bookmarkStart w:id="1197" w:name="Tc_PsNyAxw1NkSMmVQTijjLCg_6_2"/>
      <w:bookmarkStart w:id="1198" w:name="Tc_Y0Ufsr9m1UWujFu7xOeFDg_6_0"/>
      <w:bookmarkStart w:id="1199" w:name="Tc_GZipTs6OaU-HdEgtcJjO1g_5_0"/>
      <w:bookmarkStart w:id="1200" w:name="Tc_kW3ghLBZzUu5pVGPE2t1Pg_4_0"/>
      <w:bookmarkStart w:id="1201" w:name="Tc_9e6UF8RSrkiSN6Vb4KwEIg_3_5"/>
      <w:bookmarkStart w:id="1202" w:name="Tc_Efk57uzTBEy0Dsrows1OQg_3_2"/>
      <w:bookmarkStart w:id="1203" w:name="Tc_O0r8r5czKECWwKYzN75qJw_3_0"/>
      <w:bookmarkStart w:id="1204" w:name="Tc_fIyDZuhXykCD7s7r_pkznw_2_5"/>
      <w:bookmarkStart w:id="1205" w:name="Tc_Po_7N04DzUKa4Gd0-CYmJQ_2_2"/>
      <w:bookmarkStart w:id="1206" w:name="Tc_TLT3NMiCLkCDDDCS8bgtMQ_1_2"/>
      <w:bookmarkStart w:id="1207" w:name="_2b934688_492b_489a_a84a_0fe197acf345"/>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r>
        <w:rPr>
          <w:rFonts w:ascii="Times New Roman;Times;serif" w:hAnsi="Times New Roman;Times;serif"/>
          <w:sz w:val="20"/>
        </w:rPr>
        <w:t>The following table reflects a summary of interest expense incurred and paid during the three months ended March 31, 2024 and 2023 (in thousands):</w:t>
      </w:r>
    </w:p>
    <w:tbl>
      <w:tblPr>
        <w:tblW w:w="7127" w:type="dxa"/>
        <w:jc w:val="left"/>
        <w:tblInd w:w="0" w:type="dxa"/>
        <w:tblLayout w:type="fixed"/>
        <w:tblCellMar>
          <w:top w:w="0" w:type="dxa"/>
          <w:left w:w="0" w:type="dxa"/>
          <w:bottom w:w="0" w:type="dxa"/>
          <w:right w:w="0" w:type="dxa"/>
        </w:tblCellMar>
      </w:tblPr>
      <w:tblGrid>
        <w:gridCol w:w="3976"/>
        <w:gridCol w:w="109"/>
        <w:gridCol w:w="388"/>
        <w:gridCol w:w="1052"/>
        <w:gridCol w:w="117"/>
        <w:gridCol w:w="352"/>
        <w:gridCol w:w="1133"/>
      </w:tblGrid>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46380" cy="175260"/>
                      <wp:effectExtent l="0" t="0" r="0" b="0"/>
                      <wp:wrapNone/>
                      <wp:docPr id="228" name="Frame22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68020" cy="175260"/>
                      <wp:effectExtent l="0" t="0" r="0" b="0"/>
                      <wp:wrapNone/>
                      <wp:docPr id="229" name="Frame229"/>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74295" cy="175260"/>
                      <wp:effectExtent l="0" t="0" r="0" b="0"/>
                      <wp:wrapNone/>
                      <wp:docPr id="230" name="Frame230"/>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3520" cy="175260"/>
                      <wp:effectExtent l="0" t="0" r="0" b="0"/>
                      <wp:wrapNone/>
                      <wp:docPr id="231" name="Frame23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19455" cy="175260"/>
                      <wp:effectExtent l="0" t="0" r="0" b="0"/>
                      <wp:wrapNone/>
                      <wp:docPr id="232" name="Frame232"/>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3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17" w:type="dxa"/>
            <w:tcBorders/>
            <w:vAlign w:val="center"/>
          </w:tcPr>
          <w:p>
            <w:pPr>
              <w:pStyle w:val="TableContents"/>
              <w:bidi w:val="0"/>
              <w:spacing w:before="0" w:after="0"/>
              <w:ind w:left="0" w:right="0" w:hanging="0"/>
              <w:jc w:val="left"/>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5,233</w:t>
            </w:r>
          </w:p>
        </w:tc>
        <w:tc>
          <w:tcPr>
            <w:tcW w:w="117"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109"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117"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Convertible Notes</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17"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5,529</w:t>
            </w:r>
          </w:p>
        </w:tc>
        <w:tc>
          <w:tcPr>
            <w:tcW w:w="117"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4,632</w:t>
            </w:r>
          </w:p>
        </w:tc>
      </w:tr>
      <w:tr>
        <w:trPr/>
        <w:tc>
          <w:tcPr>
            <w:tcW w:w="39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2" w:type="dxa"/>
            <w:tcBorders/>
            <w:shd w:fill="CCEEFF" w:val="clear"/>
            <w:vAlign w:val="center"/>
          </w:tcPr>
          <w:p>
            <w:pPr>
              <w:pStyle w:val="TableContents"/>
              <w:bidi w:val="0"/>
              <w:spacing w:before="0" w:after="0"/>
              <w:ind w:left="0" w:right="0" w:hanging="0"/>
              <w:jc w:val="left"/>
              <w:rPr/>
            </w:pPr>
            <w:r>
              <w:rPr/>
              <w:t>​</w:t>
            </w:r>
          </w:p>
        </w:tc>
        <w:tc>
          <w:tcPr>
            <w:tcW w:w="117"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33" w:type="dxa"/>
            <w:tcBorders/>
            <w:shd w:fill="CCEEFF" w:val="clear"/>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Interest Paid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w:t>
            </w:r>
          </w:p>
        </w:tc>
        <w:tc>
          <w:tcPr>
            <w:tcW w:w="117"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4,268</w:t>
            </w:r>
          </w:p>
        </w:tc>
      </w:tr>
    </w:tbl>
    <w:p>
      <w:pPr>
        <w:pStyle w:val="TextBody"/>
        <w:bidi w:val="0"/>
        <w:spacing w:before="0" w:after="0"/>
        <w:ind w:left="0" w:right="0" w:hanging="0"/>
        <w:jc w:val="left"/>
        <w:rPr/>
      </w:pPr>
      <w:r>
        <w:rPr/>
        <w:t> </w:t>
      </w:r>
    </w:p>
    <w:tbl>
      <w:tblPr>
        <w:tblW w:w="6317" w:type="dxa"/>
        <w:jc w:val="left"/>
        <w:tblInd w:w="0" w:type="dxa"/>
        <w:tblLayout w:type="fixed"/>
        <w:tblCellMar>
          <w:top w:w="0" w:type="dxa"/>
          <w:left w:w="0" w:type="dxa"/>
          <w:bottom w:w="0" w:type="dxa"/>
          <w:right w:w="0" w:type="dxa"/>
        </w:tblCellMar>
      </w:tblPr>
      <w:tblGrid>
        <w:gridCol w:w="316"/>
        <w:gridCol w:w="6001"/>
      </w:tblGrid>
      <w:tr>
        <w:trPr/>
        <w:tc>
          <w:tcPr>
            <w:tcW w:w="31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 xml:space="preserve">(1) </w:t>
            </w:r>
          </w:p>
        </w:tc>
        <w:tc>
          <w:tcPr>
            <w:tcW w:w="6001"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14"/>
              </w:rPr>
              <w:t>Includes capitalized interest of $0.1</w:t>
            </w:r>
            <w:r>
              <w:rPr>
                <w:rFonts w:ascii="Times New Roman;Times;serif" w:hAnsi="Times New Roman;Times;serif"/>
                <w:sz w:val="20"/>
              </w:rPr>
              <w:t xml:space="preserve"> </w:t>
            </w:r>
            <w:r>
              <w:rPr>
                <w:rFonts w:ascii="Times New Roman;Times;serif" w:hAnsi="Times New Roman;Times;serif"/>
                <w:sz w:val="14"/>
              </w:rPr>
              <w:t>million during the three months ended March 31, 2024 and 2023.</w:t>
            </w:r>
          </w:p>
        </w:tc>
      </w:tr>
    </w:tbl>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in compliance with all of its debt covenants as of March 31, 2024 and December 31, 2023.</w:t>
      </w:r>
    </w:p>
    <w:p>
      <w:pPr>
        <w:pStyle w:val="TextBody"/>
        <w:bidi w:val="0"/>
        <w:spacing w:before="0" w:after="0"/>
        <w:ind w:left="0" w:right="0" w:firstLine="490"/>
        <w:jc w:val="both"/>
        <w:rPr/>
      </w:pPr>
      <w:r>
        <w:rPr/>
        <w:t>​</w:t>
      </w:r>
    </w:p>
    <w:p>
      <w:pPr>
        <w:pStyle w:val="TextBody"/>
        <w:bidi w:val="0"/>
        <w:spacing w:before="0" w:after="0"/>
        <w:ind w:left="0" w:right="0" w:hanging="0"/>
        <w:jc w:val="left"/>
        <w:rPr>
          <w:rFonts w:ascii="Times New Roman;Times;serif" w:hAnsi="Times New Roman;Times;serif"/>
          <w:b/>
          <w:sz w:val="20"/>
        </w:rPr>
      </w:pPr>
      <w:bookmarkStart w:id="1208" w:name="Tc_j_dGlLvIPkqMIAK_WhyK9A_13_11"/>
      <w:bookmarkStart w:id="1209" w:name="Tc_kMTee76ZVkCBhHiz8Ot0lA_13_8"/>
      <w:bookmarkStart w:id="1210" w:name="Tc_As4qZ7xeOUiRuRgj7BtQbg_13_6"/>
      <w:bookmarkStart w:id="1211" w:name="Tc_ArurRE-r4UyZwSKUS5k4mw_13_4"/>
      <w:bookmarkStart w:id="1212" w:name="Tc_2bi4jY6CX0Sm_EREGzIYXQ_13_2"/>
      <w:bookmarkStart w:id="1213" w:name="Tc_SnabszCHXke5rXHbhOozhw_13_0"/>
      <w:bookmarkStart w:id="1214" w:name="Tc_30ObMjpGCUizjmH5-HmPYw_12_11"/>
      <w:bookmarkStart w:id="1215" w:name="Tc_vk3dXtrW7Ee5ieVMQclUOQ_12_8"/>
      <w:bookmarkStart w:id="1216" w:name="Tc_d6Jpyp4R1UyrVFuNI8XNCg_12_6"/>
      <w:bookmarkStart w:id="1217" w:name="Tc_5xJHpirvVkyc8QxsFB9XPQ_12_4"/>
      <w:bookmarkStart w:id="1218" w:name="Tc_Q0v2esGow0ibauW1aGLRmA_12_2"/>
      <w:bookmarkStart w:id="1219" w:name="Tc_McewH7p88k-I9MTUy9Hp6w_12_0"/>
      <w:bookmarkStart w:id="1220" w:name="Tc_4M4XYpjhpU2SA_UWm8ZLcA_11_11"/>
      <w:bookmarkStart w:id="1221" w:name="Tc_LiACGRcBdkCi28J5F8drxA_11_8"/>
      <w:bookmarkStart w:id="1222" w:name="Tc_HAFJOQcUzkelthaUsQNwUg_11_6"/>
      <w:bookmarkStart w:id="1223" w:name="Tc_77dnO2wFZUmYMKZrjfOl8A_11_4"/>
      <w:bookmarkStart w:id="1224" w:name="Tc_3WOZigqVX0S2IDtXdTj2rQ_11_2"/>
      <w:bookmarkStart w:id="1225" w:name="Tc_x7tk8OY_Nkai_IzJ16TmjA_11_0"/>
      <w:bookmarkStart w:id="1226" w:name="Tc_6nupGOSSAkyTjhBChRDsZA_10_11"/>
      <w:bookmarkStart w:id="1227" w:name="Tc_hk6GDpTDhUGlAXVrDPA9Uw_10_8"/>
      <w:bookmarkStart w:id="1228" w:name="Tc_fz-3vVyQgE6m_KwaoRJ04w_10_6"/>
      <w:bookmarkStart w:id="1229" w:name="Tc_f5U2w4IFp0ykscS0_WSd2w_10_4"/>
      <w:bookmarkStart w:id="1230" w:name="Tc_e5KZcWhIdkqY_ey2tKCKPg_10_2"/>
      <w:bookmarkStart w:id="1231" w:name="Tc_Bg2j3IX_IUK4XN5SOWpSXA_10_0"/>
      <w:bookmarkStart w:id="1232" w:name="Tc_bYhGeU3DeUuWkMZ0j17smg_9_11"/>
      <w:bookmarkStart w:id="1233" w:name="Tc_Vm-Ji0nP9UyaPaId-145wg_9_8"/>
      <w:bookmarkStart w:id="1234" w:name="Tc_hf82kEiOj0ePl_Zo7NIgpg_9_6"/>
      <w:bookmarkStart w:id="1235" w:name="Tc_TEVxRr6X7k6atUabkmWlgA_9_4"/>
      <w:bookmarkStart w:id="1236" w:name="Tc_G3i3gG_gv0Sy_7aeQBfigw_9_2"/>
      <w:bookmarkStart w:id="1237" w:name="Tc_7TtIE7peikyAnZ6DUbjU8A_9_0"/>
      <w:bookmarkStart w:id="1238" w:name="Tc_IVeOvnmDIkqTEJxnetOVIg_8_11"/>
      <w:bookmarkStart w:id="1239" w:name="Tc_UnEVM8FseUmPv_1P6FXq5Q_8_8"/>
      <w:bookmarkStart w:id="1240" w:name="Tc_KRl_4eVYdk-EMBOJSRHwVg_8_6"/>
      <w:bookmarkStart w:id="1241" w:name="Tc_EzivrnC-70ee7kNQogNB8w_8_4"/>
      <w:bookmarkStart w:id="1242" w:name="Tc_sTqMffLF0EWeyhWjhHugYQ_8_2"/>
      <w:bookmarkStart w:id="1243" w:name="Tc_XxwPoekGCUeMXBrEYf0dXA_8_0"/>
      <w:bookmarkStart w:id="1244" w:name="Tc_6HuYpFuv70WcTwotVeoXkQ_7_11"/>
      <w:bookmarkStart w:id="1245" w:name="Tc_bYWudFHl5kCYY5ZWOASwSA_7_8"/>
      <w:bookmarkStart w:id="1246" w:name="Tc_Hg2s2uVt9kWopnHH0DgEqw_7_6"/>
      <w:bookmarkStart w:id="1247" w:name="Tc_y0qeSQ_FIUGbmd-NQHbZww_7_4"/>
      <w:bookmarkStart w:id="1248" w:name="Tc_OYuaft9UNEK25eYSq6avnQ_7_2"/>
      <w:bookmarkStart w:id="1249" w:name="Tc_81SI177A3kCfrMgPTx5axw_7_0"/>
      <w:bookmarkStart w:id="1250" w:name="Tc_0DPJ_fA8kEK3s2cw3n7LtA_6_11"/>
      <w:bookmarkStart w:id="1251" w:name="Tc_qE2XoX4360mDqRRCUZ-iUg_6_8"/>
      <w:bookmarkStart w:id="1252" w:name="Tc_SoxeEXwx0UGzGUXuNrOarQ_6_6"/>
      <w:bookmarkStart w:id="1253" w:name="Tc_ALipmgMh4ESDPxStOcqubQ_6_4"/>
      <w:bookmarkStart w:id="1254" w:name="Tc_xmDoglQKlkqpLmuFd5sOGA_6_2"/>
      <w:bookmarkStart w:id="1255" w:name="Tc_9TKRR52GFEqB_WTSBnjIoQ_6_0"/>
      <w:bookmarkStart w:id="1256" w:name="Tc_49nx3ZQ3ZkWsqpPE94EdPA_5_11"/>
      <w:bookmarkStart w:id="1257" w:name="Tc_31I0WiwK5EK2WNKl5N5R0A_5_8"/>
      <w:bookmarkStart w:id="1258" w:name="Tc_re1-tbwY80SSFr8fOhNl_A_5_6"/>
      <w:bookmarkStart w:id="1259" w:name="Tc_oTtGKGieXkumjiElShfPLg_5_4"/>
      <w:bookmarkStart w:id="1260" w:name="Tc_4ukxlggP8UaREYDZCLgVPA_5_2"/>
      <w:bookmarkStart w:id="1261" w:name="Tc_X5GMo0kyKU-nV3VrIPCoNg_5_0"/>
      <w:bookmarkStart w:id="1262" w:name="Tc_jiXTLkADxUqDTP52TasebQ_4_11"/>
      <w:bookmarkStart w:id="1263" w:name="Tc_0DVW4vqzrkOOfz0KkkdKPA_4_8"/>
      <w:bookmarkStart w:id="1264" w:name="Tc_nBFqoM4ziE-mTnbBAKiCHw_4_6"/>
      <w:bookmarkStart w:id="1265" w:name="Tc_PTDj41dmTUiH3eZBRQGZOw_4_4"/>
      <w:bookmarkStart w:id="1266" w:name="Tc_osEsu6rH_0uJXQxlJ_RHBA_4_2"/>
      <w:bookmarkStart w:id="1267" w:name="Tc_oZWyTSsbmE6NLLGpBH7FdQ_4_0"/>
      <w:bookmarkStart w:id="1268" w:name="Tc_I4r-TcjiKUGEgbrzBI598w_3_11"/>
      <w:bookmarkStart w:id="1269" w:name="Tc_C8OD8SmAqkOztFH_SxyxSg_3_8"/>
      <w:bookmarkStart w:id="1270" w:name="Tc_D9t577w_zESms2njKkJ8jw_3_6"/>
      <w:bookmarkStart w:id="1271" w:name="Tc_ly67fNweUkOIZdJqN_z5lQ_3_4"/>
      <w:bookmarkStart w:id="1272" w:name="Tc_OdyO-htU0EGJx5955xBQkQ_3_2"/>
      <w:bookmarkStart w:id="1273" w:name="Tc_I0u0-93JC02igkXnPOrQ7Q_3_0"/>
      <w:bookmarkStart w:id="1274" w:name="Tc_SylRsPKikka25-Jat53i7Q_2_11"/>
      <w:bookmarkStart w:id="1275" w:name="Tc_FMSFmrkte0O5BDh_jwO3rQ_2_8"/>
      <w:bookmarkStart w:id="1276" w:name="Tc_6WZIV4lM7Ue3QyhvDnwytg_2_6"/>
      <w:bookmarkStart w:id="1277" w:name="Tc_q8Jg_m8_7kiaFjIzGZDRCg_2_4"/>
      <w:bookmarkStart w:id="1278" w:name="Tc__4nBBQyoP0iFqZB5WIrP6Q_2_2"/>
      <w:bookmarkStart w:id="1279" w:name="Tc_nRNorBLZPkaTwMJaJxO3xg_2_0"/>
      <w:bookmarkStart w:id="1280" w:name="Tc_X3zTVW-rgkOp94Qjs2Dnvg_1_11"/>
      <w:bookmarkStart w:id="1281" w:name="Tc_qclAFE_tjk6UjHIQFNJqEg_1_8"/>
      <w:bookmarkStart w:id="1282" w:name="Tc_e3f7Z12bwkm9Yz54ayQ2AQ_1_6"/>
      <w:bookmarkStart w:id="1283" w:name="Tc_PV4rhuFKUU2bGdKtGlf5zQ_1_4"/>
      <w:bookmarkStart w:id="1284" w:name="Tc_v4UiPm4Osk2ahdx23hqXOQ_1_2"/>
      <w:bookmarkStart w:id="1285" w:name="Tc_NeXIVhulmUClKiSTKftclg_1_0"/>
      <w:bookmarkStart w:id="1286" w:name="_605493b2_0b12_4c3f_b08b_34679f131bad"/>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r>
        <w:rPr>
          <w:rFonts w:ascii="Times New Roman;Times;serif" w:hAnsi="Times New Roman;Times;serif"/>
          <w:b/>
          <w:sz w:val="20"/>
        </w:rPr>
        <w:t>NOTE 16. INTEREST RATE SWAPS</w:t>
      </w:r>
    </w:p>
    <w:p>
      <w:pPr>
        <w:pStyle w:val="TextBody"/>
        <w:bidi w:val="0"/>
        <w:spacing w:before="280" w:after="120"/>
        <w:ind w:left="0" w:right="0" w:firstLine="547"/>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three months ended March 31, 2024 and 2023. Accordingly, the changes in fair value on the interest rate swaps have been classified in accumulated other comprehensive income. The fair value of the interest rate swap agreements are included in </w:t>
      </w:r>
      <w:r>
        <w:rPr>
          <w:rFonts w:ascii="Times New Roman;Times;serif" w:hAnsi="Times New Roman;Times;serif"/>
          <w:b w:val="false"/>
          <w:i w:val="false"/>
          <w:caps w:val="false"/>
          <w:smallCaps w:val="false"/>
          <w:sz w:val="20"/>
        </w:rPr>
        <w:t>other assets</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accrued and other liabilities</w:t>
      </w:r>
      <w:r>
        <w:rPr>
          <w:rFonts w:ascii="Times New Roman;Times;serif" w:hAnsi="Times New Roman;Times;serif"/>
          <w:sz w:val="20"/>
        </w:rPr>
        <w:t xml:space="preserve">, respectively, on the consolidated balance sheets. Information related to the Company’s interest rate swap agreements as of March 31, 2024 is presented below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2"/>
        <w:gridCol w:w="109"/>
        <w:gridCol w:w="1144"/>
        <w:gridCol w:w="109"/>
        <w:gridCol w:w="1174"/>
        <w:gridCol w:w="109"/>
        <w:gridCol w:w="2505"/>
        <w:gridCol w:w="109"/>
        <w:gridCol w:w="196"/>
        <w:gridCol w:w="691"/>
        <w:gridCol w:w="109"/>
        <w:gridCol w:w="645"/>
        <w:gridCol w:w="1843"/>
      </w:tblGrid>
      <w:tr>
        <w:trPr/>
        <w:tc>
          <w:tcPr>
            <w:tcW w:w="1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28370" cy="175260"/>
                      <wp:effectExtent l="0" t="0" r="0" b="0"/>
                      <wp:wrapNone/>
                      <wp:docPr id="233" name="Frame233"/>
                      <a:graphic xmlns:a="http://schemas.openxmlformats.org/drawingml/2006/main">
                        <a:graphicData uri="http://schemas.microsoft.com/office/word/2010/wordprocessingShape">
                          <wps:wsp>
                            <wps:cNvSpPr txBox="1"/>
                            <wps:spPr>
                              <a:xfrm>
                                <a:off x="0" y="0"/>
                                <a:ext cx="928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726440" cy="175260"/>
                      <wp:effectExtent l="0" t="0" r="0" b="0"/>
                      <wp:wrapNone/>
                      <wp:docPr id="235" name="Frame235"/>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45490" cy="175260"/>
                      <wp:effectExtent l="0" t="0" r="0" b="0"/>
                      <wp:wrapNone/>
                      <wp:docPr id="237" name="Frame237"/>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590675" cy="175260"/>
                      <wp:effectExtent l="0" t="0" r="0" b="0"/>
                      <wp:wrapNone/>
                      <wp:docPr id="239" name="Frame239"/>
                      <a:graphic xmlns:a="http://schemas.openxmlformats.org/drawingml/2006/main">
                        <a:graphicData uri="http://schemas.microsoft.com/office/word/2010/wordprocessingShape">
                          <wps:wsp>
                            <wps:cNvSpPr txBox="1"/>
                            <wps:spPr>
                              <a:xfrm>
                                <a:off x="0" y="0"/>
                                <a:ext cx="159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1" name="Frame2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38785" cy="175260"/>
                      <wp:effectExtent l="0" t="0" r="0" b="0"/>
                      <wp:wrapNone/>
                      <wp:docPr id="242" name="Frame2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09575" cy="175260"/>
                      <wp:effectExtent l="0" t="0" r="0" b="0"/>
                      <wp:wrapNone/>
                      <wp:docPr id="244" name="Frame244"/>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70305" cy="175260"/>
                      <wp:effectExtent l="0" t="0" r="0" b="0"/>
                      <wp:wrapNone/>
                      <wp:docPr id="245" name="Frame245"/>
                      <a:graphic xmlns:a="http://schemas.openxmlformats.org/drawingml/2006/main">
                        <a:graphicData uri="http://schemas.microsoft.com/office/word/2010/wordprocessingShape">
                          <wps:wsp>
                            <wps:cNvSpPr txBox="1"/>
                            <wps:spPr>
                              <a:xfrm>
                                <a:off x="0" y="0"/>
                                <a:ext cx="1170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62"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b/>
                <w:sz w:val="18"/>
              </w:rPr>
              <w:t xml:space="preserve">Hedged Item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25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4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March 31, 2024</w:t>
            </w:r>
          </w:p>
        </w:tc>
      </w:tr>
      <w:tr>
        <w:trPr/>
        <w:tc>
          <w:tcPr>
            <w:tcW w:w="14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1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left"/>
              <w:rPr/>
            </w:pPr>
            <w:r>
              <w:rPr/>
              <w:t>​</w:t>
            </w:r>
          </w:p>
        </w:tc>
        <w:tc>
          <w:tcPr>
            <w:tcW w:w="250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1.44%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2,862</w:t>
            </w:r>
          </w:p>
        </w:tc>
      </w:tr>
      <w:tr>
        <w:trPr/>
        <w:tc>
          <w:tcPr>
            <w:tcW w:w="14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2026 Term Loan</w:t>
            </w:r>
          </w:p>
        </w:tc>
        <w:tc>
          <w:tcPr>
            <w:tcW w:w="10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8/31/2021</w:t>
            </w:r>
          </w:p>
        </w:tc>
        <w:tc>
          <w:tcPr>
            <w:tcW w:w="109" w:type="dxa"/>
            <w:tcBorders/>
            <w:vAlign w:val="center"/>
          </w:tcPr>
          <w:p>
            <w:pPr>
              <w:pStyle w:val="TableContents"/>
              <w:bidi w:val="0"/>
              <w:spacing w:before="0" w:after="0"/>
              <w:ind w:left="0" w:right="0" w:hanging="0"/>
              <w:jc w:val="center"/>
              <w:rPr/>
            </w:pPr>
            <w:r>
              <w:rPr/>
              <w:t>​</w:t>
            </w:r>
          </w:p>
        </w:tc>
        <w:tc>
          <w:tcPr>
            <w:tcW w:w="11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50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0.70%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109"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1,066</w:t>
            </w:r>
          </w:p>
        </w:tc>
      </w:tr>
      <w:tr>
        <w:trPr/>
        <w:tc>
          <w:tcPr>
            <w:tcW w:w="14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2026 Term Loan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center"/>
              <w:rPr/>
            </w:pPr>
            <w:r>
              <w:rPr/>
              <w:t>​</w:t>
            </w:r>
          </w:p>
        </w:tc>
        <w:tc>
          <w:tcPr>
            <w:tcW w:w="11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shd w:fill="CCEEFF" w:val="clear"/>
            <w:vAlign w:val="center"/>
          </w:tcPr>
          <w:p>
            <w:pPr>
              <w:pStyle w:val="TableContents"/>
              <w:bidi w:val="0"/>
              <w:spacing w:before="0" w:after="0"/>
              <w:ind w:left="0" w:right="0" w:hanging="0"/>
              <w:jc w:val="left"/>
              <w:rPr/>
            </w:pPr>
            <w:r>
              <w:rPr/>
              <w:t>​</w:t>
            </w:r>
          </w:p>
        </w:tc>
        <w:tc>
          <w:tcPr>
            <w:tcW w:w="250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3.80%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w:t>
            </w:r>
          </w:p>
        </w:tc>
        <w:tc>
          <w:tcPr>
            <w:tcW w:w="109"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w:t>
            </w:r>
          </w:p>
        </w:tc>
      </w:tr>
      <w:tr>
        <w:trPr/>
        <w:tc>
          <w:tcPr>
            <w:tcW w:w="14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 Term Loan</w:t>
            </w:r>
          </w:p>
        </w:tc>
        <w:tc>
          <w:tcPr>
            <w:tcW w:w="10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250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7,717</w:t>
            </w:r>
          </w:p>
        </w:tc>
      </w:tr>
      <w:tr>
        <w:trPr/>
        <w:tc>
          <w:tcPr>
            <w:tcW w:w="146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center"/>
              <w:rPr/>
            </w:pPr>
            <w:r>
              <w:rPr/>
              <w:t>​</w:t>
            </w:r>
          </w:p>
        </w:tc>
        <w:tc>
          <w:tcPr>
            <w:tcW w:w="11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1/30/2032</w:t>
            </w:r>
          </w:p>
        </w:tc>
        <w:tc>
          <w:tcPr>
            <w:tcW w:w="109" w:type="dxa"/>
            <w:tcBorders/>
            <w:shd w:fill="CCEEFF" w:val="clear"/>
            <w:vAlign w:val="center"/>
          </w:tcPr>
          <w:p>
            <w:pPr>
              <w:pStyle w:val="TableContents"/>
              <w:bidi w:val="0"/>
              <w:spacing w:before="0" w:after="0"/>
              <w:ind w:left="0" w:right="0" w:hanging="0"/>
              <w:jc w:val="left"/>
              <w:rPr/>
            </w:pPr>
            <w:r>
              <w:rPr/>
              <w:t>​</w:t>
            </w:r>
          </w:p>
        </w:tc>
        <w:tc>
          <w:tcPr>
            <w:tcW w:w="250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w:t>
            </w:r>
          </w:p>
        </w:tc>
      </w:tr>
      <w:tr>
        <w:trPr/>
        <w:tc>
          <w:tcPr>
            <w:tcW w:w="14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1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50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w:t>
            </w:r>
          </w:p>
        </w:tc>
      </w:tr>
      <w:tr>
        <w:trPr/>
        <w:tc>
          <w:tcPr>
            <w:tcW w:w="14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center"/>
              <w:rPr/>
            </w:pPr>
            <w:r>
              <w:rPr/>
              <w:t>​</w:t>
            </w:r>
          </w:p>
        </w:tc>
        <w:tc>
          <w:tcPr>
            <w:tcW w:w="11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50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w:t>
            </w:r>
          </w:p>
        </w:tc>
      </w:tr>
      <w:tr>
        <w:trPr/>
        <w:tc>
          <w:tcPr>
            <w:tcW w:w="1462"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2028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center"/>
              <w:rPr/>
            </w:pPr>
            <w:r>
              <w:rPr/>
              <w:t>​</w:t>
            </w:r>
          </w:p>
        </w:tc>
        <w:tc>
          <w:tcPr>
            <w:tcW w:w="11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1/31/2033</w:t>
            </w:r>
          </w:p>
        </w:tc>
        <w:tc>
          <w:tcPr>
            <w:tcW w:w="109" w:type="dxa"/>
            <w:tcBorders/>
            <w:vAlign w:val="center"/>
          </w:tcPr>
          <w:p>
            <w:pPr>
              <w:pStyle w:val="TableContents"/>
              <w:bidi w:val="0"/>
              <w:spacing w:before="0" w:after="0"/>
              <w:ind w:left="0" w:right="0" w:hanging="0"/>
              <w:jc w:val="left"/>
              <w:rPr/>
            </w:pPr>
            <w:r>
              <w:rPr/>
              <w:t>​</w:t>
            </w:r>
          </w:p>
        </w:tc>
        <w:tc>
          <w:tcPr>
            <w:tcW w:w="250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3.81%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w:t>
            </w:r>
          </w:p>
        </w:tc>
      </w:tr>
      <w:tr>
        <w:trPr/>
        <w:tc>
          <w:tcPr>
            <w:tcW w:w="14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50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1,540</w:t>
            </w:r>
          </w:p>
        </w:tc>
      </w:tr>
      <w:tr>
        <w:trPr/>
        <w:tc>
          <w:tcPr>
            <w:tcW w:w="14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vAlign w:val="center"/>
          </w:tcPr>
          <w:p>
            <w:pPr>
              <w:pStyle w:val="TableContents"/>
              <w:bidi w:val="0"/>
              <w:spacing w:before="0" w:after="0"/>
              <w:ind w:left="0" w:right="0" w:hanging="0"/>
              <w:jc w:val="center"/>
              <w:rPr/>
            </w:pPr>
            <w:r>
              <w:rPr/>
              <w:t>​</w:t>
            </w:r>
          </w:p>
        </w:tc>
        <w:tc>
          <w:tcPr>
            <w:tcW w:w="11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vAlign w:val="center"/>
          </w:tcPr>
          <w:p>
            <w:pPr>
              <w:pStyle w:val="TableContents"/>
              <w:bidi w:val="0"/>
              <w:spacing w:before="0" w:after="0"/>
              <w:ind w:left="0" w:right="0" w:hanging="0"/>
              <w:jc w:val="left"/>
              <w:rPr/>
            </w:pPr>
            <w:r>
              <w:rPr/>
              <w:t>​</w:t>
            </w:r>
          </w:p>
        </w:tc>
        <w:tc>
          <w:tcPr>
            <w:tcW w:w="250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33,000</w:t>
            </w:r>
          </w:p>
        </w:tc>
        <w:tc>
          <w:tcPr>
            <w:tcW w:w="109"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1,036</w:t>
            </w:r>
          </w:p>
        </w:tc>
      </w:tr>
      <w:tr>
        <w:trPr/>
        <w:tc>
          <w:tcPr>
            <w:tcW w:w="14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74"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50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3.36%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17,000</w:t>
            </w:r>
          </w:p>
        </w:tc>
        <w:tc>
          <w:tcPr>
            <w:tcW w:w="109" w:type="dxa"/>
            <w:tcBorders/>
            <w:shd w:fill="CCEEFF" w:val="clear"/>
            <w:vAlign w:val="center"/>
          </w:tcPr>
          <w:p>
            <w:pPr>
              <w:pStyle w:val="TableContents"/>
              <w:bidi w:val="0"/>
              <w:spacing w:before="0" w:after="0"/>
              <w:ind w:left="0" w:right="0" w:hanging="0"/>
              <w:jc w:val="right"/>
              <w:rPr/>
            </w:pPr>
            <w:r>
              <w:rPr/>
              <w:t>​</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w:t>
            </w:r>
          </w:p>
        </w:tc>
      </w:tr>
      <w:tr>
        <w:trPr/>
        <w:tc>
          <w:tcPr>
            <w:tcW w:w="14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2/1/2024</w:t>
            </w:r>
          </w:p>
        </w:tc>
        <w:tc>
          <w:tcPr>
            <w:tcW w:w="109" w:type="dxa"/>
            <w:tcBorders/>
            <w:vAlign w:val="center"/>
          </w:tcPr>
          <w:p>
            <w:pPr>
              <w:pStyle w:val="TableContents"/>
              <w:bidi w:val="0"/>
              <w:spacing w:before="0" w:after="0"/>
              <w:ind w:left="0" w:right="0" w:hanging="0"/>
              <w:jc w:val="center"/>
              <w:rPr/>
            </w:pPr>
            <w:r>
              <w:rPr/>
              <w:t>​</w:t>
            </w:r>
          </w:p>
        </w:tc>
        <w:tc>
          <w:tcPr>
            <w:tcW w:w="1174"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50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843"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344</w:t>
            </w:r>
          </w:p>
        </w:tc>
      </w:tr>
    </w:tbl>
    <w:tbl>
      <w:tblPr>
        <w:tblW w:w="8222" w:type="dxa"/>
        <w:jc w:val="left"/>
        <w:tblInd w:w="0" w:type="dxa"/>
        <w:tblLayout w:type="fixed"/>
        <w:tblCellMar>
          <w:top w:w="0" w:type="dxa"/>
          <w:left w:w="0" w:type="dxa"/>
          <w:bottom w:w="0" w:type="dxa"/>
          <w:right w:w="0" w:type="dxa"/>
        </w:tblCellMar>
      </w:tblPr>
      <w:tblGrid>
        <w:gridCol w:w="286"/>
        <w:gridCol w:w="7936"/>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793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On September 30, 2022, the Company converted its existing interest rate swaps from 1-month LIBOR to SOFR.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(2)</w:t>
            </w:r>
          </w:p>
        </w:tc>
        <w:tc>
          <w:tcPr>
            <w:tcW w:w="992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 Company entered into forward swaps to further fix interest rates through periods that the Company reasonably expects to extend its current term loans.</w:t>
            </w:r>
          </w:p>
        </w:tc>
      </w:tr>
    </w:tbl>
    <w:p>
      <w:pPr>
        <w:pStyle w:val="TextBody"/>
        <w:pBdr/>
        <w:bidi w:val="0"/>
        <w:spacing w:before="0" w:after="0"/>
        <w:ind w:left="0" w:right="0" w:hanging="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March 31, 2024, there were no events of default related to the Company’s interest rate swap agreements.</w:t>
      </w:r>
    </w:p>
    <w:p>
      <w:pPr>
        <w:pStyle w:val="TextBody"/>
        <w:bidi w:val="0"/>
        <w:spacing w:before="0" w:after="0"/>
        <w:ind w:left="0" w:right="0" w:hanging="0"/>
        <w:jc w:val="left"/>
        <w:rPr/>
      </w:pPr>
      <w:r>
        <w:rPr/>
        <w:t>​</w:t>
      </w:r>
    </w:p>
    <w:p>
      <w:pPr>
        <w:pStyle w:val="TextBody"/>
        <w:pBdr/>
        <w:bidi w:val="0"/>
        <w:spacing w:before="0" w:after="0"/>
        <w:ind w:left="0" w:right="0" w:hanging="360"/>
        <w:jc w:val="both"/>
        <w:rPr/>
      </w:pPr>
      <w:r>
        <w:rPr/>
        <w:t>​</w:t>
      </w:r>
    </w:p>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 </w:t>
      </w:r>
    </w:p>
    <w:p>
      <w:pPr>
        <w:pStyle w:val="TextBody"/>
        <w:pBdr/>
        <w:bidi w:val="0"/>
        <w:spacing w:before="0" w:after="0"/>
        <w:ind w:left="0" w:right="0" w:hanging="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87" w:name="Tc_zNlrFeALH0Oo2pJeA10g0g_12_5"/>
      <w:bookmarkStart w:id="1288" w:name="Tc_Nt1dF_srskCt4he9BKu1Cw_12_2"/>
      <w:bookmarkStart w:id="1289" w:name="Tc_-TlhV_1Td0OHHI1-T7D6-g_12_0"/>
      <w:bookmarkStart w:id="1290" w:name="Tc_Eg4gnVu0IEmWmFuec-BJ_g_11_0"/>
      <w:bookmarkStart w:id="1291" w:name="Tc_P8ibJONULkaxmnzlnb2jBg_9_0"/>
      <w:bookmarkStart w:id="1292" w:name="Tc_1UzAXAtiFEm9hWEfmSwg5Q_8_0"/>
      <w:bookmarkStart w:id="1293" w:name="Tc_thfcoxnZ-UijsQA12LISbQ_7_0"/>
      <w:bookmarkStart w:id="1294" w:name="Tc_Ey805hmnyk60T1YMAfaiRw_6_0"/>
      <w:bookmarkStart w:id="1295" w:name="Tc_4MVGOHvh0EW8dpFyP_oqWQ_5_0"/>
      <w:bookmarkStart w:id="1296" w:name="Tc_cLlNWvjNQ0CzTeKgnnE6ag_4_0"/>
      <w:bookmarkStart w:id="1297" w:name="Tc_5eiQLOeXakiRGsRJj5h_ug_3_5"/>
      <w:bookmarkStart w:id="1298" w:name="Tc_zNsYinENNEmaY5xDlmgZlg_3_2"/>
      <w:bookmarkStart w:id="1299" w:name="Tc_zdNiITfl20GiA0wHKlXnsg_3_0"/>
      <w:bookmarkStart w:id="1300" w:name="Tc_tgnQvBAkoE6MSIwj_f0m9A_2_5"/>
      <w:bookmarkStart w:id="1301" w:name="Tc_eKSAXJ0pPEaZgNxyEa8lmg_2_2"/>
      <w:bookmarkStart w:id="1302" w:name="Tc_lGv5cnHCMkCF7T2qmI5q8g_1_2"/>
      <w:bookmarkStart w:id="1303" w:name="_5997395d_ca53_4c6d_998f_d465e5fe294c"/>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ascii="Times New Roman;Times;serif" w:hAnsi="Times New Roman;Times;serif"/>
          <w:b/>
          <w:sz w:val="20"/>
        </w:rPr>
        <w:t>NOTE 17. ACCRUED AND OTHER LIABILITIES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Accrued and other liabilities consisted of the following (in thousands):</w:t>
      </w:r>
    </w:p>
    <w:tbl>
      <w:tblPr>
        <w:tblW w:w="6205" w:type="dxa"/>
        <w:jc w:val="left"/>
        <w:tblInd w:w="0" w:type="dxa"/>
        <w:tblLayout w:type="fixed"/>
        <w:tblCellMar>
          <w:top w:w="0" w:type="dxa"/>
          <w:left w:w="0" w:type="dxa"/>
          <w:bottom w:w="0" w:type="dxa"/>
          <w:right w:w="0" w:type="dxa"/>
        </w:tblCellMar>
      </w:tblPr>
      <w:tblGrid>
        <w:gridCol w:w="3271"/>
        <w:gridCol w:w="326"/>
        <w:gridCol w:w="232"/>
        <w:gridCol w:w="744"/>
        <w:gridCol w:w="326"/>
        <w:gridCol w:w="274"/>
        <w:gridCol w:w="1032"/>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7320" cy="175260"/>
                      <wp:effectExtent l="0" t="0" r="0" b="0"/>
                      <wp:wrapNone/>
                      <wp:docPr id="247" name="Frame247"/>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72440" cy="175260"/>
                      <wp:effectExtent l="0" t="0" r="0" b="0"/>
                      <wp:wrapNone/>
                      <wp:docPr id="248" name="Frame248"/>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3990" cy="175260"/>
                      <wp:effectExtent l="0" t="0" r="0" b="0"/>
                      <wp:wrapNone/>
                      <wp:docPr id="250" name="Frame25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55320" cy="175260"/>
                      <wp:effectExtent l="0" t="0" r="0" b="0"/>
                      <wp:wrapNone/>
                      <wp:docPr id="251" name="Frame251"/>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2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2024</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Property Taxes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Tenant Improvements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Costs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Environmental Reserve </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Liability</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5,521</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and Other Liabilities</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14,541</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18,373</w:t>
            </w:r>
          </w:p>
        </w:tc>
      </w:tr>
    </w:tbl>
    <w:p>
      <w:pPr>
        <w:pStyle w:val="TextBody"/>
        <w:bidi w:val="0"/>
        <w:spacing w:before="0" w:after="0"/>
        <w:ind w:left="0" w:right="0" w:hanging="0"/>
        <w:jc w:val="both"/>
        <w:rPr/>
      </w:pPr>
      <w:r>
        <w:rPr/>
        <w:t> </w:t>
      </w:r>
    </w:p>
    <w:p>
      <w:pPr>
        <w:pStyle w:val="TextBody"/>
        <w:bidi w:val="0"/>
        <w:spacing w:before="0" w:after="120"/>
        <w:ind w:left="0" w:right="0" w:firstLine="547"/>
        <w:jc w:val="both"/>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i/>
          <w:sz w:val="20"/>
        </w:rPr>
        <w:t xml:space="preserve">Reserve for Tenant Improvements. </w:t>
      </w:r>
      <w:r>
        <w:rPr>
          <w:rFonts w:ascii="Times New Roman;Times;serif" w:hAnsi="Times New Roman;Times;serif"/>
          <w:sz w:val="20"/>
        </w:rPr>
        <w:t xml:space="preserve">In connection with recent acquisitions, the Company received an aggregate of $5.8 million from the sellers of certain properties for tenant improvement allowances, leasing commissions and other capital improvements. These amounts are included in accrued and other liabilities on the consolidated balance sheets.  Through March 31, 2024, payments totaling $4.5 million were made leaving a remaining reserve for tenant improvements of $1.3 million. </w:t>
      </w:r>
    </w:p>
    <w:p>
      <w:pPr>
        <w:pStyle w:val="TextBody"/>
        <w:bidi w:val="0"/>
        <w:spacing w:before="0" w:after="0"/>
        <w:ind w:left="0" w:right="0" w:hanging="0"/>
        <w:jc w:val="left"/>
        <w:rPr>
          <w:rFonts w:ascii="Times New Roman;Times;serif" w:hAnsi="Times New Roman;Times;serif"/>
          <w:b/>
          <w:sz w:val="20"/>
        </w:rPr>
      </w:pPr>
      <w:bookmarkStart w:id="1304" w:name="Tc_UsJ9kbpem0auWscEwFhfYw_6_5"/>
      <w:bookmarkStart w:id="1305" w:name="Tc_jNhX5L7EOk6nh5uHyZwDsQ_6_2"/>
      <w:bookmarkStart w:id="1306" w:name="Tc_O7XgncaTykqhKn8ewnB6_A_6_0"/>
      <w:bookmarkStart w:id="1307" w:name="Tc_jZQqdgRuu0mdBbgClk2LBw_5_0"/>
      <w:bookmarkStart w:id="1308" w:name="Tc_lAhMtY-SJEKurczkyUWqiQ_4_0"/>
      <w:bookmarkStart w:id="1309" w:name="Tc_khZ4-XZ8d02vU8TZTm7QCg_3_5"/>
      <w:bookmarkStart w:id="1310" w:name="Tc_u_ytNFc97U2SDfpJMYjRSw_3_2"/>
      <w:bookmarkStart w:id="1311" w:name="Tc_ceDxCED9sU-iKmuAL_f_6A_3_0"/>
      <w:bookmarkStart w:id="1312" w:name="Tc_g-mVgzqLFkGXYo5mvAjJQA_2_5"/>
      <w:bookmarkStart w:id="1313" w:name="Tc_xMF1ls9Y7UODSxkmklmPjQ_2_2"/>
      <w:bookmarkStart w:id="1314" w:name="Tc_G1QsRketlUK3RwSUWOdCsg_1_2"/>
      <w:bookmarkStart w:id="1315" w:name="_b366cf25_b44e_44e7_991f_714e2013e8dc"/>
      <w:bookmarkEnd w:id="1304"/>
      <w:bookmarkEnd w:id="1305"/>
      <w:bookmarkEnd w:id="1306"/>
      <w:bookmarkEnd w:id="1307"/>
      <w:bookmarkEnd w:id="1308"/>
      <w:bookmarkEnd w:id="1309"/>
      <w:bookmarkEnd w:id="1310"/>
      <w:bookmarkEnd w:id="1311"/>
      <w:bookmarkEnd w:id="1312"/>
      <w:bookmarkEnd w:id="1313"/>
      <w:bookmarkEnd w:id="1314"/>
      <w:bookmarkEnd w:id="1315"/>
      <w:r>
        <w:rPr>
          <w:rFonts w:ascii="Times New Roman;Times;serif" w:hAnsi="Times New Roman;Times;serif"/>
          <w:b/>
          <w:sz w:val="20"/>
        </w:rPr>
        <w:t>NOTE 18. DEFERRED REVENUE</w:t>
      </w:r>
    </w:p>
    <w:p>
      <w:pPr>
        <w:pStyle w:val="TextBody"/>
        <w:bidi w:val="0"/>
        <w:spacing w:before="0" w:after="0"/>
        <w:ind w:left="0" w:right="0" w:hanging="0"/>
        <w:jc w:val="left"/>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Deferred revenue consisted of the following (in thousands):  </w:t>
      </w:r>
    </w:p>
    <w:tbl>
      <w:tblPr>
        <w:tblW w:w="7705" w:type="dxa"/>
        <w:jc w:val="left"/>
        <w:tblInd w:w="0" w:type="dxa"/>
        <w:tblLayout w:type="fixed"/>
        <w:tblCellMar>
          <w:top w:w="0" w:type="dxa"/>
          <w:left w:w="0" w:type="dxa"/>
          <w:bottom w:w="0" w:type="dxa"/>
          <w:right w:w="0" w:type="dxa"/>
        </w:tblCellMar>
      </w:tblPr>
      <w:tblGrid>
        <w:gridCol w:w="4771"/>
        <w:gridCol w:w="326"/>
        <w:gridCol w:w="263"/>
        <w:gridCol w:w="713"/>
        <w:gridCol w:w="326"/>
        <w:gridCol w:w="306"/>
        <w:gridCol w:w="1000"/>
      </w:tblGrid>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7005" cy="175260"/>
                      <wp:effectExtent l="0" t="0" r="0" b="0"/>
                      <wp:wrapNone/>
                      <wp:docPr id="253" name="Frame253"/>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52755" cy="175260"/>
                      <wp:effectExtent l="0" t="0" r="0" b="0"/>
                      <wp:wrapNone/>
                      <wp:docPr id="254" name="Frame254"/>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94310" cy="175260"/>
                      <wp:effectExtent l="0" t="0" r="0" b="0"/>
                      <wp:wrapNone/>
                      <wp:docPr id="256" name="Frame256"/>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35000" cy="175260"/>
                      <wp:effectExtent l="0" t="0" r="0" b="0"/>
                      <wp:wrapNone/>
                      <wp:docPr id="257" name="Frame257"/>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w:t>
              <w:br/>
              <w:t>2024</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2023</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3,291</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3,723</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Reserve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0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5,290</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5,200</w:t>
            </w:r>
          </w:p>
        </w:tc>
      </w:tr>
    </w:tbl>
    <w:p>
      <w:pPr>
        <w:pStyle w:val="TextBody"/>
        <w:bidi w:val="0"/>
        <w:spacing w:before="0" w:after="0"/>
        <w:ind w:left="0" w:right="0" w:firstLine="547"/>
        <w:jc w:val="both"/>
        <w:rPr/>
      </w:pPr>
      <w:r>
        <w:rPr/>
        <w:t> </w:t>
      </w:r>
    </w:p>
    <w:p>
      <w:pPr>
        <w:pStyle w:val="TextBody"/>
        <w:bidi w:val="0"/>
        <w:spacing w:before="0" w:after="0"/>
        <w:ind w:left="0" w:right="0" w:firstLine="547"/>
        <w:jc w:val="both"/>
        <w:rPr/>
      </w:pPr>
      <w:r>
        <w:rPr/>
        <w: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i/>
          <w:sz w:val="20"/>
        </w:rPr>
        <w:t>Interest Reserve from</w:t>
      </w:r>
      <w:r>
        <w:rPr>
          <w:rFonts w:ascii="Times New Roman;Times;serif" w:hAnsi="Times New Roman;Times;serif"/>
          <w:sz w:val="20"/>
        </w:rPr>
        <w:t xml:space="preserve"> </w:t>
      </w:r>
      <w:r>
        <w:rPr>
          <w:rFonts w:ascii="Times New Roman;Times;serif" w:hAnsi="Times New Roman;Times;serif"/>
          <w:i/>
          <w:sz w:val="20"/>
        </w:rPr>
        <w:t>Commercial Loans and Investments</w:t>
      </w:r>
      <w:r>
        <w:rPr>
          <w:rFonts w:ascii="Times New Roman;Times;serif" w:hAnsi="Times New Roman;Times;serif"/>
          <w:sz w:val="20"/>
        </w:rPr>
        <w:t>. In connection with three of the Company’s commercial 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pStyle w:val="TextBody"/>
        <w:bidi w:val="0"/>
        <w:spacing w:before="0" w:after="0"/>
        <w:ind w:left="0" w:right="0" w:firstLine="540"/>
        <w:jc w:val="both"/>
        <w:rPr/>
      </w:pPr>
      <w:r>
        <w:rPr/>
        <w:t>​</w:t>
      </w:r>
    </w:p>
    <w:p>
      <w:pPr>
        <w:pStyle w:val="TextBody"/>
        <w:bidi w:val="0"/>
        <w:spacing w:before="0" w:after="0"/>
        <w:ind w:left="0" w:right="0" w:firstLine="540"/>
        <w:jc w:val="both"/>
        <w:rPr/>
      </w:pPr>
      <w:r>
        <w:rPr/>
        <w:t>​</w:t>
      </w:r>
    </w:p>
    <w:p>
      <w:pPr>
        <w:pStyle w:val="TextBody"/>
        <w:bidi w:val="0"/>
        <w:spacing w:before="0" w:after="0"/>
        <w:ind w:left="0" w:right="0" w:hanging="0"/>
        <w:jc w:val="left"/>
        <w:rPr>
          <w:rFonts w:ascii="Times New Roman;Times;serif" w:hAnsi="Times New Roman;Times;serif"/>
          <w:sz w:val="20"/>
        </w:rPr>
      </w:pPr>
      <w:bookmarkStart w:id="1316" w:name="Tc_84wm0-3EMU2fFvQICKmVyA_4_12"/>
      <w:bookmarkStart w:id="1317" w:name="Tc_k6vNl2NoBEy37gOMzrih-w_4_0"/>
      <w:bookmarkStart w:id="1318" w:name="Tc_JxdephkpL0u-fyfSCwrNVQ_3_12"/>
      <w:bookmarkStart w:id="1319" w:name="Tc_ZCkKsA_Cu026ZPDytbAlVg_3_0"/>
      <w:bookmarkStart w:id="1320" w:name="Tc_PiUvw9a_9EqbbkU7vtF5MQ_2_15"/>
      <w:bookmarkStart w:id="1321" w:name="Tc_6u-jRmccT0aJBVdHXWKbZA_2_12"/>
      <w:bookmarkStart w:id="1322" w:name="Tc_AH1bovxPgk24Qj-QDhaZZg_2_0"/>
      <w:bookmarkStart w:id="1323" w:name="Tc_HisolmeSn0qaJIlK-lWpHw_1_17"/>
      <w:bookmarkStart w:id="1324" w:name="Tc_lRkz20i_F0S1OZ5tZmU4KA_1_14"/>
      <w:bookmarkStart w:id="1325" w:name="Tc_J41bC0MDCUq2p2HQmxVvtQ_1_11"/>
      <w:bookmarkStart w:id="1326" w:name="Tc_Olbmza58YE-mObJrp5Znnw_1_8"/>
      <w:bookmarkStart w:id="1327" w:name="Tc_mvAV5HTsvESiaNEuggQdFw_1_5"/>
      <w:bookmarkStart w:id="1328" w:name="Tc_2V2zXrk_W0ib4vg9qlReSg_1_2"/>
      <w:bookmarkStart w:id="1329" w:name="Tc_O4yV2Hxpz0SweXaAYJzrnw_1_0"/>
      <w:bookmarkStart w:id="1330" w:name="_fef2356e_4866_4bcd_94d2_4b4e4a9c54db"/>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r>
        <w:rPr>
          <w:rFonts w:ascii="Times New Roman;Times;serif" w:hAnsi="Times New Roman;Times;serif"/>
          <w:b/>
          <w:sz w:val="20"/>
        </w:rPr>
        <w:t>NOTE 19. STOCK-BASED COMPENSATION</w:t>
      </w:r>
      <w:r>
        <w:rPr>
          <w:rFonts w:ascii="Times New Roman;Times;serif" w:hAnsi="Times New Roman;Times;serif"/>
          <w:color w:val="FF0000"/>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SUMMARY OF STOCK-BASED COMPENSATION </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summary of share activity for all equity classified stock compensation during the three months ended March 31, 2024 is presented below. </w:t>
      </w:r>
    </w:p>
    <w:p>
      <w:pPr>
        <w:pStyle w:val="TextBody"/>
        <w:bidi w:val="0"/>
        <w:spacing w:before="0" w:after="0"/>
        <w:ind w:left="0" w:right="0" w:firstLine="540"/>
        <w:jc w:val="both"/>
        <w:rPr/>
      </w:pPr>
      <w:r>
        <w:rPr/>
        <w:t>​</w:t>
      </w:r>
    </w:p>
    <w:tbl>
      <w:tblPr>
        <w:tblW w:w="10205" w:type="dxa"/>
        <w:jc w:val="left"/>
        <w:tblInd w:w="0" w:type="dxa"/>
        <w:tblLayout w:type="fixed"/>
        <w:tblCellMar>
          <w:top w:w="0" w:type="dxa"/>
          <w:left w:w="0" w:type="dxa"/>
          <w:bottom w:w="0" w:type="dxa"/>
          <w:right w:w="0" w:type="dxa"/>
        </w:tblCellMar>
      </w:tblPr>
      <w:tblGrid>
        <w:gridCol w:w="2226"/>
        <w:gridCol w:w="326"/>
        <w:gridCol w:w="188"/>
        <w:gridCol w:w="1196"/>
        <w:gridCol w:w="326"/>
        <w:gridCol w:w="123"/>
        <w:gridCol w:w="786"/>
        <w:gridCol w:w="109"/>
        <w:gridCol w:w="147"/>
        <w:gridCol w:w="1024"/>
        <w:gridCol w:w="109"/>
        <w:gridCol w:w="200"/>
        <w:gridCol w:w="640"/>
        <w:gridCol w:w="109"/>
        <w:gridCol w:w="146"/>
        <w:gridCol w:w="770"/>
        <w:gridCol w:w="326"/>
        <w:gridCol w:w="173"/>
        <w:gridCol w:w="1281"/>
      </w:tblGrid>
      <w:tr>
        <w:trPr/>
        <w:tc>
          <w:tcPr>
            <w:tcW w:w="2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19380" cy="175260"/>
                      <wp:effectExtent l="0" t="0" r="0" b="0"/>
                      <wp:wrapNone/>
                      <wp:docPr id="259" name="Frame259"/>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59460" cy="175260"/>
                      <wp:effectExtent l="0" t="0" r="0" b="0"/>
                      <wp:wrapNone/>
                      <wp:docPr id="260" name="Frame260"/>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8105" cy="175260"/>
                      <wp:effectExtent l="0" t="0" r="0" b="0"/>
                      <wp:wrapNone/>
                      <wp:docPr id="262" name="Frame262"/>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99110" cy="175260"/>
                      <wp:effectExtent l="0" t="0" r="0" b="0"/>
                      <wp:wrapNone/>
                      <wp:docPr id="263" name="Frame26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3345" cy="175260"/>
                      <wp:effectExtent l="0" t="0" r="0" b="0"/>
                      <wp:wrapNone/>
                      <wp:docPr id="265" name="Frame265"/>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50240" cy="175260"/>
                      <wp:effectExtent l="0" t="0" r="0" b="0"/>
                      <wp:wrapNone/>
                      <wp:docPr id="266" name="Frame266"/>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7000" cy="175260"/>
                      <wp:effectExtent l="0" t="0" r="0" b="0"/>
                      <wp:wrapNone/>
                      <wp:docPr id="268" name="Frame268"/>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06400" cy="175260"/>
                      <wp:effectExtent l="0" t="0" r="0" b="0"/>
                      <wp:wrapNone/>
                      <wp:docPr id="269" name="Frame269"/>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2710" cy="175260"/>
                      <wp:effectExtent l="0" t="0" r="0" b="0"/>
                      <wp:wrapNone/>
                      <wp:docPr id="271" name="Frame2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88950" cy="175260"/>
                      <wp:effectExtent l="0" t="0" r="0" b="0"/>
                      <wp:wrapNone/>
                      <wp:docPr id="272" name="Frame272"/>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09855" cy="175260"/>
                      <wp:effectExtent l="0" t="0" r="0" b="0"/>
                      <wp:wrapNone/>
                      <wp:docPr id="274" name="Frame274"/>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813435" cy="175260"/>
                      <wp:effectExtent l="0" t="0" r="0" b="0"/>
                      <wp:wrapNone/>
                      <wp:docPr id="275" name="Frame275"/>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Type of Award</w:t>
            </w:r>
          </w:p>
        </w:tc>
        <w:tc>
          <w:tcPr>
            <w:tcW w:w="326" w:type="dxa"/>
            <w:tcBorders/>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1/1/2024</w:t>
            </w:r>
          </w:p>
        </w:tc>
        <w:tc>
          <w:tcPr>
            <w:tcW w:w="326" w:type="dxa"/>
            <w:tcBorders/>
            <w:vAlign w:val="center"/>
          </w:tcPr>
          <w:p>
            <w:pPr>
              <w:pStyle w:val="TableContents"/>
              <w:bidi w:val="0"/>
              <w:spacing w:before="0" w:after="0"/>
              <w:ind w:left="0" w:right="0" w:hanging="0"/>
              <w:jc w:val="center"/>
              <w:rPr/>
            </w:pPr>
            <w:r>
              <w:rPr/>
              <w:t>    </w:t>
            </w:r>
          </w:p>
        </w:tc>
        <w:tc>
          <w:tcPr>
            <w:tcW w:w="9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Granted Shares</w:t>
            </w:r>
          </w:p>
        </w:tc>
        <w:tc>
          <w:tcPr>
            <w:tcW w:w="109"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Vested / Exercised Shares</w:t>
            </w:r>
          </w:p>
        </w:tc>
        <w:tc>
          <w:tcPr>
            <w:tcW w:w="109" w:type="dxa"/>
            <w:tcBorders/>
            <w:vAlign w:val="center"/>
          </w:tcPr>
          <w:p>
            <w:pPr>
              <w:pStyle w:val="TableContents"/>
              <w:bidi w:val="0"/>
              <w:spacing w:before="0" w:after="0"/>
              <w:ind w:left="0" w:right="0" w:hanging="0"/>
              <w:jc w:val="left"/>
              <w:rPr/>
            </w:pPr>
            <w:r>
              <w:rPr/>
              <w:t>​</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Expired Shares</w:t>
            </w:r>
          </w:p>
        </w:tc>
        <w:tc>
          <w:tcPr>
            <w:tcW w:w="109"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Forfeited Shares</w:t>
            </w:r>
          </w:p>
        </w:tc>
        <w:tc>
          <w:tcPr>
            <w:tcW w:w="326" w:type="dxa"/>
            <w:tcBorders/>
            <w:vAlign w:val="center"/>
          </w:tcPr>
          <w:p>
            <w:pPr>
              <w:pStyle w:val="TableContents"/>
              <w:bidi w:val="0"/>
              <w:spacing w:before="0" w:after="0"/>
              <w:ind w:left="0" w:right="0" w:hanging="0"/>
              <w:jc w:val="center"/>
              <w:rPr/>
            </w:pPr>
            <w:r>
              <w:rPr/>
              <w:t>    </w:t>
            </w:r>
          </w:p>
        </w:tc>
        <w:tc>
          <w:tcPr>
            <w:tcW w:w="14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3/31/2024</w:t>
            </w:r>
          </w:p>
        </w:tc>
      </w:tr>
      <w:tr>
        <w:trPr/>
        <w:tc>
          <w:tcPr>
            <w:tcW w:w="2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Performance Share Awards - Peer Group Market Condition Vesting</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237,375</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100,391</w:t>
            </w:r>
          </w:p>
        </w:tc>
        <w:tc>
          <w:tcPr>
            <w:tcW w:w="109"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(85,938)</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3" w:type="dxa"/>
            <w:tcBorders/>
            <w:shd w:fill="CCEEFF" w:val="clear"/>
            <w:vAlign w:val="center"/>
          </w:tcPr>
          <w:p>
            <w:pPr>
              <w:pStyle w:val="TableContents"/>
              <w:bidi w:val="0"/>
              <w:spacing w:before="0" w:after="0"/>
              <w:ind w:left="0" w:right="0" w:hanging="0"/>
              <w:jc w:val="left"/>
              <w:rPr/>
            </w:pPr>
            <w:r>
              <w:rPr/>
              <w:t>​</w:t>
            </w:r>
          </w:p>
        </w:tc>
        <w:tc>
          <w:tcPr>
            <w:tcW w:w="12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251,828</w:t>
            </w:r>
          </w:p>
        </w:tc>
      </w:tr>
      <w:tr>
        <w:trPr/>
        <w:tc>
          <w:tcPr>
            <w:tcW w:w="2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Three Year Vest Restricted Shares</w:t>
            </w:r>
          </w:p>
        </w:tc>
        <w:tc>
          <w:tcPr>
            <w:tcW w:w="3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216,357</w:t>
            </w:r>
          </w:p>
        </w:tc>
        <w:tc>
          <w:tcPr>
            <w:tcW w:w="326" w:type="dxa"/>
            <w:tcBorders/>
            <w:vAlign w:val="center"/>
          </w:tcPr>
          <w:p>
            <w:pPr>
              <w:pStyle w:val="TableContents"/>
              <w:bidi w:val="0"/>
              <w:spacing w:before="0" w:after="0"/>
              <w:ind w:left="0" w:right="0" w:hanging="0"/>
              <w:jc w:val="left"/>
              <w:rPr/>
            </w:pPr>
            <w:r>
              <w:rPr/>
              <w:t>​</w:t>
            </w:r>
          </w:p>
        </w:tc>
        <w:tc>
          <w:tcPr>
            <w:tcW w:w="1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107,191</w:t>
            </w:r>
          </w:p>
        </w:tc>
        <w:tc>
          <w:tcPr>
            <w:tcW w:w="109" w:type="dxa"/>
            <w:tcBorders/>
            <w:vAlign w:val="center"/>
          </w:tcPr>
          <w:p>
            <w:pPr>
              <w:pStyle w:val="TableContents"/>
              <w:bidi w:val="0"/>
              <w:spacing w:before="0" w:after="0"/>
              <w:ind w:left="0" w:right="0" w:hanging="0"/>
              <w:jc w:val="left"/>
              <w:rPr/>
            </w:pPr>
            <w:r>
              <w:rPr/>
              <w:t>​</w:t>
            </w:r>
          </w:p>
        </w:tc>
        <w:tc>
          <w:tcPr>
            <w:tcW w:w="1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(75,434)</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(2,876)</w:t>
            </w:r>
          </w:p>
        </w:tc>
        <w:tc>
          <w:tcPr>
            <w:tcW w:w="326" w:type="dxa"/>
            <w:tcBorders/>
            <w:vAlign w:val="center"/>
          </w:tcPr>
          <w:p>
            <w:pPr>
              <w:pStyle w:val="TableContents"/>
              <w:bidi w:val="0"/>
              <w:spacing w:before="0" w:after="0"/>
              <w:ind w:left="0" w:right="0" w:hanging="0"/>
              <w:jc w:val="left"/>
              <w:rPr/>
            </w:pPr>
            <w:r>
              <w:rPr/>
              <w:t>​</w:t>
            </w:r>
          </w:p>
        </w:tc>
        <w:tc>
          <w:tcPr>
            <w:tcW w:w="1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245,238</w:t>
            </w:r>
          </w:p>
        </w:tc>
      </w:tr>
      <w:tr>
        <w:trPr/>
        <w:tc>
          <w:tcPr>
            <w:tcW w:w="2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453,732</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207,582</w:t>
            </w:r>
          </w:p>
        </w:tc>
        <w:tc>
          <w:tcPr>
            <w:tcW w:w="109" w:type="dxa"/>
            <w:tcBorders/>
            <w:shd w:fill="CCEEFF" w:val="clear"/>
            <w:vAlign w:val="center"/>
          </w:tcPr>
          <w:p>
            <w:pPr>
              <w:pStyle w:val="TableContents"/>
              <w:bidi w:val="0"/>
              <w:spacing w:before="0" w:after="0"/>
              <w:ind w:left="0" w:right="0" w:hanging="0"/>
              <w:jc w:val="left"/>
              <w:rPr/>
            </w:pPr>
            <w:r>
              <w:rPr/>
              <w:t>​</w:t>
            </w:r>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(161,372)</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(2,876)</w:t>
            </w:r>
          </w:p>
        </w:tc>
        <w:tc>
          <w:tcPr>
            <w:tcW w:w="326" w:type="dxa"/>
            <w:tcBorders/>
            <w:shd w:fill="CCEEFF" w:val="clear"/>
            <w:vAlign w:val="center"/>
          </w:tcPr>
          <w:p>
            <w:pPr>
              <w:pStyle w:val="TableContents"/>
              <w:bidi w:val="0"/>
              <w:spacing w:before="0" w:after="0"/>
              <w:ind w:left="0" w:right="0" w:hanging="0"/>
              <w:jc w:val="left"/>
              <w:rPr/>
            </w:pPr>
            <w:r>
              <w:rPr/>
              <w:t>​</w:t>
            </w:r>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497,066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bookmarkStart w:id="1331" w:name="Tc_IUrA4UJGxE6dHcbQyR27nQ_7_5"/>
      <w:bookmarkStart w:id="1332" w:name="Tc_PO32HvrwoEeYsLxsHOHVlw_7_0"/>
      <w:bookmarkStart w:id="1333" w:name="Tc_CeBBu5nITEatdmUzN_rr7w_6_6"/>
      <w:bookmarkStart w:id="1334" w:name="Tc_niB763FANUmzh9JHVNcKrQ_6_5"/>
      <w:bookmarkStart w:id="1335" w:name="Tc_L4Mk_gu_x0-I3pN0xDXe-g_6_3"/>
      <w:bookmarkStart w:id="1336" w:name="Tc_L8JiEhayQkaCZ5GwGh9RoA_6_0"/>
      <w:bookmarkStart w:id="1337" w:name="Tc_hZ2hw_HqBU6w_iCREBMYWQ_5_6"/>
      <w:bookmarkStart w:id="1338" w:name="Tc_Y7n7gl9dQ0CC9EUxl4lGig_5_5"/>
      <w:bookmarkStart w:id="1339" w:name="Tc_P5MgZJyvhEGbdsYnhj-2KA_5_3"/>
      <w:bookmarkStart w:id="1340" w:name="Tc_7_J6Hl4QYkKLh5rAQKyT1w_5_0"/>
      <w:bookmarkStart w:id="1341" w:name="Tc_bc3KB4OL1keA9CvkcNzmyg_4_5"/>
      <w:bookmarkStart w:id="1342" w:name="Tc_jemAmqljXUCHFzFs9AUgMQ_4_0"/>
      <w:bookmarkStart w:id="1343" w:name="Tc_q_2-7XaWdEWiZ_7eyK_c_g_3_5"/>
      <w:bookmarkStart w:id="1344" w:name="Tc_5XyAFk9dZkCv78h07mNJEg_3_0"/>
      <w:bookmarkStart w:id="1345" w:name="Tc_4GMFgGiOwkC2v_5-GQvDjQ_2_5"/>
      <w:bookmarkStart w:id="1346" w:name="Tc_YuqLrxNtwkiFiMsnIGmmjg_2_0"/>
      <w:bookmarkStart w:id="1347" w:name="Tc_j4IOll7LYEiJqQ519su_7A_1_5"/>
      <w:bookmarkStart w:id="1348" w:name="Tc_7U7pSxpSrU213Ztjf_C_0Q_1_2"/>
      <w:bookmarkStart w:id="1349" w:name="Tc_Mfv5biyPSEKOvhiLdPV6LA_1_0"/>
      <w:bookmarkStart w:id="1350" w:name="_8c412fab_1391_44a7_8a5b_5a93d2fcfb8a"/>
      <w:bookmarkStart w:id="1351" w:name="Tc_pi9WNuPyrEa-HX2V2bj5dw_3_5"/>
      <w:bookmarkStart w:id="1352" w:name="Tc_fXlMAp9BwUKJL-YZO0XQTQ_3_2"/>
      <w:bookmarkStart w:id="1353" w:name="Tc_e17LYKUOZk6brfuCrUJVBA_3_0"/>
      <w:bookmarkStart w:id="1354" w:name="Tc_7zpRx1z9d0GXQimp8tjBKg_2_5"/>
      <w:bookmarkStart w:id="1355" w:name="Tc_dLQp1DQ03E6Dhzr8TgJYMA_2_2"/>
      <w:bookmarkStart w:id="1356" w:name="Tc_eJc0u7nQoEuxMKQpsq3VbQ_1_2"/>
      <w:bookmarkStart w:id="1357" w:name="_65e44a32_295e_45ae_88f7_8cb68539addf"/>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rFonts w:ascii="Times New Roman;Times;serif" w:hAnsi="Times New Roman;Times;serif"/>
          <w:sz w:val="20"/>
        </w:rPr>
        <w:t>Amounts recognized in the financial statements for stock-based compensation are as follows (in thousands):</w:t>
      </w:r>
    </w:p>
    <w:p>
      <w:pPr>
        <w:pStyle w:val="TextBody"/>
        <w:bidi w:val="0"/>
        <w:spacing w:before="0" w:after="0"/>
        <w:ind w:left="0" w:right="0" w:firstLine="547"/>
        <w:jc w:val="both"/>
        <w:rPr/>
      </w:pPr>
      <w:r>
        <w:rPr/>
        <w:t>​</w:t>
      </w:r>
    </w:p>
    <w:tbl>
      <w:tblPr>
        <w:tblW w:w="8348" w:type="dxa"/>
        <w:jc w:val="left"/>
        <w:tblInd w:w="0" w:type="dxa"/>
        <w:tblLayout w:type="fixed"/>
        <w:tblCellMar>
          <w:top w:w="0" w:type="dxa"/>
          <w:left w:w="0" w:type="dxa"/>
          <w:bottom w:w="0" w:type="dxa"/>
          <w:right w:w="0" w:type="dxa"/>
        </w:tblCellMar>
      </w:tblPr>
      <w:tblGrid>
        <w:gridCol w:w="4771"/>
        <w:gridCol w:w="326"/>
        <w:gridCol w:w="388"/>
        <w:gridCol w:w="1052"/>
        <w:gridCol w:w="326"/>
        <w:gridCol w:w="352"/>
        <w:gridCol w:w="1133"/>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029585" cy="175260"/>
                      <wp:effectExtent l="0" t="0" r="0" b="0"/>
                      <wp:wrapNone/>
                      <wp:docPr id="276" name="Frame276"/>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46380" cy="175260"/>
                      <wp:effectExtent l="0" t="0" r="0" b="0"/>
                      <wp:wrapNone/>
                      <wp:docPr id="278" name="Frame27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68020" cy="175260"/>
                      <wp:effectExtent l="0" t="0" r="0" b="0"/>
                      <wp:wrapNone/>
                      <wp:docPr id="279" name="Frame279"/>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23520" cy="175260"/>
                      <wp:effectExtent l="0" t="0" r="0" b="0"/>
                      <wp:wrapNone/>
                      <wp:docPr id="281" name="Frame28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19455" cy="175260"/>
                      <wp:effectExtent l="0" t="0" r="0" b="0"/>
                      <wp:wrapNone/>
                      <wp:docPr id="282" name="Frame282"/>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center"/>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Share-Based Plans Charged Against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1,072</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EQUITY-CLASSIFIED STOCK COMPENSATION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 Share Awards – Peer Group Market Condition Vesting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100,391  performance shares during the three months ended March 31, 2024.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March 31, 2024, there was $2.6 million of unrecognized compensation cost, adjusted for estimated forfeitures, related to the non-vested performance share awards, which will be recognized over a remaining weighted average period of 2.2 years.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three months ended March 31, 2024 is presented below: </w:t>
      </w:r>
    </w:p>
    <w:p>
      <w:pPr>
        <w:pStyle w:val="TextBody"/>
        <w:bidi w:val="0"/>
        <w:spacing w:before="0" w:after="0"/>
        <w:ind w:left="0" w:right="0" w:firstLine="360"/>
        <w:jc w:val="both"/>
        <w:rPr/>
      </w:pPr>
      <w:r>
        <w:rPr/>
        <w:t>​</w:t>
      </w:r>
    </w:p>
    <w:tbl>
      <w:tblPr>
        <w:tblW w:w="8121" w:type="dxa"/>
        <w:jc w:val="left"/>
        <w:tblInd w:w="0" w:type="dxa"/>
        <w:tblLayout w:type="fixed"/>
        <w:tblCellMar>
          <w:top w:w="0" w:type="dxa"/>
          <w:left w:w="0" w:type="dxa"/>
          <w:bottom w:w="0" w:type="dxa"/>
          <w:right w:w="0" w:type="dxa"/>
        </w:tblCellMar>
      </w:tblPr>
      <w:tblGrid>
        <w:gridCol w:w="3946"/>
        <w:gridCol w:w="326"/>
        <w:gridCol w:w="109"/>
        <w:gridCol w:w="796"/>
        <w:gridCol w:w="109"/>
        <w:gridCol w:w="665"/>
        <w:gridCol w:w="2170"/>
      </w:tblGrid>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05460" cy="175260"/>
                      <wp:effectExtent l="0" t="0" r="0" b="0"/>
                      <wp:wrapNone/>
                      <wp:docPr id="285" name="Frame2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2275" cy="175260"/>
                      <wp:effectExtent l="0" t="0" r="0" b="0"/>
                      <wp:wrapNone/>
                      <wp:docPr id="287" name="Frame287"/>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77950" cy="175260"/>
                      <wp:effectExtent l="0" t="0" r="0" b="0"/>
                      <wp:wrapNone/>
                      <wp:docPr id="288" name="Frame288"/>
                      <a:graphic xmlns:a="http://schemas.openxmlformats.org/drawingml/2006/main">
                        <a:graphicData uri="http://schemas.microsoft.com/office/word/2010/wordprocessingShape">
                          <wps:wsp>
                            <wps:cNvSpPr txBox="1"/>
                            <wps:spPr>
                              <a:xfrm>
                                <a:off x="0" y="0"/>
                                <a:ext cx="137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Shares With Market Conditions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0"/>
              <w:ind w:left="0" w:right="0" w:hanging="0"/>
              <w:jc w:val="left"/>
              <w:rPr/>
            </w:pPr>
            <w:r>
              <w:rPr/>
              <w:t>​</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237,375</w:t>
            </w:r>
          </w:p>
        </w:tc>
        <w:tc>
          <w:tcPr>
            <w:tcW w:w="109"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100,391</w:t>
            </w:r>
          </w:p>
        </w:tc>
        <w:tc>
          <w:tcPr>
            <w:tcW w:w="109"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(85,938)</w:t>
            </w:r>
          </w:p>
        </w:tc>
        <w:tc>
          <w:tcPr>
            <w:tcW w:w="109"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March 31, 2024</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251,828</w:t>
            </w:r>
          </w:p>
        </w:tc>
        <w:tc>
          <w:tcPr>
            <w:tcW w:w="109" w:type="dxa"/>
            <w:tcBorders/>
            <w:vAlign w:val="center"/>
          </w:tcPr>
          <w:p>
            <w:pPr>
              <w:pStyle w:val="TableContents"/>
              <w:bidi w:val="0"/>
              <w:spacing w:before="0" w:after="0"/>
              <w:ind w:left="0" w:right="0" w:hanging="0"/>
              <w:jc w:val="left"/>
              <w:rPr/>
            </w:pPr>
            <w:r>
              <w:rPr/>
              <w:t>​</w:t>
            </w:r>
          </w:p>
        </w:tc>
        <w:tc>
          <w:tcPr>
            <w:tcW w:w="6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17.68</w:t>
            </w:r>
          </w:p>
        </w:tc>
      </w:tr>
    </w:tbl>
    <w:p>
      <w:pPr>
        <w:pStyle w:val="TextBody"/>
        <w:bidi w:val="0"/>
        <w:spacing w:before="0" w:after="0"/>
        <w:ind w:left="0" w:right="0" w:hanging="0"/>
        <w:jc w:val="left"/>
        <w:rPr/>
      </w:pPr>
      <w:r>
        <w:rPr/>
        <w:t>​</w:t>
      </w:r>
    </w:p>
    <w:p>
      <w:pPr>
        <w:pStyle w:val="TextBody"/>
        <w:bidi w:val="0"/>
        <w:spacing w:lineRule="auto" w:line="256"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Shares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107,191 shares of restricted Company common stock during the three months ended March 31, 2024.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March 31, 2024, there was $2.9 million of unrecognized compensation cost, adjusted for estimated forfeitures, related to the non-vested restricted share awards, which will be recognized over a remaining weighted average period of 2.1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240"/>
        <w:ind w:left="0" w:right="0" w:firstLine="490"/>
        <w:jc w:val="both"/>
        <w:rPr>
          <w:rFonts w:ascii="Times New Roman;Times;serif" w:hAnsi="Times New Roman;Times;serif"/>
          <w:sz w:val="20"/>
        </w:rPr>
      </w:pPr>
      <w:bookmarkStart w:id="1358" w:name="Tc_q7KaiqQ950Wwao9QQaLKEw_7_5"/>
      <w:bookmarkStart w:id="1359" w:name="Tc_FWnDu6U2P0-deDLtnubO6Q_7_0"/>
      <w:bookmarkStart w:id="1360" w:name="Tc_EaY5U5baaEGUcD1jDi244Q_6_5"/>
      <w:bookmarkStart w:id="1361" w:name="Tc_52t986M77ket4Svwo1XRuA_6_0"/>
      <w:bookmarkStart w:id="1362" w:name="Tc_sVFcJQs8F0GAqT33CxWxzA_5_6"/>
      <w:bookmarkStart w:id="1363" w:name="Tc_f9BcCMPW2Ei7VY6Cg7J5pQ_5_5"/>
      <w:bookmarkStart w:id="1364" w:name="Tc_Z66zZH6mQka_EnWckgN4KA_5_3"/>
      <w:bookmarkStart w:id="1365" w:name="Tc_bSVFFDLRLUWWfFhV-vk-PQ_5_0"/>
      <w:bookmarkStart w:id="1366" w:name="Tc_rfvX3sBR8UOGXG5oHvO9oA_4_5"/>
      <w:bookmarkStart w:id="1367" w:name="Tc_XSJ_K9FSy0WThguIX13qnQ_4_0"/>
      <w:bookmarkStart w:id="1368" w:name="Tc_vYb35xezMEmlmlWdHjvEDQ_3_5"/>
      <w:bookmarkStart w:id="1369" w:name="Tc_902j5Z5ssE6-5pDiKRZcUw_3_0"/>
      <w:bookmarkStart w:id="1370" w:name="Tc_cXyaOtKktk6H36lWYCiCQw_2_5"/>
      <w:bookmarkStart w:id="1371" w:name="Tc_eUXCU9n2hke-RSuK6UJRsw_2_0"/>
      <w:bookmarkStart w:id="1372" w:name="Tc_0OY1G3Qk4EWSsZprovTpIQ_1_5"/>
      <w:bookmarkStart w:id="1373" w:name="Tc_-MxqFLQ0zEe3z7ISrh3I1w_1_2"/>
      <w:bookmarkStart w:id="1374" w:name="Tc_SxHoIYCZAk-3ahFQKa4feg_1_0"/>
      <w:bookmarkStart w:id="1375" w:name="_a40a95b1_0307_4cbb_9b7a_0f53387de2f2"/>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r>
        <w:rPr>
          <w:rFonts w:ascii="Times New Roman;Times;serif" w:hAnsi="Times New Roman;Times;serif"/>
          <w:sz w:val="20"/>
        </w:rPr>
        <w:t>A summary of the activity for these awards during the three months ended March 31, 2024 is presented below:</w:t>
      </w:r>
    </w:p>
    <w:tbl>
      <w:tblPr>
        <w:tblW w:w="7003" w:type="dxa"/>
        <w:jc w:val="left"/>
        <w:tblInd w:w="0" w:type="dxa"/>
        <w:tblLayout w:type="fixed"/>
        <w:tblCellMar>
          <w:top w:w="0" w:type="dxa"/>
          <w:left w:w="0" w:type="dxa"/>
          <w:bottom w:w="0" w:type="dxa"/>
          <w:right w:w="0" w:type="dxa"/>
        </w:tblCellMar>
      </w:tblPr>
      <w:tblGrid>
        <w:gridCol w:w="2611"/>
        <w:gridCol w:w="326"/>
        <w:gridCol w:w="109"/>
        <w:gridCol w:w="796"/>
        <w:gridCol w:w="326"/>
        <w:gridCol w:w="665"/>
        <w:gridCol w:w="2170"/>
      </w:tblGrid>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05460" cy="175260"/>
                      <wp:effectExtent l="0" t="0" r="0" b="0"/>
                      <wp:wrapNone/>
                      <wp:docPr id="291" name="Frame2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22275" cy="175260"/>
                      <wp:effectExtent l="0" t="0" r="0" b="0"/>
                      <wp:wrapNone/>
                      <wp:docPr id="293" name="Frame293"/>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77950" cy="175260"/>
                      <wp:effectExtent l="0" t="0" r="0" b="0"/>
                      <wp:wrapNone/>
                      <wp:docPr id="294" name="Frame294"/>
                      <a:graphic xmlns:a="http://schemas.openxmlformats.org/drawingml/2006/main">
                        <a:graphicData uri="http://schemas.microsoft.com/office/word/2010/wordprocessingShape">
                          <wps:wsp>
                            <wps:cNvSpPr txBox="1"/>
                            <wps:spPr>
                              <a:xfrm>
                                <a:off x="0" y="0"/>
                                <a:ext cx="137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Restricted Shares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    </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216,357</w:t>
            </w:r>
          </w:p>
        </w:tc>
        <w:tc>
          <w:tcPr>
            <w:tcW w:w="32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107,191</w:t>
            </w:r>
          </w:p>
        </w:tc>
        <w:tc>
          <w:tcPr>
            <w:tcW w:w="32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(75,434)</w:t>
            </w:r>
          </w:p>
        </w:tc>
        <w:tc>
          <w:tcPr>
            <w:tcW w:w="326"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w:t>
            </w:r>
          </w:p>
        </w:tc>
        <w:tc>
          <w:tcPr>
            <w:tcW w:w="326" w:type="dxa"/>
            <w:tcBorders/>
            <w:shd w:fill="CCEEFF" w:val="clear"/>
            <w:vAlign w:val="center"/>
          </w:tcPr>
          <w:p>
            <w:pPr>
              <w:pStyle w:val="TableContents"/>
              <w:bidi w:val="0"/>
              <w:spacing w:before="0" w:after="0"/>
              <w:ind w:left="0" w:right="0" w:hanging="0"/>
              <w:jc w:val="left"/>
              <w:rPr/>
            </w:pPr>
            <w:r>
              <w:rPr/>
              <w:t>​</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March 31, 2024</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245,238</w:t>
            </w:r>
          </w:p>
        </w:tc>
        <w:tc>
          <w:tcPr>
            <w:tcW w:w="326" w:type="dxa"/>
            <w:tcBorders/>
            <w:vAlign w:val="center"/>
          </w:tcPr>
          <w:p>
            <w:pPr>
              <w:pStyle w:val="TableContents"/>
              <w:bidi w:val="0"/>
              <w:spacing w:before="0" w:after="0"/>
              <w:ind w:left="0" w:right="0" w:hanging="0"/>
              <w:jc w:val="left"/>
              <w:rPr/>
            </w:pPr>
            <w:r>
              <w:rPr/>
              <w:t>​</w:t>
            </w:r>
          </w:p>
        </w:tc>
        <w:tc>
          <w:tcPr>
            <w:tcW w:w="6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18.25</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NON-EMPLOYEE DIRECTOR STOCK COMPENSATION</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last day of the quarter, rounded down to the nearest whole number of shares.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Each non-employee director serving as of the beginning of each calendar year shall receive an annual award of the Company’s common stock. The value of such award totaled $62,500 and $35,000 for the three months ended March 31, 2024 and 2023, respectively, (the “Annual Award”). The number of shares awarded is calculated based on the trailing 20-day average price of the Company’s common stock as of the date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business days prior to the date of the award, rounded down to the nearest whole number of shares. Non-employee directors do not receive meeting fees, but do receive additional retainers for service on Board committees, as set forth in the Company’s Non-Employee Director Compensation Policy available on the Company’s website (www.ctoreit.com).</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March 31, 2024 and 2023, the expense recognized for the value of the Company’s common stock received by non-employee directors totaled $0.4 million, or 23,961 shares, and $0.2 million, or 12,764 shares, respectively. The expense recognized includes the Annual Award received during the first quarter of each respective year, which totaled $0.3 million and $0.2 million during each of the three months ended March 31, 2024 and 2023, respectively. </w:t>
      </w:r>
    </w:p>
    <w:p>
      <w:pPr>
        <w:pStyle w:val="TextBody"/>
        <w:bidi w:val="0"/>
        <w:spacing w:before="280" w:after="0"/>
        <w:ind w:left="0" w:right="0" w:hanging="0"/>
        <w:jc w:val="left"/>
        <w:rPr>
          <w:spacing w:val="1"/>
        </w:rPr>
      </w:pPr>
      <w:r>
        <w:rPr>
          <w:spacing w:val="1"/>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20. INCOME TAXES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As of January 1, 2024, the Company consolidated its TRSs into one TRS subject to taxation and the filing of a single corporate income tax return.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 </w:t>
      </w:r>
    </w:p>
    <w:p>
      <w:pPr>
        <w:pStyle w:val="TextBody"/>
        <w:bidi w:val="0"/>
        <w:spacing w:before="280" w:after="120"/>
        <w:ind w:left="0" w:right="0" w:hanging="0"/>
        <w:jc w:val="both"/>
        <w:rPr>
          <w:rFonts w:ascii="Times New Roman;Times;serif" w:hAnsi="Times New Roman;Times;serif"/>
          <w:b/>
          <w:sz w:val="20"/>
        </w:rPr>
      </w:pPr>
      <w:bookmarkStart w:id="1376" w:name="Tc_Hv1eKQYQEkGhMpLfreGf6A_4_2"/>
      <w:bookmarkStart w:id="1377" w:name="Tc_V1-cz0aktUCqrEVwYa_p3g_4_0"/>
      <w:bookmarkStart w:id="1378" w:name="Tc_mfwhyjuUvUycSKuJP7FV0g_3_0"/>
      <w:bookmarkStart w:id="1379" w:name="Tc_qskWRdeXvka_1NPqOZGtSQ_2_2"/>
      <w:bookmarkStart w:id="1380" w:name="Tc_cweeTt6lF0G40Eo1qpFpow_2_0"/>
      <w:bookmarkStart w:id="1381" w:name="Tc_fHNDoxgxOE6Zt6XQiTkJ8g_1_2"/>
      <w:bookmarkStart w:id="1382" w:name="_b8bd35ba_7484_4167_970c_fe69309f0060"/>
      <w:bookmarkStart w:id="1383" w:name="COMMITMENTS"/>
      <w:bookmarkEnd w:id="1376"/>
      <w:bookmarkEnd w:id="1377"/>
      <w:bookmarkEnd w:id="1378"/>
      <w:bookmarkEnd w:id="1379"/>
      <w:bookmarkEnd w:id="1380"/>
      <w:bookmarkEnd w:id="1381"/>
      <w:bookmarkEnd w:id="1382"/>
      <w:bookmarkEnd w:id="1383"/>
      <w:r>
        <w:rPr>
          <w:rFonts w:ascii="Times New Roman;Times;serif" w:hAnsi="Times New Roman;Times;serif"/>
          <w:b/>
          <w:sz w:val="20"/>
        </w:rPr>
        <w:t>NOTE 21. COMMITMENTS AND CONTINGENCIES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Contractual Commitments – Expenditures </w:t>
      </w:r>
    </w:p>
    <w:p>
      <w:pPr>
        <w:pStyle w:val="TextBody"/>
        <w:bidi w:val="0"/>
        <w:spacing w:lineRule="auto" w:line="273" w:before="0" w:after="0"/>
        <w:ind w:left="0" w:right="0" w:firstLine="547"/>
        <w:jc w:val="both"/>
        <w:rPr/>
      </w:pPr>
      <w:r>
        <w:rPr/>
        <w:t>​</w:t>
      </w:r>
    </w:p>
    <w:p>
      <w:pPr>
        <w:pStyle w:val="TextBody"/>
        <w:bidi w:val="0"/>
        <w:spacing w:lineRule="auto" w:line="268"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committed to fund the following capital improvements. The improvements, which are related to several properties, are estimated to be generally completed within twelve months. These commitments, as of March 31, 2024, are as follows (in thousands): </w:t>
      </w:r>
    </w:p>
    <w:p>
      <w:pPr>
        <w:pStyle w:val="TextBody"/>
        <w:bidi w:val="0"/>
        <w:spacing w:lineRule="auto" w:line="273" w:before="0" w:after="0"/>
        <w:ind w:left="0" w:right="0" w:firstLine="547"/>
        <w:jc w:val="both"/>
        <w:rPr/>
      </w:pPr>
      <w:r>
        <w:rPr/>
        <w:t>​</w:t>
      </w:r>
    </w:p>
    <w:tbl>
      <w:tblPr>
        <w:tblW w:w="4190" w:type="dxa"/>
        <w:jc w:val="left"/>
        <w:tblInd w:w="0" w:type="dxa"/>
        <w:tblLayout w:type="fixed"/>
        <w:tblCellMar>
          <w:top w:w="0" w:type="dxa"/>
          <w:left w:w="0" w:type="dxa"/>
          <w:bottom w:w="0" w:type="dxa"/>
          <w:right w:w="0" w:type="dxa"/>
        </w:tblCellMar>
      </w:tblPr>
      <w:tblGrid>
        <w:gridCol w:w="2131"/>
        <w:gridCol w:w="109"/>
        <w:gridCol w:w="414"/>
        <w:gridCol w:w="153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53185" cy="175260"/>
                      <wp:effectExtent l="0" t="0" r="0" b="0"/>
                      <wp:wrapNone/>
                      <wp:docPr id="295" name="Frame295"/>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62890" cy="175260"/>
                      <wp:effectExtent l="0" t="0" r="0" b="0"/>
                      <wp:wrapNone/>
                      <wp:docPr id="297" name="Frame297"/>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975360" cy="175260"/>
                      <wp:effectExtent l="0" t="0" r="0" b="0"/>
                      <wp:wrapNone/>
                      <wp:docPr id="298" name="Frame298"/>
                      <a:graphic xmlns:a="http://schemas.openxmlformats.org/drawingml/2006/main">
                        <a:graphicData uri="http://schemas.microsoft.com/office/word/2010/wordprocessingShape">
                          <wps:wsp>
                            <wps:cNvSpPr txBox="1"/>
                            <wps:spPr>
                              <a:xfrm>
                                <a:off x="0" y="0"/>
                                <a:ext cx="97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March 31, 2024</w:t>
            </w:r>
          </w:p>
        </w:tc>
      </w:tr>
      <w:tr>
        <w:trPr/>
        <w:tc>
          <w:tcPr>
            <w:tcW w:w="213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21,227</w:t>
            </w:r>
          </w:p>
        </w:tc>
      </w:tr>
      <w:tr>
        <w:trPr/>
        <w:tc>
          <w:tcPr>
            <w:tcW w:w="21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w:t>
            </w:r>
          </w:p>
        </w:tc>
      </w:tr>
      <w:tr>
        <w:trPr/>
        <w:tc>
          <w:tcPr>
            <w:tcW w:w="21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17,019</w:t>
            </w:r>
          </w:p>
        </w:tc>
      </w:tr>
    </w:tbl>
    <w:p>
      <w:pPr>
        <w:pStyle w:val="TextBody"/>
        <w:pBdr/>
        <w:bidi w:val="0"/>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NOTE 22. BUSINESS SEGMENT DATA</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operates in four primary business segments: income properties, management services, commercial loans and investments, and real estate operations. Our income property operations consist of income-producing properties, and our business plan is focused on investing in additional income-producing properties. Our income property operations accounted for 90% of our identifiable assets as of March 31, 2024 and December 31, 2023, and 87.5% and 90.8% of our consolidated revenues for the three months ended March 31, 2024 and 2023, respectively. </w:t>
      </w:r>
      <w:r>
        <w:rPr>
          <w:rFonts w:ascii="Times New Roman;Times;serif" w:hAnsi="Times New Roman;Times;serif"/>
          <w:sz w:val="20"/>
          <w:shd w:fill="FFFFFF" w:val="clear"/>
        </w:rPr>
        <w:t xml:space="preserve">Our management fee income consists primarily of the management fees earned for the management of PINE as well as from the Portfolio Management Agreement and the </w:t>
      </w:r>
      <w:r>
        <w:rPr>
          <w:rFonts w:ascii="Times New Roman;Times;serif" w:hAnsi="Times New Roman;Times;serif"/>
          <w:sz w:val="20"/>
        </w:rPr>
        <w:t>Subsurface Management Agreement</w:t>
      </w:r>
      <w:r>
        <w:rPr>
          <w:rFonts w:ascii="Times New Roman;Times;serif" w:hAnsi="Times New Roman;Times;serif"/>
          <w:sz w:val="20"/>
          <w:shd w:fill="FFFFFF" w:val="clear"/>
        </w:rPr>
        <w:t>.</w:t>
      </w:r>
      <w:r>
        <w:rPr>
          <w:rFonts w:ascii="Times New Roman;Times;serif" w:hAnsi="Times New Roman;Times;serif"/>
          <w:sz w:val="20"/>
        </w:rPr>
        <w:t xml:space="preserve"> As of March 31, 2024, our commercial loans and investments portfolio consisted of four commercial loan investments and one preferred equity investment which is classified as a commercial loan investment. Our real estate operations consist of revenues generated from the sale of and royalty income related to our interests in subsurface oil, gas, and mineral rights, and the sale of mitigation credits. </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evaluates segment performance based on operating income. The Company’s reportable segments are strategic business units that offer different products. They are managed separately because each segment requires different management techniques, knowledge, and skills.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120"/>
        <w:ind w:left="0" w:right="0" w:firstLine="547"/>
        <w:jc w:val="both"/>
        <w:rPr>
          <w:rFonts w:ascii="Times New Roman;Times;serif" w:hAnsi="Times New Roman;Times;serif"/>
          <w:sz w:val="20"/>
        </w:rPr>
      </w:pPr>
      <w:bookmarkStart w:id="1384" w:name="_d2652404_3000_4811_8652_29f93debc3ce_3"/>
      <w:bookmarkStart w:id="1385" w:name="_d2652404_3000_4811_8652_29f93debc3ce_2"/>
      <w:bookmarkStart w:id="1386" w:name="_d2652404_3000_4811_8652_29f93debc3ce"/>
      <w:bookmarkStart w:id="1387" w:name="Tc_6PYskybRukiDEqIwzzEnjA_9_5"/>
      <w:bookmarkStart w:id="1388" w:name="Tc_wxvzCBgi00yuQ_00YWsOTQ_9_2"/>
      <w:bookmarkStart w:id="1389" w:name="Tc_UhH3pqctpEuQpjF5qBmdag_9_0"/>
      <w:bookmarkStart w:id="1390" w:name="Tc_JsE-y52qPE2RtcrPox4Ppg_8_0"/>
      <w:bookmarkStart w:id="1391" w:name="Tc_FpvLLVijQ0WZPcA99kZ7ZQ_7_0"/>
      <w:bookmarkStart w:id="1392" w:name="Tc_sYT1sQgaikagKfbAlQe6gg_6_0"/>
      <w:bookmarkStart w:id="1393" w:name="Tc_ISWCuC38m0KjTfmPTraVlA_5_0"/>
      <w:bookmarkStart w:id="1394" w:name="Tc_KbMMKTZm506HZ86cSWxGSw_4_5"/>
      <w:bookmarkStart w:id="1395" w:name="Tc_K1LZ0aeW40O2Pl0PySx3rw_4_2"/>
      <w:bookmarkStart w:id="1396" w:name="Tc_Kg__phfERkiuPqYzRXiTHw_4_0"/>
      <w:bookmarkStart w:id="1397" w:name="Tc_6vDzHzH0W0euNqeGHNcL9Q_3_0"/>
      <w:bookmarkStart w:id="1398" w:name="Tc_0SfAhm75KEudyyEt71R9hA_2_5"/>
      <w:bookmarkStart w:id="1399" w:name="Tc_9QQGeM9bCEuduEBXKT41GQ_2_2"/>
      <w:bookmarkStart w:id="1400" w:name="Tc_x4mB0ziP_Uuz9qdgGQvpfw_1_2"/>
      <w:bookmarkStart w:id="1401" w:name="_84abec3d_a62a_47d2_9c19_c55ceccfdc2e"/>
      <w:bookmarkStart w:id="1402" w:name="Tc_Gpyl3SP83UGYpvbR5WHmnA_26_5"/>
      <w:bookmarkStart w:id="1403" w:name="Tc_VyIwzZGw80mkv15OU4Mp7Q_26_2"/>
      <w:bookmarkStart w:id="1404" w:name="Tc_juqUfWW6YEmIdRNAr5hX0g_26_0"/>
      <w:bookmarkStart w:id="1405" w:name="Tc_ONQODH6ZDUOmMJgCBfALSA_25_0"/>
      <w:bookmarkStart w:id="1406" w:name="Tc_aCy30g6fik-4BactQpRjLQ_24_0"/>
      <w:bookmarkStart w:id="1407" w:name="Tc_AY-anb8MA0q8iCqMxA2nQg_23_5"/>
      <w:bookmarkStart w:id="1408" w:name="Tc_R5jPd2AgeE6-uI9Xh6nyJA_23_2"/>
      <w:bookmarkStart w:id="1409" w:name="Tc_v4gEybMgC0mocfGRvEJ6Zg_23_0"/>
      <w:bookmarkStart w:id="1410" w:name="Tc_RPACyl5sUUSq8kRe91dP1g_22_0"/>
      <w:bookmarkStart w:id="1411" w:name="Tc_ZSqsWUm1C0a6J8BQQwwtBA_21_5"/>
      <w:bookmarkStart w:id="1412" w:name="Tc_tgOUGVCMZkWClaamOngJCQ_21_2"/>
      <w:bookmarkStart w:id="1413" w:name="Tc_Kl0iE7ydU068i18Puy8Aig_21_0"/>
      <w:bookmarkStart w:id="1414" w:name="Tc_-mgR68bB00ClRmRRuaffAg_20_0"/>
      <w:bookmarkStart w:id="1415" w:name="Tc_lXL9ivZxnUWqAwFBilx2dg_19_5"/>
      <w:bookmarkStart w:id="1416" w:name="Tc_k8xirTvVfEWeJEcm4R9z2w_19_2"/>
      <w:bookmarkStart w:id="1417" w:name="Tc_sGSn-OzNiUKvdXRuvqQ04A_19_0"/>
      <w:bookmarkStart w:id="1418" w:name="Tc_d1Gf9PFYzUGWvtnoGqOu-A_18_0"/>
      <w:bookmarkStart w:id="1419" w:name="Tc_XfxXG08jtEOoJKhlO-4GyA_17_5"/>
      <w:bookmarkStart w:id="1420" w:name="Tc_3EJzQOFkDEGsrLF7mI_o8Q_17_2"/>
      <w:bookmarkStart w:id="1421" w:name="Tc_qjxz_LHXrUmQHcJ3AsQ14A_17_0"/>
      <w:bookmarkStart w:id="1422" w:name="Tc_ZawMv1PX0UG5YB7185mTbg_16_6"/>
      <w:bookmarkStart w:id="1423" w:name="Tc_Wn2elruaTUSyQbBjZWDJEw_16_0"/>
      <w:bookmarkStart w:id="1424" w:name="Tc_xWnuzVyrS06SS2sNDJ8aPw_15_0"/>
      <w:bookmarkStart w:id="1425" w:name="Tc_rp1yHjMI_Em5LlZBB0n3hw_14_0"/>
      <w:bookmarkStart w:id="1426" w:name="Tc_IbQ5yAszv0SDSSuI-TrLqA_13_0"/>
      <w:bookmarkStart w:id="1427" w:name="Tc_OIkdjlbghkW0IkYX4_bjZw_12_0"/>
      <w:bookmarkStart w:id="1428" w:name="Tc_UYNv18jCVUmSoIM-0Rgsfg_11_0"/>
      <w:bookmarkStart w:id="1429" w:name="Tc_s5QK7sPFr0CWOgMi1HnMlg_10_5"/>
      <w:bookmarkStart w:id="1430" w:name="Tc_2O2KirfSr0eBTjQmL7F43w_10_2"/>
      <w:bookmarkStart w:id="1431" w:name="Tc_99tGUgwUbEidLbwy_PDafw_10_0"/>
      <w:bookmarkStart w:id="1432" w:name="Tc_oUlOvlNLr0-oqNEVVylyqw_9_0"/>
      <w:bookmarkStart w:id="1433" w:name="Tc_RW5y-AD0Rku-JWrEzqK6iw_8_5"/>
      <w:bookmarkStart w:id="1434" w:name="Tc_PQ_N-SmhAUGNQqYsn_LdKQ_8_2"/>
      <w:bookmarkStart w:id="1435" w:name="Tc_h7JNb5PGm0m9Ju-05TQcJQ_8_0"/>
      <w:bookmarkStart w:id="1436" w:name="Tc_VX2c3HclJkqk0TnrB79l2Q_7_0"/>
      <w:bookmarkStart w:id="1437" w:name="Tc_NiYSEXnqkEepZpFLMJubNw_6_0"/>
      <w:bookmarkStart w:id="1438" w:name="Tc_nvvzQFBdTkSDv_Z55kDZiA_5_0"/>
      <w:bookmarkStart w:id="1439" w:name="Tc_vihJmT1M1UOOZL2WGEsfbg_4_5"/>
      <w:bookmarkStart w:id="1440" w:name="Tc_zeSUyf6L5UCABuYpPvYqSA_4_2"/>
      <w:bookmarkStart w:id="1441" w:name="Tc_B5f8tKsTA0m6-ybLoU-NHQ_4_0"/>
      <w:bookmarkStart w:id="1442" w:name="Tc_bpYT_F4or0Swndps0ef09w_3_0"/>
      <w:bookmarkStart w:id="1443" w:name="Tc_bBfQtox6PUibvsx3Z6tQXA_2_5"/>
      <w:bookmarkStart w:id="1444" w:name="Tc_uRptdMhvRk-UgwYSKyWJng_2_2"/>
      <w:bookmarkStart w:id="1445" w:name="Tc_01rBJ_eEs02hfyBFwnDAFg_1_2"/>
      <w:bookmarkStart w:id="1446" w:name="_b6dc095b_555f_4ca1_8b50_b13ec6dc258a"/>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r>
        <w:rPr>
          <w:rFonts w:ascii="Times New Roman;Times;serif" w:hAnsi="Times New Roman;Times;serif"/>
          <w:sz w:val="20"/>
        </w:rPr>
        <w:t xml:space="preserve">Information about the Company’s operations in different segments for the three months ended March 31, 2024 and 2023 is as follows (in thousands): </w:t>
      </w:r>
    </w:p>
    <w:tbl>
      <w:tblPr>
        <w:tblW w:w="8348" w:type="dxa"/>
        <w:jc w:val="left"/>
        <w:tblInd w:w="0" w:type="dxa"/>
        <w:tblLayout w:type="fixed"/>
        <w:tblCellMar>
          <w:top w:w="0" w:type="dxa"/>
          <w:left w:w="0" w:type="dxa"/>
          <w:bottom w:w="0" w:type="dxa"/>
          <w:right w:w="0" w:type="dxa"/>
        </w:tblCellMar>
      </w:tblPr>
      <w:tblGrid>
        <w:gridCol w:w="4771"/>
        <w:gridCol w:w="326"/>
        <w:gridCol w:w="301"/>
        <w:gridCol w:w="1139"/>
        <w:gridCol w:w="326"/>
        <w:gridCol w:w="298"/>
        <w:gridCol w:w="1187"/>
      </w:tblGrid>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91135" cy="175260"/>
                      <wp:effectExtent l="0" t="0" r="0" b="0"/>
                      <wp:wrapNone/>
                      <wp:docPr id="300" name="Frame30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23265" cy="175260"/>
                      <wp:effectExtent l="0" t="0" r="0" b="0"/>
                      <wp:wrapNone/>
                      <wp:docPr id="301" name="Frame301"/>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89230" cy="175260"/>
                      <wp:effectExtent l="0" t="0" r="0" b="0"/>
                      <wp:wrapNone/>
                      <wp:docPr id="303" name="Frame303"/>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53745" cy="175260"/>
                      <wp:effectExtent l="0" t="0" r="0" b="0"/>
                      <wp:wrapNone/>
                      <wp:docPr id="304" name="Frame304"/>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center"/>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24,623</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22,432</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28,127</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24,717</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17,870</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15,279</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Corporate Expense</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(15,147)</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(14,043)</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14,523</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10,915</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10,302</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10,931</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10,316</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pPr>
            <w:r>
              <w:rPr/>
              <w:t>​</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73,403</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7,773</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16,061</w:t>
            </w:r>
          </w:p>
        </w:tc>
      </w:tr>
      <w:tr>
        <w:trPr/>
        <w:tc>
          <w:tcPr>
            <w:tcW w:w="47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7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79,987</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23,859</w:t>
            </w:r>
          </w:p>
        </w:tc>
      </w:tr>
    </w:tbl>
    <w:p>
      <w:pPr>
        <w:pStyle w:val="TextBody"/>
        <w:bidi w:val="0"/>
        <w:spacing w:before="0" w:after="0"/>
        <w:ind w:left="0" w:right="0" w:hanging="0"/>
        <w:jc w:val="left"/>
        <w:rPr/>
      </w:pPr>
      <w:r>
        <w:rPr/>
        <w:t>​</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Identifiable assets of each segment as of March 31, 2024 and December 31, 2023 are as follows (in thousands):</w:t>
      </w:r>
    </w:p>
    <w:p>
      <w:pPr>
        <w:pStyle w:val="TextBody"/>
        <w:bidi w:val="0"/>
        <w:spacing w:before="0" w:after="0"/>
        <w:ind w:left="0" w:right="0" w:hanging="0"/>
        <w:jc w:val="left"/>
        <w:rPr/>
      </w:pPr>
      <w:r>
        <w:rPr/>
        <w:t>​</w:t>
      </w:r>
    </w:p>
    <w:tbl>
      <w:tblPr>
        <w:tblW w:w="6878" w:type="dxa"/>
        <w:jc w:val="left"/>
        <w:tblInd w:w="0" w:type="dxa"/>
        <w:tblLayout w:type="fixed"/>
        <w:tblCellMar>
          <w:top w:w="0" w:type="dxa"/>
          <w:left w:w="0" w:type="dxa"/>
          <w:bottom w:w="0" w:type="dxa"/>
          <w:right w:w="0" w:type="dxa"/>
        </w:tblCellMar>
      </w:tblPr>
      <w:tblGrid>
        <w:gridCol w:w="3016"/>
        <w:gridCol w:w="326"/>
        <w:gridCol w:w="266"/>
        <w:gridCol w:w="1174"/>
        <w:gridCol w:w="326"/>
        <w:gridCol w:w="340"/>
        <w:gridCol w:w="1430"/>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68910" cy="175260"/>
                      <wp:effectExtent l="0" t="0" r="0" b="0"/>
                      <wp:wrapNone/>
                      <wp:docPr id="306" name="Frame30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45490" cy="175260"/>
                      <wp:effectExtent l="0" t="0" r="0" b="0"/>
                      <wp:wrapNone/>
                      <wp:docPr id="307" name="Frame307"/>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5900" cy="175260"/>
                      <wp:effectExtent l="0" t="0" r="0" b="0"/>
                      <wp:wrapNone/>
                      <wp:docPr id="309" name="Frame30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908050" cy="175260"/>
                      <wp:effectExtent l="0" t="0" r="0" b="0"/>
                      <wp:wrapNone/>
                      <wp:docPr id="310" name="Frame310"/>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5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935,976</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887,345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66,816</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62,099</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35,416</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1,041,083</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989,668</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Operating income represents income from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primarily includes the identifiable assets of the Company’s Subsurface Interests and mitigation credits. Corporate and other assets consist primarily of cash and restricted cash, property, plant, and equipment related to the other operations, as well as the general and corporate operations. The management services and real estate operations segments had no capital expenditures during the three months ended March 31, 2024 or 2023. </w:t>
      </w:r>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lineRule="auto" w:line="256"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23. SUBSEQUENT EVENTS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Subsequent events and transactions were evaluated through May 2, 2024, the date the consolidated financial statements were issued.</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April 11, 2024, </w:t>
      </w:r>
      <w:r>
        <w:rPr>
          <w:rFonts w:ascii="Times New Roman;Times;serif" w:hAnsi="Times New Roman;Times;serif"/>
          <w:sz w:val="20"/>
          <w:shd w:fill="FFFFFF" w:val="clear"/>
        </w:rPr>
        <w:t>the Company completed a follow-on public offering of 1,718,417 shares of the Series A Preferred Stock. Upon closing, the Company received net proceeds of $33.1 million, after deducting the underwriting discount and offering expenses payable by the Company</w:t>
      </w:r>
      <w:r>
        <w:rPr>
          <w:rFonts w:ascii="Times New Roman;Times;serif" w:hAnsi="Times New Roman;Times;serif"/>
          <w:sz w:val="20"/>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47" w:name="ITEM2MANAGEMENTSDISCUSSIONANDANALYSIS_90"/>
      <w:bookmarkStart w:id="1448" w:name="_1d4877ae_9a27_41c7_9670_fd88559566e7"/>
      <w:bookmarkEnd w:id="1447"/>
      <w:bookmarkEnd w:id="1448"/>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i/>
          <w:sz w:val="20"/>
          <w:shd w:fill="FFFFFF" w:val="clear"/>
        </w:rPr>
      </w:pPr>
      <w:r>
        <w:rPr>
          <w:rFonts w:ascii="Times New Roman;Times;serif" w:hAnsi="Times New Roman;Times;serif"/>
          <w:i/>
          <w:sz w:val="20"/>
          <w:shd w:fill="FFFFFF" w:val="clear"/>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Statements contained in this Quarterly Report on Form 10-Q that are not historical facts are forward-looking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   </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competition that traditional retail tenants face from e-commerce retail sales, or the integration of brick and mortar stores with e-commerce retail operators, could adversely affect our business;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operate in a highly competitive market for the acquisition of income properties and more established entities or other investors may be able to compete more effectively for acquisition opportunities than we can;</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we may be unable to successfully execute on asset acquisitions or dispositions;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loss of revenues from our income property portfolio or certain tenants would adversely impact our results of operations and cash flows;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prolonged downturn in economic conditions could adversely impact our business, particularly with regard to our ability to maintain revenues from our income-producing assets;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part of our investment strategy is focused on investing in commercial loans and investments which may involve credit risk or the risk that our borrowers will fail to pay scheduled contractual payments to us when due;</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may suffer losses when a borrower defaults on a loan and the value of the underlying collateral is less than the amount due;</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Company’s real estate investments are generally illiquid;</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servicing our debt requires a significant amount of cash, and we may not have sufficient cash flow from our business to service or pay our debt;</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operations and properties could be adversely affected in the event of natural disasters, pandemics, or other significant disruptions; </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we may encounter environmental problems which require remediation or the incurrence of significant costs to resolve, which could adversely impact our financial condition, results of operations, and cash flows;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failure to remain qualified as real estate investment trust (“REIT”) for U.S. federal income tax purposes would cause us to be taxed as a regular corporation, which would substantially reduce funds available for distribution to stockholders;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risk that the REIT requirements could limit our financial flexibility;</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limited experience operating as a REIT;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ability to pay dividends consistent with the REIT requirements, and expectations as to timing and amounts of such dividends;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ability of our board of directors (the “Board”) to revoke our REIT status without stockholder approval;</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exposure to changes in U.S. federal and state income tax laws, including changes to the REIT requirements;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 business and economic conditions, including unstable macroeconomic conditions due to, among other things, political unrest and economic uncertainty due to terrorism or war, inflation, rising interest rates and distress in the banking sector; and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 </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describes the risks and uncertainties that could cause actual results and events to differ materially in “Risk Factors” (Part II, Item 1A of this Quarterly Report on Form 10-Q and Part I, Item 1A of our Annual Report on Form 10-K for the year ended December 31, 2023), “Quantitative and Qualitative Disclosures about Market Risk” (Part I, Item 3 of this Quarterly Report on Form 10-Q), and “Management’s Discussion and Analysis of Financial Conditions and Results of Operations” (Part I, Item 2 of this Quarterly Report on Form 10-Q).</w:t>
      </w:r>
    </w:p>
    <w:p>
      <w:pPr>
        <w:pStyle w:val="TextBody"/>
        <w:bidi w:val="0"/>
        <w:spacing w:before="100" w:after="10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March 31, 2024, we own and manage, sometimes utilizing third-party property management companies, 20 commercial real estate properties in 8 states in the United States, comprising 3.9 million square feet of gross leasable space. In addition to our income property portfolio, as of March 31, 2024, our business included the following: </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one preferred equity investment which is classified as a commercial loan investment.</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Real Estate Operations: An inventory of mitigation credits produced by the Company’s formerly owned mitigation bank. During the three months ended March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business also includes our investment in PINE. As of March 31, 2024, the fair value of our investment totaled $35.6 million, or 15.7%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shd w:fill="FFFFFF" w:val="clear"/>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w:t>
      </w:r>
      <w:r>
        <w:rPr>
          <w:rFonts w:ascii="Times New Roman;Times;serif" w:hAnsi="Times New Roman;Times;serif"/>
          <w:sz w:val="20"/>
        </w:rPr>
        <w:t xml:space="preserve"> During the three months ended March 31, 2024, the Company sold one income property for a sales price of $20.0 million and a gain on sale of $4.6 million. </w:t>
      </w:r>
      <w:r>
        <w:rPr>
          <w:rFonts w:ascii="Times New Roman;Times;serif" w:hAnsi="Times New Roman;Times;serif"/>
          <w:sz w:val="20"/>
          <w:shd w:fill="FFFFFF" w:val="clear"/>
        </w:rPr>
        <w:t>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Our current portfolio of 14 multi-tenant properties generates $75.0 million of revenue from annualized straight-line base lease payments and had a weighted average remaining lease term of 5.2 years as of March 31, 2024. Our current portfolio of 6 single-tenant income properties generates $5.6 million of revenues from annualized straight-line base lease payments and had a weighted average remaining lease term of 6.0 years as of March 31, 2024. </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MARCH 31, 2024 AND 2023</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three months ended March 31, 2024 is presented in the following summary and indicates the changes as compared to the three months ended March 31, 2023 (in thousands): </w:t>
      </w:r>
    </w:p>
    <w:p>
      <w:pPr>
        <w:pStyle w:val="TextBody"/>
        <w:bidi w:val="0"/>
        <w:spacing w:before="0" w:after="0"/>
        <w:ind w:left="0" w:right="0" w:firstLine="360"/>
        <w:jc w:val="both"/>
        <w:rPr>
          <w:shd w:fill="FFFF00" w:val="clear"/>
        </w:rPr>
      </w:pPr>
      <w:r>
        <w:rPr>
          <w:shd w:fill="FFFF00" w:val="clear"/>
        </w:rPr>
        <w:t>​</w:t>
      </w:r>
    </w:p>
    <w:tbl>
      <w:tblPr>
        <w:tblW w:w="8756" w:type="dxa"/>
        <w:jc w:val="left"/>
        <w:tblInd w:w="0" w:type="dxa"/>
        <w:tblLayout w:type="fixed"/>
        <w:tblCellMar>
          <w:top w:w="0" w:type="dxa"/>
          <w:left w:w="0" w:type="dxa"/>
          <w:bottom w:w="0" w:type="dxa"/>
          <w:right w:w="0" w:type="dxa"/>
        </w:tblCellMar>
      </w:tblPr>
      <w:tblGrid>
        <w:gridCol w:w="3016"/>
        <w:gridCol w:w="326"/>
        <w:gridCol w:w="342"/>
        <w:gridCol w:w="1098"/>
        <w:gridCol w:w="109"/>
        <w:gridCol w:w="342"/>
        <w:gridCol w:w="1098"/>
        <w:gridCol w:w="109"/>
        <w:gridCol w:w="279"/>
        <w:gridCol w:w="757"/>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7170" cy="175260"/>
                      <wp:effectExtent l="0" t="0" r="0" b="0"/>
                      <wp:wrapNone/>
                      <wp:docPr id="312" name="Frame312"/>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7230" cy="175260"/>
                      <wp:effectExtent l="0" t="0" r="0" b="0"/>
                      <wp:wrapNone/>
                      <wp:docPr id="313" name="Frame313"/>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7170" cy="175260"/>
                      <wp:effectExtent l="0" t="0" r="0" b="0"/>
                      <wp:wrapNone/>
                      <wp:docPr id="315" name="Frame31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7230" cy="175260"/>
                      <wp:effectExtent l="0" t="0" r="0" b="0"/>
                      <wp:wrapNone/>
                      <wp:docPr id="316" name="Frame316"/>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77165" cy="175260"/>
                      <wp:effectExtent l="0" t="0" r="0" b="0"/>
                      <wp:wrapNone/>
                      <wp:docPr id="318" name="Frame318"/>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80695" cy="175260"/>
                      <wp:effectExtent l="0" t="0" r="0" b="0"/>
                      <wp:wrapNone/>
                      <wp:docPr id="319" name="Frame319"/>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43585" cy="175260"/>
                      <wp:effectExtent l="0" t="0" r="0" b="0"/>
                      <wp:wrapNone/>
                      <wp:docPr id="321" name="Frame32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24,623</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22,432</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28,127</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24,717</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3,410</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13.8%</w:t>
            </w:r>
          </w:p>
        </w:tc>
      </w:tr>
    </w:tbl>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revenue for the three months ended March 31, 2024 increased to $28.1 million, compared to $24.7 million during the three months ended March 31, 2023. The $3.4 million increase in total revenue is primarily attributable to increased income produced by the Company’s recent income property acquisitions versus that of properties disposed of by the Company during the comparative period, as well as more revenue from our commercial loans and investments and mitigation credit sales included in real estate operations.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4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$24.6 million and $17.9 million, respectively, during the three months ended March 31, 2024, compared to total revenue and operating income of $22.4 million and $15.3 million, respectively, for the three months ended March 31, 2023. The direct costs of revenues for our income property operations totaled $6.8 million and $7.2 million for the three months ended March 31, 2024 and 2023, respectively. The increase in revenues of $2.2 million, or 9.8%, during the three months ended March 31, 2024 is primarily related to the overall growth of the Company’s income property portfolio, as well as the timing of acquisitions versus dispositions. The increase in operating income of $2.6 million from our income property operations reflects increased rent revenues, as well as a decrease of $0.4 million in our direct costs of revenues.</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from PINE totaled $1.0 million and $1.1 million during the three months ended March 31, 2024 and 2023, respectively, due to the decrease in PINE’s total equity. Management services during the three months ended March 31, 2024 also included less than $0.1 million of revenue, from each of the asset management agreement with a third party to manage a portfolio of multi-tenant and single-tenant assets (the “Portfolio Management Agreement”) and the Subsurface Management Agreement.</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$1.4 million and $0.8 million during the three months ended March 31, 2024 and 2023, respectively. The increase is primarily due to increased income as a result of the timing of investments made related to the new loan originations during the three months ended December 31, 2023 and March 31, 2024.</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three months ended March 31, 2024 and 2023, operating income from real estate operations was $0.2 million and $0.3 million on revenues totaling $1.0 million and $0.4 million, respectively. During the three months ended March 31, 2024, there was $0.9 million more mitigation credit sales revenue as compared to the same period in 2023, which led to $0.7 million more in the cost of sales on mitigation credit sales during the three months ended March 31, 2024, as compared to the same period in 2023. The increase in mitigation credit sales was partially offset by reduced subsurface sales revenue of $0.2 million during the three months ended March 31, 2024, as compared to the same period in 2023.</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three months ended March 31, 2024 is presented in the following summary and indicates the changes as compared to the three months ended March 31, 2023 (in thousands):</w:t>
      </w:r>
    </w:p>
    <w:tbl>
      <w:tblPr>
        <w:tblW w:w="9774" w:type="dxa"/>
        <w:jc w:val="left"/>
        <w:tblInd w:w="0" w:type="dxa"/>
        <w:tblLayout w:type="fixed"/>
        <w:tblCellMar>
          <w:top w:w="0" w:type="dxa"/>
          <w:left w:w="0" w:type="dxa"/>
          <w:bottom w:w="0" w:type="dxa"/>
          <w:right w:w="0" w:type="dxa"/>
        </w:tblCellMar>
      </w:tblPr>
      <w:tblGrid>
        <w:gridCol w:w="4021"/>
        <w:gridCol w:w="326"/>
        <w:gridCol w:w="388"/>
        <w:gridCol w:w="1052"/>
        <w:gridCol w:w="122"/>
        <w:gridCol w:w="388"/>
        <w:gridCol w:w="1052"/>
        <w:gridCol w:w="109"/>
        <w:gridCol w:w="345"/>
        <w:gridCol w:w="69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46380" cy="175260"/>
                      <wp:effectExtent l="0" t="0" r="0" b="0"/>
                      <wp:wrapNone/>
                      <wp:docPr id="323" name="Frame32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68020" cy="175260"/>
                      <wp:effectExtent l="0" t="0" r="0" b="0"/>
                      <wp:wrapNone/>
                      <wp:docPr id="324" name="Frame324"/>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7470" cy="175260"/>
                      <wp:effectExtent l="0" t="0" r="0" b="0"/>
                      <wp:wrapNone/>
                      <wp:docPr id="325" name="Frame325"/>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46380" cy="175260"/>
                      <wp:effectExtent l="0" t="0" r="0" b="0"/>
                      <wp:wrapNone/>
                      <wp:docPr id="326" name="Frame326"/>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68020" cy="175260"/>
                      <wp:effectExtent l="0" t="0" r="0" b="0"/>
                      <wp:wrapNone/>
                      <wp:docPr id="327" name="Frame327"/>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075" cy="175260"/>
                      <wp:effectExtent l="0" t="0" r="0" b="0"/>
                      <wp:wrapNone/>
                      <wp:docPr id="329" name="Frame329"/>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8785" cy="175260"/>
                      <wp:effectExtent l="0" t="0" r="0" b="0"/>
                      <wp:wrapNone/>
                      <wp:docPr id="330" name="Frame3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43585" cy="175260"/>
                      <wp:effectExtent l="0" t="0" r="0" b="0"/>
                      <wp:wrapNone/>
                      <wp:docPr id="332" name="Frame33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22"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w:t>
            </w:r>
          </w:p>
        </w:tc>
        <w:tc>
          <w:tcPr>
            <w:tcW w:w="122"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c>
          <w:tcPr>
            <w:tcW w:w="122"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c>
          <w:tcPr>
            <w:tcW w:w="109"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4,216</w:t>
            </w:r>
          </w:p>
        </w:tc>
        <w:tc>
          <w:tcPr>
            <w:tcW w:w="122"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13.1%</w:t>
            </w:r>
          </w:p>
        </w:tc>
      </w:tr>
    </w:tbl>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 xml:space="preserve">The primary reason for the increase in total general and administrative expenses is the overall higher employee count as a result of the increased operating activity from the significant increase in managed income property assets, as well as an increase in non-employee director compensation.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$10.9 million and $10.3 million during the three months ended March 31, 2024 and 2023, respectively. The increase of $0.6 million is due to the overall growth in the Company’s income property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and Provision for Impairment </w:t>
      </w:r>
    </w:p>
    <w:p>
      <w:pPr>
        <w:pStyle w:val="TextBody"/>
        <w:shd w:fill="FFFFFF" w:val="clear"/>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2024 Dispositions.</w:t>
      </w:r>
      <w:r>
        <w:rPr>
          <w:rFonts w:ascii="Times New Roman;Times;serif" w:hAnsi="Times New Roman;Times;serif"/>
          <w:sz w:val="20"/>
        </w:rPr>
        <w:t xml:space="preserve"> During the three months ended March 31, 2024, the Company sold one mixed use income property in downtown Santa Fe, NM for $20.0 million, resulting in a gain of $4.6 million. Additionally, during the three months ended March 31, 2024, the Company sold its portfolio of Subsurface Interests for $5.0 million, resulting in a gain of $4.5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Dispositions.</w:t>
      </w:r>
      <w:r>
        <w:rPr>
          <w:rFonts w:ascii="Times New Roman;Times;serif" w:hAnsi="Times New Roman;Times;serif"/>
          <w:sz w:val="20"/>
        </w:rPr>
        <w:t xml:space="preserve"> There were no income property dispositions during the three months ended March 31, 2023.</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shd w:fill="FFFFFF" w:val="clear"/>
        </w:rPr>
        <w:t xml:space="preserve"> There were no impairment charges on the Company’s income property portfolio during the three months ended March 31, 2024 and 2023. The Company recorded impairment charges of $0.05 million and $0.5 million </w:t>
      </w:r>
      <w:r>
        <w:rPr>
          <w:rFonts w:ascii="Times New Roman;Times;serif" w:hAnsi="Times New Roman;Times;serif"/>
          <w:sz w:val="20"/>
        </w:rPr>
        <w:t xml:space="preserve">during the three months ended March 31, 2024 and 2023, respectively, </w:t>
      </w:r>
      <w:r>
        <w:rPr>
          <w:rFonts w:ascii="Times New Roman;Times;serif" w:hAnsi="Times New Roman;Times;serif"/>
          <w:sz w:val="20"/>
          <w:shd w:fill="FFFFFF" w:val="clear"/>
        </w:rPr>
        <w:t>representing the provision for credit losses related to our commercial loans and investments.</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(Loss)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w:t>
      </w:r>
      <w:r>
        <w:rPr>
          <w:rFonts w:ascii="Times New Roman;Times;serif" w:hAnsi="Times New Roman;Times;serif"/>
          <w:sz w:val="20"/>
          <w:shd w:fill="FFFFFF" w:val="clear"/>
        </w:rPr>
        <w:t>March 31, 2024</w:t>
      </w:r>
      <w:r>
        <w:rPr>
          <w:rFonts w:ascii="Times New Roman;Times;serif" w:hAnsi="Times New Roman;Times;serif"/>
          <w:sz w:val="20"/>
        </w:rPr>
        <w:t xml:space="preserve">, the closing stock price of PINE decreased by $1.63 per share, with a closing price of $15.28 on </w:t>
      </w:r>
      <w:r>
        <w:rPr>
          <w:rFonts w:ascii="Times New Roman;Times;serif" w:hAnsi="Times New Roman;Times;serif"/>
          <w:sz w:val="20"/>
          <w:shd w:fill="FFFFFF" w:val="clear"/>
        </w:rPr>
        <w:t>March 31, 2024</w:t>
      </w:r>
      <w:r>
        <w:rPr>
          <w:rFonts w:ascii="Times New Roman;Times;serif" w:hAnsi="Times New Roman;Times;serif"/>
          <w:sz w:val="20"/>
        </w:rPr>
        <w:t xml:space="preserve">. </w:t>
      </w:r>
      <w:r>
        <w:rPr>
          <w:rFonts w:ascii="Times New Roman;Times;serif" w:hAnsi="Times New Roman;Times;serif"/>
          <w:sz w:val="20"/>
          <w:shd w:fill="FFFFFF" w:val="clear"/>
        </w:rPr>
        <w:t xml:space="preserve">During the three months ended March 31, 2023, the closing stock price of PINE decreased by $2.25 per share, with a closing price of $16.83 on March 31, 2023. </w:t>
      </w:r>
      <w:r>
        <w:rPr>
          <w:rFonts w:ascii="Times New Roman;Times;serif" w:hAnsi="Times New Roman;Times;serif"/>
          <w:sz w:val="20"/>
        </w:rPr>
        <w:t>The change in stock price resulted in unrealized non-cash losses on the Company’s investment in PINE in the amount of $3.8 million and $4.9 million which is included in investment and other income (loss) in the consolidated statements of operations for the three months ended March 31, 2024 and 2023, respectively.</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earned dividend income from the investment in PINE of $0.6 million during each of the three months ended March 31, 2024 and 2023, respectively.</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expense totaled $5.5 million and $4.6 million for the three months ended March 31, 2024 and 2023, respectively. The increase of $0.9 million resulted primarily from the higher balance outstanding on the Company’s Credit Facility.</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Attributable to the Company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Net income (loss) attributable to the Company totaled $5.8 million and $(6.0) million during the three months ended March 31, 2024 and 2023, respectively. The $11.8 million increase in net income is attributable to the factors described above, most notably the $9.2 million in gains on dispositions of assets during the three months ended March 31, 2024, as compared to no such gains during the three months ended March 31, 2023.</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totaled $6.8 million at March 31, 2024, while restricted cash totaled $8.1 million, see Note 2, “Summary of Significant Accounting Policies” under the heading Restricted Cash for the Company’s disclosure related to its restricted cash balance at March 31, 2024.</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operating activities totaled $11.7 million during the three months ended March 31, 2024, as compared to $9.3 million during the three months ended March 31, 2023, an increase of $2.4 million. The primary reason for the increase is from increased cash flows </w:t>
      </w:r>
      <w:r>
        <w:rPr>
          <w:rFonts w:ascii="Times New Roman;Times;serif" w:hAnsi="Times New Roman;Times;serif"/>
          <w:sz w:val="20"/>
          <w:shd w:fill="FFFFFF" w:val="clear"/>
        </w:rPr>
        <w:t xml:space="preserve">provided by income properties, which is the result of the </w:t>
      </w:r>
      <w:r>
        <w:rPr>
          <w:rFonts w:ascii="Times New Roman;Times;serif" w:hAnsi="Times New Roman;Times;serif"/>
          <w:sz w:val="20"/>
        </w:rPr>
        <w:t xml:space="preserve">overall growth of the Company’s income property portfolio, as well as increased cash flows from our commercial loans and investments, which is partially offset by an increase in cash paid for interest expense as the result of higher overall debt balances.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used in investing activities totaled $52.0 million during the three months ended March 31, 2024, as compared to $25.6 million during the three months ended March 31, 2023, an increase in cash outflows of $26.4 million. The increase in cash used in investing activities </w:t>
      </w:r>
      <w:r>
        <w:rPr>
          <w:rFonts w:ascii="Times New Roman;Times;serif" w:hAnsi="Times New Roman;Times;serif"/>
          <w:sz w:val="20"/>
          <w:shd w:fill="FFFFFF" w:val="clear"/>
        </w:rPr>
        <w:t xml:space="preserve">is primarily the result of an increase in acquisition activity of income properties, net of sales of income properties and principal repayments received on commercial loan investments, for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increase in net cash used of $30.2 million during the </w:t>
      </w:r>
      <w:r>
        <w:rPr>
          <w:rFonts w:ascii="Times New Roman;Times;serif" w:hAnsi="Times New Roman;Times;serif"/>
          <w:sz w:val="20"/>
        </w:rPr>
        <w:t xml:space="preserve">three </w:t>
      </w:r>
      <w:r>
        <w:rPr>
          <w:rFonts w:ascii="Times New Roman;Times;serif" w:hAnsi="Times New Roman;Times;serif"/>
          <w:sz w:val="20"/>
          <w:shd w:fill="FFFFFF" w:val="clear"/>
        </w:rPr>
        <w:t xml:space="preserve">months ended </w:t>
      </w:r>
      <w:r>
        <w:rPr>
          <w:rFonts w:ascii="Times New Roman;Times;serif" w:hAnsi="Times New Roman;Times;serif"/>
          <w:sz w:val="20"/>
        </w:rPr>
        <w:t xml:space="preserve">March 31, 2024 </w:t>
      </w:r>
      <w:r>
        <w:rPr>
          <w:rFonts w:ascii="Times New Roman;Times;serif" w:hAnsi="Times New Roman;Times;serif"/>
          <w:sz w:val="20"/>
          <w:shd w:fill="FFFFFF" w:val="clear"/>
        </w:rPr>
        <w:t xml:space="preserve">as compared to the same period in 2023.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financing activities totaled $37.2 million for the three months ended March 31, 2024, compared to $3.6 million for the three months ended March 31, 2023, an increase in cash inflows of $33.6 million. The increase is primarily related to a $27.1 million increase in cash inflows provided by net debt activity as well as a decrease in cash outflows of $4.3 million as there were more repurchases of the Company’s common and preferred stock during the three months ended March 31, 2023 and an increase in cash inflows </w:t>
      </w:r>
      <w:r>
        <w:rPr>
          <w:rFonts w:ascii="Times New Roman;Times;serif" w:hAnsi="Times New Roman;Times;serif"/>
          <w:sz w:val="20"/>
          <w:shd w:fill="FFFFFF" w:val="clear"/>
        </w:rPr>
        <w:t xml:space="preserve">of $2.1 million due to proceeds from the sale of shares of Company common stock during the </w:t>
      </w:r>
      <w:r>
        <w:rPr>
          <w:rFonts w:ascii="Times New Roman;Times;serif" w:hAnsi="Times New Roman;Times;serif"/>
          <w:sz w:val="20"/>
        </w:rPr>
        <w:t xml:space="preserve">three </w:t>
      </w:r>
      <w:r>
        <w:rPr>
          <w:rFonts w:ascii="Times New Roman;Times;serif" w:hAnsi="Times New Roman;Times;serif"/>
          <w:sz w:val="20"/>
          <w:shd w:fill="FFFFFF" w:val="clear"/>
        </w:rPr>
        <w:t xml:space="preserve">months ended </w:t>
      </w:r>
      <w:r>
        <w:rPr>
          <w:rFonts w:ascii="Times New Roman;Times;serif" w:hAnsi="Times New Roman;Times;serif"/>
          <w:sz w:val="20"/>
        </w:rPr>
        <w:t xml:space="preserve">March 31, 2024 </w:t>
      </w:r>
      <w:r>
        <w:rPr>
          <w:rFonts w:ascii="Times New Roman;Times;serif" w:hAnsi="Times New Roman;Times;serif"/>
          <w:sz w:val="20"/>
          <w:shd w:fill="FFFFFF" w:val="clear"/>
        </w:rPr>
        <w:t xml:space="preserve">with no such activity during the </w:t>
      </w:r>
      <w:r>
        <w:rPr>
          <w:rFonts w:ascii="Times New Roman;Times;serif" w:hAnsi="Times New Roman;Times;serif"/>
          <w:sz w:val="20"/>
        </w:rPr>
        <w:t xml:space="preserve">three </w:t>
      </w:r>
      <w:r>
        <w:rPr>
          <w:rFonts w:ascii="Times New Roman;Times;serif" w:hAnsi="Times New Roman;Times;serif"/>
          <w:sz w:val="20"/>
          <w:shd w:fill="FFFFFF" w:val="clear"/>
        </w:rPr>
        <w:t xml:space="preserve">months ended </w:t>
      </w:r>
      <w:r>
        <w:rPr>
          <w:rFonts w:ascii="Times New Roman;Times;serif" w:hAnsi="Times New Roman;Times;serif"/>
          <w:sz w:val="20"/>
        </w:rPr>
        <w:t>March 31, 2023</w:t>
      </w:r>
      <w:r>
        <w:rPr>
          <w:rFonts w:ascii="Times New Roman;Times;serif" w:hAnsi="Times New Roman;Times;serif"/>
          <w:sz w:val="20"/>
          <w:shd w:fill="FFFFFF" w:val="clear"/>
        </w:rPr>
        <w:t>.</w:t>
      </w:r>
    </w:p>
    <w:p>
      <w:pPr>
        <w:pStyle w:val="TextBody"/>
        <w:bidi w:val="0"/>
        <w:spacing w:before="0" w:after="0"/>
        <w:ind w:left="0" w:right="0" w:firstLine="547"/>
        <w:jc w:val="both"/>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At March 31, 2024, the current commitment level under the Credit Facility was $300.0 million. The undrawn commitment under the Credit Facility totaled $90.5 million. As of March 31, 2024, the Credit Facility had a $209.5 million balance outstanding. See Note 15, “Long-Term Debt” for the Company’s disclosure related to its long-term debt balance at March 31, 2024.</w:t>
      </w:r>
    </w:p>
    <w:p>
      <w:pPr>
        <w:pStyle w:val="TextBody"/>
        <w:bidi w:val="0"/>
        <w:spacing w:before="0" w:after="0"/>
        <w:ind w:left="0" w:right="0" w:firstLine="547"/>
        <w:jc w:val="both"/>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During the three months ended March 31, 2024, the Company acquired the Marketplace at Seminole Towne Center, a multi-tenant income property located in Sanford, Florida, for a purchase price of $68.7 million, or a total acquisition cost of $68.8 million including capitalized acquisition costs. The Marketplace at Seminole Towne Center comprises 315,066 square feet, was 98% occupied at acquisition, and had a weighted average remaining lease term of 4.7 years at acquisition. During the three months ended March 31, 2024, the Company also acquired the remaining 4,000 square foot property, within the 28,100 square foot retail portion of Phase II of The Exchange at Gwinnett located in Buford, Georgia for an aggregate purchase price of $2.3 million including capitalized acquisition costs. The Company previously purchased the Sprouts-anchored Phase I portion of The Exchange at Gwinnett in December 2021. The Company also originated one structured investment, to provide $10.0 million of funding towards the construction of improvements on seven outparcel locations located in Lake Worth, Florida, of which $6.7 million was funded as of March 31, 2024.</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Company’s guidance for 2024 investments in income-producing properties, including structured investments, ranges from $100.0 million to $150.0 million. </w:t>
      </w:r>
      <w:r>
        <w:rPr>
          <w:rFonts w:ascii="Times New Roman;Times;serif" w:hAnsi="Times New Roman;Times;serif"/>
          <w:sz w:val="20"/>
          <w:shd w:fill="FFFFFF" w:val="clear"/>
        </w:rPr>
        <w:t>We expect to fund future acquisitions utilizing cash on hand, cash from operations, proceeds from the dispositions of income properties through 1031 like-kind exchanges, borrowings on our Credit Facility, if available, and additional financing sources. See Note 23, “Subsequent Events” for an update on cash flows received from the Company’s public offering of 1,718,417 additional shares of the Company’s 6.375% Series A Cumulative Redeemable Preferred Stock, which closed in April 2024. We expect dispositions of income properties will qualify under the like-kind exchange deferred-tax structure.</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Dispositions.</w:t>
      </w:r>
      <w:r>
        <w:rPr>
          <w:rFonts w:ascii="Times New Roman;Times;serif" w:hAnsi="Times New Roman;Times;serif"/>
          <w:sz w:val="20"/>
        </w:rPr>
        <w:t xml:space="preserve"> During the three months ended March 31, 2024, the Company sold one mixed use income property in downtown Santa Fe, NM for $20.0 million resulting in a gain of $4.6 million.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ATM Program</w:t>
      </w:r>
      <w:r>
        <w:rPr>
          <w:rFonts w:ascii="Times New Roman;Times;serif" w:hAnsi="Times New Roman;Times;serif"/>
          <w:sz w:val="20"/>
        </w:rPr>
        <w:t>. The Company sold 125,857 shares of common stock under the 2022 ATM Program during the three months ended March 31, 2024 for gross proceeds of $2.1 million at a weighted average price of $17.05 per share, generating net proceeds of $2.1 million after deducting transaction fees totaling less than $0.1 million.</w:t>
      </w:r>
    </w:p>
    <w:p>
      <w:pPr>
        <w:pStyle w:val="TextBody"/>
        <w:bidi w:val="0"/>
        <w:spacing w:before="0" w:after="0"/>
        <w:ind w:left="0" w:right="0" w:firstLine="547"/>
        <w:jc w:val="both"/>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Contractual Commitments – Expenditures. </w:t>
      </w:r>
      <w:r>
        <w:rPr>
          <w:rFonts w:ascii="Times New Roman;Times;serif" w:hAnsi="Times New Roman;Times;serif"/>
          <w:sz w:val="20"/>
        </w:rPr>
        <w:t>The Company has committed to fund the following capital improvements. The improvements, which are related to several properties, are estimated to be generally completed within twelve months. These commitments, as of March 31, 2024, are as follows (in thousands):  </w:t>
      </w:r>
    </w:p>
    <w:p>
      <w:pPr>
        <w:pStyle w:val="TextBody"/>
        <w:bidi w:val="0"/>
        <w:spacing w:lineRule="auto" w:line="273" w:before="0" w:after="0"/>
        <w:ind w:left="0" w:right="0" w:firstLine="547"/>
        <w:jc w:val="both"/>
        <w:rPr>
          <w:shd w:fill="FFFF00" w:val="clear"/>
        </w:rPr>
      </w:pPr>
      <w:r>
        <w:rPr>
          <w:shd w:fill="FFFF00" w:val="clear"/>
        </w:rPr>
        <w:t>​</w:t>
      </w:r>
    </w:p>
    <w:tbl>
      <w:tblPr>
        <w:tblW w:w="4190" w:type="dxa"/>
        <w:jc w:val="left"/>
        <w:tblInd w:w="0" w:type="dxa"/>
        <w:tblLayout w:type="fixed"/>
        <w:tblCellMar>
          <w:top w:w="0" w:type="dxa"/>
          <w:left w:w="0" w:type="dxa"/>
          <w:bottom w:w="0" w:type="dxa"/>
          <w:right w:w="0" w:type="dxa"/>
        </w:tblCellMar>
      </w:tblPr>
      <w:tblGrid>
        <w:gridCol w:w="2131"/>
        <w:gridCol w:w="109"/>
        <w:gridCol w:w="414"/>
        <w:gridCol w:w="153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53185" cy="175260"/>
                      <wp:effectExtent l="0" t="0" r="0" b="0"/>
                      <wp:wrapNone/>
                      <wp:docPr id="333" name="Frame33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62890" cy="175260"/>
                      <wp:effectExtent l="0" t="0" r="0" b="0"/>
                      <wp:wrapNone/>
                      <wp:docPr id="335" name="Frame33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975360" cy="175260"/>
                      <wp:effectExtent l="0" t="0" r="0" b="0"/>
                      <wp:wrapNone/>
                      <wp:docPr id="336" name="Frame336"/>
                      <a:graphic xmlns:a="http://schemas.openxmlformats.org/drawingml/2006/main">
                        <a:graphicData uri="http://schemas.microsoft.com/office/word/2010/wordprocessingShape">
                          <wps:wsp>
                            <wps:cNvSpPr txBox="1"/>
                            <wps:spPr>
                              <a:xfrm>
                                <a:off x="0" y="0"/>
                                <a:ext cx="97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March 31, 2024</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21,227</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17,019</w:t>
            </w:r>
          </w:p>
        </w:tc>
      </w:tr>
    </w:tbl>
    <w:p>
      <w:pPr>
        <w:pStyle w:val="TextBody"/>
        <w:pBdr/>
        <w:bidi w:val="0"/>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bidi w:val="0"/>
        <w:spacing w:before="0" w:after="0"/>
        <w:ind w:left="0" w:right="0" w:hanging="0"/>
        <w:jc w:val="left"/>
        <w:rPr/>
      </w:pPr>
      <w:r>
        <w:rPr/>
        <w:t>​</w:t>
      </w:r>
    </w:p>
    <w:p>
      <w:pPr>
        <w:pStyle w:val="TextBody"/>
        <w:bidi w:val="0"/>
        <w:spacing w:lineRule="auto" w:line="273" w:before="0" w:after="0"/>
        <w:ind w:left="0" w:right="0" w:firstLine="547"/>
        <w:jc w:val="both"/>
        <w:rPr>
          <w:rFonts w:ascii="Times New Roman;Times;serif" w:hAnsi="Times New Roman;Times;serif"/>
          <w:sz w:val="20"/>
        </w:rPr>
      </w:pPr>
      <w:r>
        <w:rPr>
          <w:rFonts w:ascii="Times New Roman;Times;serif" w:hAnsi="Times New Roman;Times;serif"/>
          <w:i/>
          <w:sz w:val="20"/>
        </w:rPr>
        <w:t>Off-Balance Sheet Arrangements</w:t>
      </w:r>
      <w:r>
        <w:rPr>
          <w:rFonts w:ascii="Times New Roman;Times;serif" w:hAnsi="Times New Roman;Times;serif"/>
          <w:sz w:val="20"/>
        </w:rPr>
        <w:t>. None.</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Other Matters. </w:t>
      </w: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$135.6 million of availability remaining under the 2022 ATM Program, and $90.5 million undrawn commitment under the existing $300.0 million Credit Facility as of March 31, 2024.</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believe that we currently have a reasonable level of leverage. Our strategy is to utilize leverage, when appropriate and necessary, and proceeds from sales of income properties and the disposition or payoffs on our commercial loans and investments to acquire income properties. We may also acquire or originate commercial loans and investments, invest in securities of real estate companies, or make other shorter-term investments. Our targeted investment classes may include the following:</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Multi-tenant, primarily retail-oriented, properties in major metropolitan areas and growth markets, typically stabilized;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Single-tenant retail or other commercial, double or triple net leased, properties in major metropolitan areas and growth markets that are compliant with our commitments under the PINE ROFO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leases, whether purchased or originated by the Company, that are compliant with our commitments under the ROFO Agreement;</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Self-developed retail or other commercial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loans and investments, whether purchased or originated by the Company, with loan terms of 1-10 years with strong risk-adjusted yields secured by property types to include hotel, retail, residential, land and industrial;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regional area investments using Company market knowledge and expertise to earn strong risk-adjusted yields;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estate-related investment securities, including commercial mortgage-backed securities, preferred or common stock, and corporate bonds.</w:t>
            </w:r>
          </w:p>
        </w:tc>
      </w:tr>
    </w:tbl>
    <w:p>
      <w:pPr>
        <w:pStyle w:val="TextBody"/>
        <w:bidi w:val="0"/>
        <w:spacing w:before="0" w:after="0"/>
        <w:ind w:left="85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Non-U.S. GAAP Financial Measures</w:t>
      </w:r>
    </w:p>
    <w:p>
      <w:pPr>
        <w:pStyle w:val="TextBody"/>
        <w:bidi w:val="0"/>
        <w:spacing w:before="0" w:after="0"/>
        <w:ind w:left="0" w:right="0" w:firstLine="360"/>
        <w:jc w:val="center"/>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compute FFO in accordance with the definition adopted by the Board of Governors of the National Association of Real Estate Investment Trusts, or NAREIT.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NAREIT defines FFO as U.S.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Convertible Senior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as well as adding back the interest related to the 2025 Convertible Senior Notes, if the effect is dilutive.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 </w:t>
      </w:r>
    </w:p>
    <w:p>
      <w:pPr>
        <w:pStyle w:val="TextBody"/>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Reconciliation of Non-U.S. GAAP Measures (in thousands, except share and dividend data):</w:t>
      </w:r>
    </w:p>
    <w:tbl>
      <w:tblPr>
        <w:tblW w:w="10074" w:type="dxa"/>
        <w:jc w:val="left"/>
        <w:tblInd w:w="0" w:type="dxa"/>
        <w:tblLayout w:type="fixed"/>
        <w:tblCellMar>
          <w:top w:w="0" w:type="dxa"/>
          <w:left w:w="0" w:type="dxa"/>
          <w:bottom w:w="0" w:type="dxa"/>
          <w:right w:w="0" w:type="dxa"/>
        </w:tblCellMar>
      </w:tblPr>
      <w:tblGrid>
        <w:gridCol w:w="6931"/>
        <w:gridCol w:w="109"/>
        <w:gridCol w:w="342"/>
        <w:gridCol w:w="1098"/>
        <w:gridCol w:w="109"/>
        <w:gridCol w:w="336"/>
        <w:gridCol w:w="1149"/>
      </w:tblGrid>
      <w:tr>
        <w:trPr/>
        <w:tc>
          <w:tcPr>
            <w:tcW w:w="6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7170" cy="175260"/>
                      <wp:effectExtent l="0" t="0" r="0" b="0"/>
                      <wp:wrapNone/>
                      <wp:docPr id="338" name="Frame33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7230" cy="175260"/>
                      <wp:effectExtent l="0" t="0" r="0" b="0"/>
                      <wp:wrapNone/>
                      <wp:docPr id="339" name="Frame339"/>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3360" cy="175260"/>
                      <wp:effectExtent l="0" t="0" r="0" b="0"/>
                      <wp:wrapNone/>
                      <wp:docPr id="341" name="Frame34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29615" cy="175260"/>
                      <wp:effectExtent l="0" t="0" r="0" b="0"/>
                      <wp:wrapNone/>
                      <wp:docPr id="342" name="Frame342"/>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6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5,842</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r>
      <w:tr>
        <w:trPr/>
        <w:tc>
          <w:tcPr>
            <w:tcW w:w="693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109"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 If-Converted</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(5,993)</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10,915</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10,302</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Other Assets</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Unrealized Loss on Investment Securities</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4,039</w:t>
            </w:r>
          </w:p>
        </w:tc>
        <w:tc>
          <w:tcPr>
            <w:tcW w:w="109"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4,918</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11,984</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9,383</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w:t>
            </w:r>
          </w:p>
        </w:tc>
        <w:tc>
          <w:tcPr>
            <w:tcW w:w="109"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10,797</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8,188</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r>
      <w:tr>
        <w:trPr/>
        <w:tc>
          <w:tcPr>
            <w:tcW w:w="69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Effect of Dilutive Interest Related to 2025 Notes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Funds From Operations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10,737</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8,867</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pPr>
            <w:r>
              <w:rPr/>
              <w:t>​</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COVID-19 Rent Repayments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Loan Costs, Discount on Convertible Debt, and Capitalized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c>
          <w:tcPr>
            <w:tcW w:w="109"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11,648</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9,863</w:t>
            </w:r>
          </w:p>
        </w:tc>
      </w:tr>
      <w:tr>
        <w:trPr/>
        <w:tc>
          <w:tcPr>
            <w:tcW w:w="6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r>
      <w:tr>
        <w:trPr/>
        <w:tc>
          <w:tcPr>
            <w:tcW w:w="6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109"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6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0.38</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three months ended March 31, 2024, interest related to the 2025 Convertible Senior Notes was added back to net income attributable to the Company to derive FFO, as the impact to net income attributable to common stockholders was dilutive. For the three months ended March 31, 2023, interest related to the 2025 Convertible Senior Notes was not added back, as the impact to net loss attributable to common stockholders was anti-dilutive.</w:t>
            </w:r>
            <w:r>
              <w:rPr>
                <w:caps w:val="false"/>
                <w:smallCaps w:val="false"/>
              </w:rPr>
              <w:t xml:space="preserve"> </w:t>
            </w:r>
          </w:p>
        </w:tc>
      </w:tr>
    </w:tbl>
    <w:p>
      <w:pPr>
        <w:pStyle w:val="TextBody"/>
        <w:bidi w:val="0"/>
        <w:spacing w:before="20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Other Data (in thousands, except per share data):</w:t>
      </w:r>
    </w:p>
    <w:p>
      <w:pPr>
        <w:pStyle w:val="TextBody"/>
        <w:bidi w:val="0"/>
        <w:spacing w:before="0" w:after="0"/>
        <w:ind w:left="0" w:right="0" w:hanging="0"/>
        <w:jc w:val="left"/>
        <w:rPr/>
      </w:pPr>
      <w:r>
        <w:rPr/>
        <w:t>​</w:t>
      </w:r>
    </w:p>
    <w:tbl>
      <w:tblPr>
        <w:tblW w:w="9767" w:type="dxa"/>
        <w:jc w:val="left"/>
        <w:tblInd w:w="0" w:type="dxa"/>
        <w:tblLayout w:type="fixed"/>
        <w:tblCellMar>
          <w:top w:w="0" w:type="dxa"/>
          <w:left w:w="0" w:type="dxa"/>
          <w:bottom w:w="0" w:type="dxa"/>
          <w:right w:w="0" w:type="dxa"/>
        </w:tblCellMar>
      </w:tblPr>
      <w:tblGrid>
        <w:gridCol w:w="6616"/>
        <w:gridCol w:w="109"/>
        <w:gridCol w:w="342"/>
        <w:gridCol w:w="1098"/>
        <w:gridCol w:w="117"/>
        <w:gridCol w:w="378"/>
        <w:gridCol w:w="1107"/>
      </w:tblGrid>
      <w:tr>
        <w:trPr/>
        <w:tc>
          <w:tcPr>
            <w:tcW w:w="6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7170" cy="175260"/>
                      <wp:effectExtent l="0" t="0" r="0" b="0"/>
                      <wp:wrapNone/>
                      <wp:docPr id="343" name="Frame34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7230" cy="175260"/>
                      <wp:effectExtent l="0" t="0" r="0" b="0"/>
                      <wp:wrapNone/>
                      <wp:docPr id="344" name="Frame344"/>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4295" cy="175260"/>
                      <wp:effectExtent l="0" t="0" r="0" b="0"/>
                      <wp:wrapNone/>
                      <wp:docPr id="345" name="Frame345"/>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40030" cy="175260"/>
                      <wp:effectExtent l="0" t="0" r="0" b="0"/>
                      <wp:wrapNone/>
                      <wp:docPr id="346" name="Frame346"/>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702945" cy="175260"/>
                      <wp:effectExtent l="0" t="0" r="0" b="0"/>
                      <wp:wrapNone/>
                      <wp:docPr id="347" name="Frame347"/>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661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17"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10,797</w:t>
            </w:r>
          </w:p>
        </w:tc>
        <w:tc>
          <w:tcPr>
            <w:tcW w:w="117"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8,188</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 per Common Share - Diluted</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117"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66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left"/>
              <w:rPr/>
            </w:pPr>
            <w:r>
              <w:rPr/>
              <w:t>​</w:t>
            </w:r>
          </w:p>
        </w:tc>
        <w:tc>
          <w:tcPr>
            <w:tcW w:w="117"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pPr>
            <w:r>
              <w:rPr/>
              <w:t>​</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FFO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10,737</w:t>
            </w:r>
          </w:p>
        </w:tc>
        <w:tc>
          <w:tcPr>
            <w:tcW w:w="117"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8,867</w:t>
            </w:r>
          </w:p>
        </w:tc>
      </w:tr>
      <w:tr>
        <w:trPr/>
        <w:tc>
          <w:tcPr>
            <w:tcW w:w="66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Core FFO Attributable to Common Stockholders per Common Share - Diluted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117"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r>
      <w:tr>
        <w:trPr/>
        <w:tc>
          <w:tcPr>
            <w:tcW w:w="6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c>
          <w:tcPr>
            <w:tcW w:w="117"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11,648</w:t>
            </w:r>
          </w:p>
        </w:tc>
        <w:tc>
          <w:tcPr>
            <w:tcW w:w="117"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9,863</w:t>
            </w:r>
          </w:p>
        </w:tc>
      </w:tr>
      <w:tr>
        <w:trPr/>
        <w:tc>
          <w:tcPr>
            <w:tcW w:w="66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AFFO Attributable to Common Stockholders per Common Share - Diluted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117"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0.43</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11"/>
              </w:rPr>
              <w:t>(1)</w:t>
            </w:r>
            <w:r>
              <w:rPr>
                <w:rFonts w:ascii="Times New Roman;Times;serif" w:hAnsi="Times New Roman;Times;serif"/>
                <w:sz w:val="20"/>
              </w:rPr>
              <w:t xml:space="preserve">    </w:t>
            </w:r>
          </w:p>
        </w:tc>
        <w:tc>
          <w:tcPr>
            <w:tcW w:w="9895"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These amounts are calculated utilizing the number of shares identified in the sub-table below as “Non-U.S. GAAP Weighted Average Shares Outstanding, Diluted” which share number reflects, if applicable, the elimination of the dilutive impact of the 2025 Convertible Senior Notes.</w:t>
            </w:r>
          </w:p>
        </w:tc>
      </w:tr>
    </w:tbl>
    <w:p>
      <w:pPr>
        <w:pStyle w:val="TextBody"/>
        <w:pBdr/>
        <w:bidi w:val="0"/>
        <w:spacing w:before="0" w:after="0"/>
        <w:ind w:left="0" w:right="0" w:hanging="360"/>
        <w:jc w:val="both"/>
        <w:rPr/>
      </w:pPr>
      <w:r>
        <w:rPr/>
        <w:t>​</w:t>
      </w:r>
    </w:p>
    <w:p>
      <w:pPr>
        <w:pStyle w:val="TextBody"/>
        <w:pBdr/>
        <w:bidi w:val="0"/>
        <w:spacing w:before="0" w:after="0"/>
        <w:ind w:left="0" w:right="0" w:hanging="360"/>
        <w:jc w:val="both"/>
        <w:rPr/>
      </w:pPr>
      <w:r>
        <w:rPr/>
        <w:t>​</w:t>
      </w:r>
    </w:p>
    <w:p>
      <w:pPr>
        <w:pStyle w:val="TextBody"/>
        <w:pBdr/>
        <w:bidi w:val="0"/>
        <w:spacing w:before="0" w:after="0"/>
        <w:ind w:left="0" w:right="0" w:hanging="360"/>
        <w:jc w:val="both"/>
        <w:rPr/>
      </w:pPr>
      <w:r>
        <w:rPr/>
        <w:t>​</w:t>
      </w:r>
    </w:p>
    <w:p>
      <w:pPr>
        <w:pStyle w:val="TextBody"/>
        <w:pBdr/>
        <w:bidi w:val="0"/>
        <w:spacing w:before="0" w:after="0"/>
        <w:ind w:left="0" w:right="0" w:hanging="360"/>
        <w:jc w:val="both"/>
        <w:rPr/>
      </w:pPr>
      <w:r>
        <w:rPr/>
        <w:t>​</w:t>
      </w:r>
    </w:p>
    <w:p>
      <w:pPr>
        <w:pStyle w:val="TextBody"/>
        <w:pBdr/>
        <w:bidi w:val="0"/>
        <w:spacing w:before="0" w:after="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Non-U.S. GAAP Weighted Average Common Shares Outstanding, Diluted:</w:t>
      </w:r>
    </w:p>
    <w:p>
      <w:pPr>
        <w:pStyle w:val="TextBody"/>
        <w:bidi w:val="0"/>
        <w:spacing w:before="0" w:after="0"/>
        <w:ind w:left="36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099"/>
        <w:gridCol w:w="109"/>
        <w:gridCol w:w="133"/>
        <w:gridCol w:w="1285"/>
        <w:gridCol w:w="109"/>
        <w:gridCol w:w="126"/>
        <w:gridCol w:w="1344"/>
      </w:tblGrid>
      <w:tr>
        <w:trPr/>
        <w:tc>
          <w:tcPr>
            <w:tcW w:w="70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84455" cy="175260"/>
                      <wp:effectExtent l="0" t="0" r="0" b="0"/>
                      <wp:wrapNone/>
                      <wp:docPr id="348" name="Frame348"/>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815975" cy="175260"/>
                      <wp:effectExtent l="0" t="0" r="0" b="0"/>
                      <wp:wrapNone/>
                      <wp:docPr id="349" name="Frame349"/>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80010" cy="175260"/>
                      <wp:effectExtent l="0" t="0" r="0" b="0"/>
                      <wp:wrapNone/>
                      <wp:docPr id="351" name="Frame351"/>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53440" cy="175260"/>
                      <wp:effectExtent l="0" t="0" r="0" b="0"/>
                      <wp:wrapNone/>
                      <wp:docPr id="352" name="Frame352"/>
                      <a:graphic xmlns:a="http://schemas.openxmlformats.org/drawingml/2006/main">
                        <a:graphicData uri="http://schemas.microsoft.com/office/word/2010/wordprocessingShape">
                          <wps:wsp>
                            <wps:cNvSpPr txBox="1"/>
                            <wps:spPr>
                              <a:xfrm>
                                <a:off x="0" y="0"/>
                                <a:ext cx="853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709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2024</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r>
      <w:tr>
        <w:trPr/>
        <w:tc>
          <w:tcPr>
            <w:tcW w:w="70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109" w:type="dxa"/>
            <w:tcBorders/>
            <w:shd w:fill="CCEEFF" w:val="clear"/>
            <w:vAlign w:val="center"/>
          </w:tcPr>
          <w:p>
            <w:pPr>
              <w:pStyle w:val="TableContents"/>
              <w:bidi w:val="0"/>
              <w:spacing w:before="0" w:after="0"/>
              <w:ind w:left="0" w:right="0" w:hanging="0"/>
              <w:jc w:val="left"/>
              <w:rPr/>
            </w:pPr>
            <w:r>
              <w:rPr/>
              <w:t>​</w:t>
            </w:r>
          </w:p>
        </w:tc>
        <w:tc>
          <w:tcPr>
            <w:tcW w:w="133"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22,551,241</w:t>
            </w:r>
          </w:p>
        </w:tc>
        <w:tc>
          <w:tcPr>
            <w:tcW w:w="109"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13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r>
      <w:tr>
        <w:trPr/>
        <w:tc>
          <w:tcPr>
            <w:tcW w:w="70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Applicable to Unvested Restricted Stock Using the Treasury Stock Method</w:t>
            </w:r>
          </w:p>
        </w:tc>
        <w:tc>
          <w:tcPr>
            <w:tcW w:w="109" w:type="dxa"/>
            <w:tcBorders/>
            <w:vAlign w:val="center"/>
          </w:tcPr>
          <w:p>
            <w:pPr>
              <w:pStyle w:val="TableContents"/>
              <w:bidi w:val="0"/>
              <w:spacing w:before="0" w:after="0"/>
              <w:ind w:left="0" w:right="0" w:hanging="0"/>
              <w:jc w:val="left"/>
              <w:rPr/>
            </w:pPr>
            <w:r>
              <w:rPr/>
              <w:t>​</w:t>
            </w:r>
          </w:p>
        </w:tc>
        <w:tc>
          <w:tcPr>
            <w:tcW w:w="133"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109" w:type="dxa"/>
            <w:tcBorders/>
            <w:vAlign w:val="center"/>
          </w:tcPr>
          <w:p>
            <w:pPr>
              <w:pStyle w:val="TableContents"/>
              <w:bidi w:val="0"/>
              <w:spacing w:before="0" w:after="0"/>
              <w:ind w:left="0" w:right="0" w:hanging="0"/>
              <w:jc w:val="left"/>
              <w:rPr/>
            </w:pPr>
            <w:r>
              <w:rPr/>
              <w:t>​</w:t>
            </w:r>
          </w:p>
        </w:tc>
        <w:tc>
          <w:tcPr>
            <w:tcW w:w="126" w:type="dxa"/>
            <w:tcBorders/>
            <w:vAlign w:val="center"/>
          </w:tcPr>
          <w:p>
            <w:pPr>
              <w:pStyle w:val="TableContents"/>
              <w:bidi w:val="0"/>
              <w:spacing w:before="0" w:after="0"/>
              <w:ind w:left="0" w:right="0" w:hanging="0"/>
              <w:jc w:val="left"/>
              <w:rPr/>
            </w:pPr>
            <w:r>
              <w:rPr/>
              <w:t>​</w:t>
            </w:r>
          </w:p>
        </w:tc>
        <w:tc>
          <w:tcPr>
            <w:tcW w:w="1344" w:type="dxa"/>
            <w:tcBorders/>
            <w:vAlign w:val="center"/>
          </w:tcPr>
          <w:p>
            <w:pPr>
              <w:pStyle w:val="TableContents"/>
              <w:bidi w:val="0"/>
              <w:spacing w:before="0" w:after="0"/>
              <w:ind w:left="0" w:right="0" w:hanging="0"/>
              <w:jc w:val="right"/>
              <w:rPr/>
            </w:pPr>
            <w:r>
              <w:rPr/>
              <w:t>—</w:t>
            </w:r>
          </w:p>
        </w:tc>
      </w:tr>
      <w:tr>
        <w:trPr/>
        <w:tc>
          <w:tcPr>
            <w:tcW w:w="70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Applicable to Dilutive Effect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3,505,857</w:t>
            </w:r>
          </w:p>
        </w:tc>
        <w:tc>
          <w:tcPr>
            <w:tcW w:w="109"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0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109" w:type="dxa"/>
            <w:tcBorders/>
            <w:vAlign w:val="center"/>
          </w:tcPr>
          <w:p>
            <w:pPr>
              <w:pStyle w:val="TableContents"/>
              <w:bidi w:val="0"/>
              <w:spacing w:before="0" w:after="0"/>
              <w:ind w:left="0" w:right="0" w:hanging="0"/>
              <w:jc w:val="left"/>
              <w:rPr/>
            </w:pPr>
            <w:r>
              <w:rPr/>
              <w:t>​</w:t>
            </w:r>
          </w:p>
        </w:tc>
        <w:tc>
          <w:tcPr>
            <w:tcW w:w="133"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26,057,652</w:t>
            </w:r>
          </w:p>
        </w:tc>
        <w:tc>
          <w:tcPr>
            <w:tcW w:w="109" w:type="dxa"/>
            <w:tcBorders/>
            <w:vAlign w:val="center"/>
          </w:tcPr>
          <w:p>
            <w:pPr>
              <w:pStyle w:val="TableContents"/>
              <w:bidi w:val="0"/>
              <w:spacing w:before="0" w:after="0"/>
              <w:ind w:left="0" w:right="0" w:hanging="0"/>
              <w:jc w:val="left"/>
              <w:rPr/>
            </w:pPr>
            <w:r>
              <w:rPr/>
              <w:t>​</w:t>
            </w:r>
          </w:p>
        </w:tc>
        <w:tc>
          <w:tcPr>
            <w:tcW w:w="126" w:type="dxa"/>
            <w:tcBorders/>
            <w:vAlign w:val="center"/>
          </w:tcPr>
          <w:p>
            <w:pPr>
              <w:pStyle w:val="TableContents"/>
              <w:bidi w:val="0"/>
              <w:spacing w:before="0" w:after="0"/>
              <w:ind w:left="0" w:right="0" w:hanging="0"/>
              <w:jc w:val="left"/>
              <w:rPr/>
            </w:pPr>
            <w:r>
              <w:rPr/>
              <w:t>​</w:t>
            </w:r>
          </w:p>
        </w:tc>
        <w:tc>
          <w:tcPr>
            <w:tcW w:w="13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22,704,829</w:t>
            </w:r>
          </w:p>
        </w:tc>
      </w:tr>
      <w:tr>
        <w:trPr/>
        <w:tc>
          <w:tcPr>
            <w:tcW w:w="70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GAAP Adjustment for the Dilutive Effect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(3,505,857)</w:t>
            </w:r>
          </w:p>
        </w:tc>
        <w:tc>
          <w:tcPr>
            <w:tcW w:w="109"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0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GAAP Weighted Average Shares Outstanding, Diluted</w:t>
            </w:r>
          </w:p>
        </w:tc>
        <w:tc>
          <w:tcPr>
            <w:tcW w:w="109" w:type="dxa"/>
            <w:tcBorders/>
            <w:vAlign w:val="center"/>
          </w:tcPr>
          <w:p>
            <w:pPr>
              <w:pStyle w:val="TableContents"/>
              <w:bidi w:val="0"/>
              <w:spacing w:before="0" w:after="0"/>
              <w:ind w:left="0" w:right="0" w:hanging="0"/>
              <w:jc w:val="left"/>
              <w:rPr/>
            </w:pPr>
            <w:r>
              <w:rPr/>
              <w:t>​</w:t>
            </w:r>
          </w:p>
        </w:tc>
        <w:tc>
          <w:tcPr>
            <w:tcW w:w="13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2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22,551,795</w:t>
            </w:r>
          </w:p>
        </w:tc>
        <w:tc>
          <w:tcPr>
            <w:tcW w:w="109" w:type="dxa"/>
            <w:tcBorders/>
            <w:vAlign w:val="center"/>
          </w:tcPr>
          <w:p>
            <w:pPr>
              <w:pStyle w:val="TableContents"/>
              <w:bidi w:val="0"/>
              <w:spacing w:before="0" w:after="0"/>
              <w:ind w:left="0" w:right="0" w:hanging="0"/>
              <w:jc w:val="left"/>
              <w:rPr/>
            </w:pPr>
            <w:r>
              <w:rPr/>
              <w:t>​</w:t>
            </w:r>
          </w:p>
        </w:tc>
        <w:tc>
          <w:tcPr>
            <w:tcW w:w="1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344"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22,704,829</w:t>
            </w:r>
          </w:p>
        </w:tc>
      </w:tr>
    </w:tbl>
    <w:p>
      <w:pPr>
        <w:pStyle w:val="TextBody"/>
        <w:pBdr/>
        <w:bidi w:val="0"/>
        <w:spacing w:before="0" w:after="0"/>
        <w:ind w:left="0" w:right="0" w:hanging="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As required by U.S.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one building within an existing multi-tenant income property and one multi-tenant property for an aggregate purchase price of $71.0 million for the three months ended March 31, 2024, and one building within an existing multi-tenant income property for a purchase price of $3.3 million for the three months ended March 31, 2023.</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See Note 2, “Summary of Significant Accounting Policies”, for further discussion of the Company’s accounting estimates and policies.</w:t>
      </w:r>
    </w:p>
    <w:p>
      <w:pPr>
        <w:pStyle w:val="TextBody"/>
        <w:bidi w:val="0"/>
        <w:spacing w:before="280" w:after="0"/>
        <w:ind w:left="0" w:right="0" w:hanging="0"/>
        <w:jc w:val="both"/>
        <w:rPr/>
      </w:pPr>
      <w:bookmarkStart w:id="1449" w:name="_376419ed_300d_4d60_af75_9280d6f35994"/>
      <w:bookmarkEnd w:id="1449"/>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450" w:name="ITEM3QUANTITATIVEANDQUALITATIVE_871147"/>
      <w:bookmarkEnd w:id="1450"/>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March 31, 2024 and 2023, the outstanding balance on our Credit Facility totaled $209.5 million and $133.2 million, of which $59.5 million and $33.2 million, respectively, were not fixed by virtue of an interest rate swap agreement. A hypothetical change in the interest rate of 100 basis points (i.e., 1%) would affect our financial position, results of operations, and cash flows by $0.6 million and $0.3 million as of March 31, 2024 and 2023, respectively. The Company entered into interest rate swap agreements to hedge against changes in future cash flows resulting from fluctuating interest rates related to certain of its debt borrowings, see Note 16, “Interest Rate Swaps” in the notes to the consolidated financial statements included in this Form 10-Q.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pStyle w:val="TextBody"/>
        <w:bidi w:val="0"/>
        <w:spacing w:before="0" w:after="0"/>
        <w:ind w:left="0" w:right="0" w:hanging="0"/>
        <w:jc w:val="both"/>
        <w:rPr>
          <w:rFonts w:ascii="Times New Roman;Times;serif" w:hAnsi="Times New Roman;Times;serif"/>
          <w:b/>
          <w:sz w:val="20"/>
        </w:rPr>
      </w:pPr>
      <w:bookmarkStart w:id="1451" w:name="ITEM4CONTROLSANDPROCEDURES_992496"/>
      <w:bookmarkStart w:id="1452" w:name="_4ea7473b_f1ae_4d4b_85c7_78b97a6705ce"/>
      <w:bookmarkEnd w:id="1451"/>
      <w:bookmarkEnd w:id="1452"/>
      <w:r>
        <w:rPr>
          <w:rFonts w:ascii="Times New Roman;Times;serif" w:hAnsi="Times New Roman;Times;serif"/>
          <w:b/>
          <w:sz w:val="20"/>
        </w:rPr>
        <w:t>ITEM 4. CONTROLS AND PROCEDURES</w:t>
      </w:r>
    </w:p>
    <w:p>
      <w:pPr>
        <w:pStyle w:val="TextBody"/>
        <w:bidi w:val="0"/>
        <w:spacing w:before="0" w:after="0"/>
        <w:ind w:left="0" w:right="0" w:hanging="0"/>
        <w:jc w:val="both"/>
        <w:rPr/>
      </w:pPr>
      <w:r>
        <w:rPr/>
        <w:t>​</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2024, that have materially affected, or are reasonably likely to materially affect, the Company’s internal control over financial reporting.</w:t>
      </w:r>
    </w:p>
    <w:p>
      <w:pPr>
        <w:pStyle w:val="TextBody"/>
        <w:bidi w:val="0"/>
        <w:spacing w:before="0" w:after="0"/>
        <w:ind w:left="0" w:right="0" w:hanging="0"/>
        <w:jc w:val="both"/>
        <w:rPr>
          <w:rFonts w:ascii="Times New Roman;Times;serif" w:hAnsi="Times New Roman;Times;serif"/>
          <w:b/>
          <w:sz w:val="20"/>
        </w:rPr>
      </w:pPr>
      <w:bookmarkStart w:id="1453" w:name="PARTIIOTHERINFORMATION_47745"/>
      <w:bookmarkStart w:id="1454" w:name="_4f4ecc07_d0bf_4a48_942b_ab354fe05787"/>
      <w:bookmarkEnd w:id="1453"/>
      <w:bookmarkEnd w:id="1454"/>
      <w:r>
        <w:rPr>
          <w:rFonts w:ascii="Times New Roman;Times;serif" w:hAnsi="Times New Roman;Times;serif"/>
          <w:b/>
          <w:sz w:val="20"/>
        </w:rPr>
        <w:t>PART II—OTHER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1455" w:name="ITEM1LEGALPROCEEDINGS_995157"/>
      <w:bookmarkEnd w:id="1455"/>
      <w:r>
        <w:rPr>
          <w:rFonts w:ascii="Times New Roman;Times;serif" w:hAnsi="Times New Roman;Times;serif"/>
          <w:b/>
          <w:sz w:val="20"/>
        </w:rPr>
        <w:t>ITEM 1. LEGAL PROCEEDINGS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pStyle w:val="TextBody"/>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bookmarkStart w:id="1456" w:name="ITEM1ARISKFACTORS_785246"/>
      <w:bookmarkStart w:id="1457" w:name="_8ac13cd5_393c_414c_b891_6e0642236567"/>
      <w:bookmarkEnd w:id="1456"/>
      <w:bookmarkEnd w:id="1457"/>
      <w:r>
        <w:rPr>
          <w:rFonts w:ascii="Times New Roman;Times;serif" w:hAnsi="Times New Roman;Times;serif"/>
          <w:b/>
          <w:sz w:val="20"/>
        </w:rPr>
        <w:t>ITEM 1A. RISK FACTORS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For a discussion of the Company’s potential risks and uncertainties, see the information under the heading Part I, “Item 1A. Risk Factors” in the Company’s Annual Report on Form 10-K for the year ended December 31, 2023. The risks described in the Form 10-K are not the only risks facing the Company. Additional risks and uncertainties not currently known to the Company or that the Company currently deems to be immaterial also may materially adversely affect the Company. As of March 31, 2024, there have been no material changes in our risk factors from those set forth within the Company’s Annual Report on Form 10-K for the year ended December 31, 2023.</w:t>
      </w:r>
    </w:p>
    <w:p>
      <w:pPr>
        <w:pStyle w:val="TextBody"/>
        <w:bidi w:val="0"/>
        <w:spacing w:before="0" w:after="0"/>
        <w:ind w:left="0" w:right="0" w:hanging="0"/>
        <w:jc w:val="left"/>
        <w:rPr/>
      </w:pPr>
      <w:bookmarkStart w:id="1458" w:name="_fa4d141c_c057_4fb6_bba4_202acfee92cc"/>
      <w:bookmarkEnd w:id="1458"/>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59" w:name="ITEM2UNREGISTEREDSALESOFEQUITY_229264"/>
      <w:bookmarkEnd w:id="1459"/>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repurchases of shares of the Company’s common stock were made during the three months ended March 31, 2024:</w:t>
      </w:r>
    </w:p>
    <w:p>
      <w:pPr>
        <w:pStyle w:val="TextBody"/>
        <w:bidi w:val="0"/>
        <w:spacing w:before="100" w:after="1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2"/>
        <w:gridCol w:w="326"/>
        <w:gridCol w:w="1306"/>
        <w:gridCol w:w="326"/>
        <w:gridCol w:w="368"/>
        <w:gridCol w:w="998"/>
        <w:gridCol w:w="326"/>
        <w:gridCol w:w="2745"/>
        <w:gridCol w:w="326"/>
        <w:gridCol w:w="528"/>
        <w:gridCol w:w="1544"/>
      </w:tblGrid>
      <w:tr>
        <w:trPr/>
        <w:tc>
          <w:tcPr>
            <w:tcW w:w="1412"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895"/>
                      <wp:effectExtent l="0" t="0" r="0" b="0"/>
                      <wp:wrapNone/>
                      <wp:docPr id="353" name="Frame35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829310" cy="175895"/>
                      <wp:effectExtent l="0" t="0" r="0" b="0"/>
                      <wp:wrapNone/>
                      <wp:docPr id="354" name="Frame354"/>
                      <a:graphic xmlns:a="http://schemas.openxmlformats.org/drawingml/2006/main">
                        <a:graphicData uri="http://schemas.microsoft.com/office/word/2010/wordprocessingShape">
                          <wps:wsp>
                            <wps:cNvSpPr txBox="1"/>
                            <wps:spPr>
                              <a:xfrm>
                                <a:off x="0" y="0"/>
                                <a:ext cx="8293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895"/>
                      <wp:effectExtent l="0" t="0" r="0" b="0"/>
                      <wp:wrapNone/>
                      <wp:docPr id="355" name="Frame35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33680" cy="175895"/>
                      <wp:effectExtent l="0" t="0" r="0" b="0"/>
                      <wp:wrapNone/>
                      <wp:docPr id="356" name="Frame356"/>
                      <a:graphic xmlns:a="http://schemas.openxmlformats.org/drawingml/2006/main">
                        <a:graphicData uri="http://schemas.microsoft.com/office/word/2010/wordprocessingShape">
                          <wps:wsp>
                            <wps:cNvSpPr txBox="1"/>
                            <wps:spPr>
                              <a:xfrm>
                                <a:off x="0" y="0"/>
                                <a:ext cx="2336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33730" cy="175895"/>
                      <wp:effectExtent l="0" t="0" r="0" b="0"/>
                      <wp:wrapNone/>
                      <wp:docPr id="357" name="Frame357"/>
                      <a:graphic xmlns:a="http://schemas.openxmlformats.org/drawingml/2006/main">
                        <a:graphicData uri="http://schemas.microsoft.com/office/word/2010/wordprocessingShape">
                          <wps:wsp>
                            <wps:cNvSpPr txBox="1"/>
                            <wps:spPr>
                              <a:xfrm>
                                <a:off x="0" y="0"/>
                                <a:ext cx="6337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895"/>
                      <wp:effectExtent l="0" t="0" r="0" b="0"/>
                      <wp:wrapNone/>
                      <wp:docPr id="358" name="Frame35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743075" cy="175895"/>
                      <wp:effectExtent l="0" t="0" r="0" b="0"/>
                      <wp:wrapNone/>
                      <wp:docPr id="359" name="Frame359"/>
                      <a:graphic xmlns:a="http://schemas.openxmlformats.org/drawingml/2006/main">
                        <a:graphicData uri="http://schemas.microsoft.com/office/word/2010/wordprocessingShape">
                          <wps:wsp>
                            <wps:cNvSpPr txBox="1"/>
                            <wps:spPr>
                              <a:xfrm>
                                <a:off x="0" y="0"/>
                                <a:ext cx="17430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895"/>
                      <wp:effectExtent l="0" t="0" r="0" b="0"/>
                      <wp:wrapNone/>
                      <wp:docPr id="360" name="Frame36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35280" cy="175895"/>
                      <wp:effectExtent l="0" t="0" r="0" b="0"/>
                      <wp:wrapNone/>
                      <wp:docPr id="361" name="Frame361"/>
                      <a:graphic xmlns:a="http://schemas.openxmlformats.org/drawingml/2006/main">
                        <a:graphicData uri="http://schemas.microsoft.com/office/word/2010/wordprocessingShape">
                          <wps:wsp>
                            <wps:cNvSpPr txBox="1"/>
                            <wps:spPr>
                              <a:xfrm>
                                <a:off x="0" y="0"/>
                                <a:ext cx="3352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980440" cy="175895"/>
                      <wp:effectExtent l="0" t="0" r="0" b="0"/>
                      <wp:wrapNone/>
                      <wp:docPr id="362" name="Frame362"/>
                      <a:graphic xmlns:a="http://schemas.openxmlformats.org/drawingml/2006/main">
                        <a:graphicData uri="http://schemas.microsoft.com/office/word/2010/wordprocessingShape">
                          <wps:wsp>
                            <wps:cNvSpPr txBox="1"/>
                            <wps:spPr>
                              <a:xfrm>
                                <a:off x="0" y="0"/>
                                <a:ext cx="9804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412"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r>
              <w:rPr>
                <w:rFonts w:ascii="Times New Roman;Times;serif" w:hAnsi="Times New Roman;Times;serif"/>
                <w:b/>
                <w:sz w:val="20"/>
              </w:rPr>
              <w:t>Number</w:t>
              <w:br/>
              <w:t>of Shares</w:t>
              <w:br/>
              <w:t>Purchased</w:t>
            </w:r>
          </w:p>
        </w:tc>
        <w:tc>
          <w:tcPr>
            <w:tcW w:w="326" w:type="dxa"/>
            <w:tcBorders/>
            <w:vAlign w:val="center"/>
          </w:tcPr>
          <w:p>
            <w:pPr>
              <w:pStyle w:val="TableContents"/>
              <w:bidi w:val="0"/>
              <w:spacing w:before="1" w:after="1"/>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Average Price</w:t>
              <w:br/>
              <w:t>Paid per Share</w:t>
            </w:r>
          </w:p>
        </w:tc>
        <w:tc>
          <w:tcPr>
            <w:tcW w:w="326" w:type="dxa"/>
            <w:tcBorders/>
            <w:vAlign w:val="center"/>
          </w:tcPr>
          <w:p>
            <w:pPr>
              <w:pStyle w:val="TableContents"/>
              <w:bidi w:val="0"/>
              <w:spacing w:before="1" w:after="1"/>
              <w:ind w:left="0" w:right="0" w:hanging="0"/>
              <w:jc w:val="left"/>
              <w:rPr/>
            </w:pPr>
            <w:r>
              <w:rPr/>
              <w:t>    </w:t>
            </w:r>
          </w:p>
        </w:tc>
        <w:tc>
          <w:tcPr>
            <w:tcW w:w="2745" w:type="dxa"/>
            <w:tcBorders>
              <w:bottom w:val="single" w:sz="2" w:space="0" w:color="000000"/>
            </w:tcBorders>
            <w:tcMar>
              <w:bottom w:w="28" w:type="dxa"/>
            </w:tcMar>
            <w:vAlign w:val="center"/>
          </w:tcPr>
          <w:p>
            <w:pPr>
              <w:pStyle w:val="TableContents"/>
              <w:bidi w:val="0"/>
              <w:spacing w:lineRule="auto" w:line="240" w:before="1" w:after="1"/>
              <w:ind w:left="0" w:right="0" w:hanging="0"/>
              <w:jc w:val="center"/>
              <w:rPr>
                <w:rFonts w:ascii="Times New Roman;Times;serif" w:hAnsi="Times New Roman;Times;serif"/>
                <w:sz w:val="20"/>
              </w:rPr>
            </w:pPr>
            <w:r>
              <w:rPr>
                <w:rFonts w:ascii="Times New Roman;Times;serif" w:hAnsi="Times New Roman;Times;serif"/>
                <w:b/>
                <w:sz w:val="20"/>
              </w:rPr>
              <w:t>Total Number of</w:t>
              <w:br/>
              <w:t>Shares Purchased as a Part of Publicly</w:t>
              <w:br/>
              <w:t>Announced Plans</w:t>
              <w:br/>
              <w:t xml:space="preserve">or Programs </w:t>
            </w:r>
            <w:r>
              <w:rPr>
                <w:rFonts w:ascii="Times New Roman;Times;serif" w:hAnsi="Times New Roman;Times;serif"/>
                <w:b/>
                <w:sz w:val="15"/>
              </w:rPr>
              <w:t>(1)</w:t>
            </w:r>
          </w:p>
        </w:tc>
        <w:tc>
          <w:tcPr>
            <w:tcW w:w="326" w:type="dxa"/>
            <w:tcBorders/>
            <w:vAlign w:val="center"/>
          </w:tcPr>
          <w:p>
            <w:pPr>
              <w:pStyle w:val="TableContents"/>
              <w:bidi w:val="0"/>
              <w:spacing w:before="1" w:after="1"/>
              <w:ind w:left="0" w:right="0" w:hanging="0"/>
              <w:jc w:val="left"/>
              <w:rPr/>
            </w:pPr>
            <w:r>
              <w:rPr/>
              <w:t>    </w:t>
            </w:r>
          </w:p>
        </w:tc>
        <w:tc>
          <w:tcPr>
            <w:tcW w:w="2072" w:type="dxa"/>
            <w:gridSpan w:val="2"/>
            <w:tcBorders>
              <w:bottom w:val="single" w:sz="2" w:space="0" w:color="000000"/>
            </w:tcBorders>
            <w:tcMar>
              <w:bottom w:w="28" w:type="dxa"/>
            </w:tcMar>
            <w:vAlign w:val="center"/>
          </w:tcPr>
          <w:p>
            <w:pPr>
              <w:pStyle w:val="TableContents"/>
              <w:bidi w:val="0"/>
              <w:spacing w:lineRule="auto" w:line="240" w:before="1" w:after="1"/>
              <w:ind w:left="0" w:right="0" w:hanging="0"/>
              <w:jc w:val="center"/>
              <w:rPr>
                <w:rFonts w:ascii="Times New Roman;Times;serif" w:hAnsi="Times New Roman;Times;serif"/>
                <w:sz w:val="20"/>
              </w:rPr>
            </w:pPr>
            <w:r>
              <w:rPr>
                <w:rFonts w:ascii="Times New Roman;Times;serif" w:hAnsi="Times New Roman;Times;serif"/>
                <w:b/>
                <w:sz w:val="20"/>
              </w:rPr>
              <w:t>Maximum Number (or</w:t>
              <w:br/>
              <w:t>Approximate Dollar</w:t>
              <w:br/>
              <w:t>Value) of Shares That</w:t>
              <w:br/>
              <w:t>May yet be Purchased</w:t>
              <w:br/>
              <w:t>Under the Plans or</w:t>
              <w:br/>
              <w:t>Programs</w:t>
              <w:br/>
              <w:t xml:space="preserve">($000's) </w:t>
            </w:r>
            <w:r>
              <w:rPr>
                <w:rFonts w:ascii="Times New Roman;Times;serif" w:hAnsi="Times New Roman;Times;serif"/>
                <w:b/>
                <w:sz w:val="15"/>
              </w:rPr>
              <w:t>(1)</w:t>
            </w:r>
          </w:p>
        </w:tc>
      </w:tr>
      <w:tr>
        <w:trPr/>
        <w:tc>
          <w:tcPr>
            <w:tcW w:w="14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1/1/2024 - 1/31/2024</w:t>
            </w:r>
          </w:p>
        </w:tc>
        <w:tc>
          <w:tcPr>
            <w:tcW w:w="326" w:type="dxa"/>
            <w:tcBorders/>
            <w:shd w:fill="CCEEFF" w:val="clear"/>
            <w:vAlign w:val="center"/>
          </w:tcPr>
          <w:p>
            <w:pPr>
              <w:pStyle w:val="TableContents"/>
              <w:bidi w:val="0"/>
              <w:spacing w:before="1" w:after="1"/>
              <w:ind w:left="0" w:right="0" w:hanging="0"/>
              <w:jc w:val="left"/>
              <w:rPr/>
            </w:pPr>
            <w:r>
              <w:rPr/>
              <w:t>​</w:t>
            </w:r>
          </w:p>
        </w:tc>
        <w:tc>
          <w:tcPr>
            <w:tcW w:w="130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36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745"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5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14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2/1/2024 - 2/29/2024</w:t>
            </w:r>
          </w:p>
        </w:tc>
        <w:tc>
          <w:tcPr>
            <w:tcW w:w="326" w:type="dxa"/>
            <w:tcBorders/>
            <w:vAlign w:val="center"/>
          </w:tcPr>
          <w:p>
            <w:pPr>
              <w:pStyle w:val="TableContents"/>
              <w:bidi w:val="0"/>
              <w:spacing w:before="1" w:after="1"/>
              <w:ind w:left="0" w:right="0" w:hanging="0"/>
              <w:jc w:val="left"/>
              <w:rPr/>
            </w:pPr>
            <w:r>
              <w:rPr/>
              <w:t>​</w:t>
            </w:r>
          </w:p>
        </w:tc>
        <w:tc>
          <w:tcPr>
            <w:tcW w:w="130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40,726</w:t>
            </w:r>
          </w:p>
        </w:tc>
        <w:tc>
          <w:tcPr>
            <w:tcW w:w="326" w:type="dxa"/>
            <w:tcBorders/>
            <w:vAlign w:val="center"/>
          </w:tcPr>
          <w:p>
            <w:pPr>
              <w:pStyle w:val="TableContents"/>
              <w:bidi w:val="0"/>
              <w:spacing w:before="1" w:after="1"/>
              <w:ind w:left="0" w:right="0" w:hanging="0"/>
              <w:jc w:val="left"/>
              <w:rPr/>
            </w:pPr>
            <w:r>
              <w:rPr/>
              <w:t>​</w:t>
            </w:r>
          </w:p>
        </w:tc>
        <w:tc>
          <w:tcPr>
            <w:tcW w:w="368" w:type="dxa"/>
            <w:tcBorders/>
            <w:vAlign w:val="center"/>
          </w:tcPr>
          <w:p>
            <w:pPr>
              <w:pStyle w:val="TableContents"/>
              <w:bidi w:val="0"/>
              <w:spacing w:before="1" w:after="1"/>
              <w:ind w:left="0" w:right="0" w:hanging="0"/>
              <w:jc w:val="left"/>
              <w:rPr/>
            </w:pPr>
            <w:r>
              <w:rPr/>
              <w:t>​</w:t>
            </w:r>
          </w:p>
        </w:tc>
        <w:tc>
          <w:tcPr>
            <w:tcW w:w="99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16.28</w:t>
            </w:r>
          </w:p>
        </w:tc>
        <w:tc>
          <w:tcPr>
            <w:tcW w:w="326" w:type="dxa"/>
            <w:tcBorders/>
            <w:vAlign w:val="center"/>
          </w:tcPr>
          <w:p>
            <w:pPr>
              <w:pStyle w:val="TableContents"/>
              <w:bidi w:val="0"/>
              <w:spacing w:before="1" w:after="1"/>
              <w:ind w:left="0" w:right="0" w:hanging="0"/>
              <w:jc w:val="left"/>
              <w:rPr/>
            </w:pPr>
            <w:r>
              <w:rPr/>
              <w:t>​</w:t>
            </w:r>
          </w:p>
        </w:tc>
        <w:tc>
          <w:tcPr>
            <w:tcW w:w="274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40,726</w:t>
            </w:r>
          </w:p>
        </w:tc>
        <w:tc>
          <w:tcPr>
            <w:tcW w:w="326" w:type="dxa"/>
            <w:tcBorders/>
            <w:vAlign w:val="center"/>
          </w:tcPr>
          <w:p>
            <w:pPr>
              <w:pStyle w:val="TableContents"/>
              <w:bidi w:val="0"/>
              <w:spacing w:before="1" w:after="1"/>
              <w:ind w:left="0" w:right="0" w:hanging="0"/>
              <w:jc w:val="left"/>
              <w:rPr/>
            </w:pPr>
            <w:r>
              <w:rPr/>
              <w:t>​</w:t>
            </w:r>
          </w:p>
        </w:tc>
        <w:tc>
          <w:tcPr>
            <w:tcW w:w="528" w:type="dxa"/>
            <w:tcBorders/>
            <w:vAlign w:val="center"/>
          </w:tcPr>
          <w:p>
            <w:pPr>
              <w:pStyle w:val="TableContents"/>
              <w:bidi w:val="0"/>
              <w:spacing w:before="1" w:after="1"/>
              <w:ind w:left="0" w:right="0" w:hanging="0"/>
              <w:jc w:val="left"/>
              <w:rPr/>
            </w:pPr>
            <w:r>
              <w:rPr/>
              <w:t>​</w:t>
            </w:r>
          </w:p>
        </w:tc>
        <w:tc>
          <w:tcPr>
            <w:tcW w:w="1544"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4,337</w:t>
            </w:r>
          </w:p>
        </w:tc>
      </w:tr>
      <w:tr>
        <w:trPr/>
        <w:tc>
          <w:tcPr>
            <w:tcW w:w="141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3/1/2024 - 3/31/2024</w:t>
            </w:r>
          </w:p>
        </w:tc>
        <w:tc>
          <w:tcPr>
            <w:tcW w:w="326" w:type="dxa"/>
            <w:tcBorders/>
            <w:shd w:fill="CCEEFF" w:val="clear"/>
            <w:vAlign w:val="center"/>
          </w:tcPr>
          <w:p>
            <w:pPr>
              <w:pStyle w:val="TableContents"/>
              <w:bidi w:val="0"/>
              <w:spacing w:before="1" w:after="1"/>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74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528" w:type="dxa"/>
            <w:tcBorders/>
            <w:shd w:fill="CCEEFF" w:val="clear"/>
            <w:vAlign w:val="center"/>
          </w:tcPr>
          <w:p>
            <w:pPr>
              <w:pStyle w:val="TableContents"/>
              <w:bidi w:val="0"/>
              <w:spacing w:before="1" w:after="1"/>
              <w:ind w:left="0" w:right="0" w:hanging="0"/>
              <w:jc w:val="left"/>
              <w:rPr/>
            </w:pPr>
            <w:r>
              <w:rPr/>
              <w:t>​</w:t>
            </w:r>
          </w:p>
        </w:tc>
        <w:tc>
          <w:tcPr>
            <w:tcW w:w="1544" w:type="dxa"/>
            <w:tcBorders/>
            <w:shd w:fill="CCEEFF" w:val="clear"/>
            <w:vAlign w:val="center"/>
          </w:tcPr>
          <w:p>
            <w:pPr>
              <w:pStyle w:val="TableContents"/>
              <w:bidi w:val="0"/>
              <w:spacing w:before="1" w:after="1"/>
              <w:ind w:left="0" w:right="0" w:hanging="0"/>
              <w:jc w:val="right"/>
              <w:rPr/>
            </w:pPr>
            <w:r>
              <w:rPr/>
              <w:t>—</w:t>
            </w:r>
          </w:p>
        </w:tc>
      </w:tr>
      <w:tr>
        <w:trPr/>
        <w:tc>
          <w:tcPr>
            <w:tcW w:w="141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1" w:after="1"/>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40,726</w:t>
            </w:r>
          </w:p>
        </w:tc>
        <w:tc>
          <w:tcPr>
            <w:tcW w:w="326" w:type="dxa"/>
            <w:tcBorders/>
            <w:vAlign w:val="center"/>
          </w:tcPr>
          <w:p>
            <w:pPr>
              <w:pStyle w:val="TableContents"/>
              <w:bidi w:val="0"/>
              <w:spacing w:before="1" w:after="1"/>
              <w:ind w:left="0" w:right="0" w:hanging="0"/>
              <w:jc w:val="left"/>
              <w:rPr/>
            </w:pPr>
            <w:r>
              <w:rPr/>
              <w:t>​</w:t>
            </w:r>
          </w:p>
        </w:tc>
        <w:tc>
          <w:tcPr>
            <w:tcW w:w="36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16.28</w:t>
            </w:r>
          </w:p>
        </w:tc>
        <w:tc>
          <w:tcPr>
            <w:tcW w:w="326" w:type="dxa"/>
            <w:tcBorders/>
            <w:vAlign w:val="center"/>
          </w:tcPr>
          <w:p>
            <w:pPr>
              <w:pStyle w:val="TableContents"/>
              <w:bidi w:val="0"/>
              <w:spacing w:before="1" w:after="1"/>
              <w:ind w:left="0" w:right="0" w:hanging="0"/>
              <w:jc w:val="left"/>
              <w:rPr/>
            </w:pPr>
            <w:r>
              <w:rPr/>
              <w:t>​</w:t>
            </w:r>
          </w:p>
        </w:tc>
        <w:tc>
          <w:tcPr>
            <w:tcW w:w="274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40,726</w:t>
            </w:r>
          </w:p>
        </w:tc>
        <w:tc>
          <w:tcPr>
            <w:tcW w:w="326" w:type="dxa"/>
            <w:tcBorders/>
            <w:vAlign w:val="center"/>
          </w:tcPr>
          <w:p>
            <w:pPr>
              <w:pStyle w:val="TableContents"/>
              <w:bidi w:val="0"/>
              <w:spacing w:before="1" w:after="1"/>
              <w:ind w:left="0" w:right="0" w:hanging="0"/>
              <w:jc w:val="left"/>
              <w:rPr/>
            </w:pPr>
            <w:r>
              <w:rPr/>
              <w:t>​</w:t>
            </w:r>
          </w:p>
        </w:tc>
        <w:tc>
          <w:tcPr>
            <w:tcW w:w="528" w:type="dxa"/>
            <w:tcBorders/>
            <w:vAlign w:val="center"/>
          </w:tcPr>
          <w:p>
            <w:pPr>
              <w:pStyle w:val="TableContents"/>
              <w:bidi w:val="0"/>
              <w:spacing w:before="1" w:after="1"/>
              <w:ind w:left="0" w:right="0" w:hanging="0"/>
              <w:jc w:val="left"/>
              <w:rPr/>
            </w:pPr>
            <w:r>
              <w:rPr/>
              <w:t>​</w:t>
            </w:r>
          </w:p>
        </w:tc>
        <w:tc>
          <w:tcPr>
            <w:tcW w:w="1544" w:type="dxa"/>
            <w:tcBorders/>
            <w:vAlign w:val="center"/>
          </w:tcPr>
          <w:p>
            <w:pPr>
              <w:pStyle w:val="TableContents"/>
              <w:bidi w:val="0"/>
              <w:spacing w:before="1" w:after="1"/>
              <w:ind w:left="0" w:right="0" w:hanging="0"/>
              <w:jc w:val="left"/>
              <w:rPr/>
            </w:pPr>
            <w:r>
              <w:rPr/>
              <w:t>​</w:t>
            </w:r>
          </w:p>
        </w:tc>
      </w:tr>
    </w:tbl>
    <w:p>
      <w:pPr>
        <w:pStyle w:val="TextBody"/>
        <w:bidi w:val="0"/>
        <w:spacing w:before="100" w:after="10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64"/>
        <w:gridCol w:w="9817"/>
      </w:tblGrid>
      <w:tr>
        <w:trPr/>
        <w:tc>
          <w:tcPr>
            <w:tcW w:w="124"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December 12, 2023, the Board approved a $5.0 million common stock repurchase program, of which $4.3 million remained available as of March 31, 2024.</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bookmarkStart w:id="1460" w:name="_98232df8_4d78_4585_b9c7_a8ae74b0e2a6"/>
      <w:bookmarkEnd w:id="1460"/>
      <w:r>
        <w:rPr/>
        <w:t>​</w:t>
      </w:r>
    </w:p>
    <w:p>
      <w:pPr>
        <w:pStyle w:val="TextBody"/>
        <w:bidi w:val="0"/>
        <w:spacing w:before="0" w:after="0"/>
        <w:ind w:left="0" w:right="0" w:hanging="0"/>
        <w:jc w:val="both"/>
        <w:rPr>
          <w:rFonts w:ascii="Times New Roman;Times;serif" w:hAnsi="Times New Roman;Times;serif"/>
          <w:b/>
          <w:sz w:val="20"/>
        </w:rPr>
      </w:pPr>
      <w:bookmarkStart w:id="1461" w:name="ITEM3DEFAULTSUPONSENIORSECURITIES_987801"/>
      <w:bookmarkEnd w:id="1461"/>
      <w:r>
        <w:rPr>
          <w:rFonts w:ascii="Times New Roman;Times;serif" w:hAnsi="Times New Roman;Times;serif"/>
          <w:b/>
          <w:sz w:val="20"/>
        </w:rPr>
        <w:t>ITEM 3. DEFAULTS UPON SENIOR SECURITIES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bookmarkStart w:id="1462" w:name="ITEM4MINESAFETYDISCLOSURES_773804"/>
      <w:bookmarkStart w:id="1463" w:name="_e60b826a_2e50_4699_89f8_91f2856b37ba"/>
      <w:bookmarkEnd w:id="1462"/>
      <w:bookmarkEnd w:id="1463"/>
      <w:r>
        <w:rPr>
          <w:rFonts w:ascii="Times New Roman;Times;serif" w:hAnsi="Times New Roman;Times;serif"/>
          <w:b/>
          <w:sz w:val="20"/>
        </w:rPr>
        <w:t>ITEM 4. MINE SAFETY DISCLOSURES</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bookmarkStart w:id="1464" w:name="ITEM5OTHERINFORMATION_783928"/>
      <w:bookmarkStart w:id="1465" w:name="_8032ba6f_8847_475d_8167_335455ef7eb2"/>
      <w:bookmarkEnd w:id="1464"/>
      <w:bookmarkEnd w:id="1465"/>
      <w:r>
        <w:rPr>
          <w:rFonts w:ascii="Times New Roman;Times;serif" w:hAnsi="Times New Roman;Times;serif"/>
          <w:b/>
          <w:sz w:val="20"/>
        </w:rPr>
        <w:t>ITEM 5. OTHER INFORMATION</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120"/>
        <w:ind w:left="0" w:right="0" w:hanging="0"/>
        <w:jc w:val="left"/>
        <w:rPr>
          <w:rFonts w:ascii="Times New Roman;Times;serif" w:hAnsi="Times New Roman;Times;serif"/>
          <w:b/>
          <w:sz w:val="20"/>
        </w:rPr>
      </w:pPr>
      <w:bookmarkStart w:id="1466" w:name="ITEM6EXHIBITS_552522"/>
      <w:bookmarkStart w:id="1467" w:name="_8cf73c7e_d960_4573_b21d_7ec08a4965b0"/>
      <w:bookmarkEnd w:id="1466"/>
      <w:bookmarkEnd w:id="1467"/>
      <w:r>
        <w:rPr>
          <w:rFonts w:ascii="Times New Roman;Times;serif" w:hAnsi="Times New Roman;Times;serif"/>
          <w:b/>
          <w:sz w:val="20"/>
        </w:rPr>
        <w:t>ITEM 6. EXHIBITS</w:t>
      </w:r>
    </w:p>
    <w:p>
      <w:pPr>
        <w:pStyle w:val="TextBody"/>
        <w:bidi w:val="0"/>
        <w:spacing w:lineRule="auto" w:line="268" w:before="120" w:after="120"/>
        <w:ind w:left="0" w:right="0" w:hanging="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0" w:type="dxa"/>
          <w:right w:w="0" w:type="dxa"/>
        </w:tblCellMar>
      </w:tblPr>
      <w:tblGrid>
        <w:gridCol w:w="1275"/>
        <w:gridCol w:w="266"/>
        <w:gridCol w:w="8664"/>
      </w:tblGrid>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(3.1)</w:t>
            </w:r>
          </w:p>
        </w:tc>
        <w:tc>
          <w:tcPr>
            <w:tcW w:w="266" w:type="dxa"/>
            <w:tcBorders/>
            <w:vAlign w:val="center"/>
          </w:tcPr>
          <w:p>
            <w:pPr>
              <w:pStyle w:val="TableContents"/>
              <w:bidi w:val="0"/>
              <w:spacing w:lineRule="auto" w:line="268" w:before="0" w:after="0"/>
              <w:ind w:left="0" w:right="0" w:hanging="0"/>
              <w:jc w:val="left"/>
              <w:rPr/>
            </w:pPr>
            <w:r>
              <w:rPr/>
              <w:t>   </w:t>
            </w:r>
          </w:p>
        </w:tc>
        <w:tc>
          <w:tcPr>
            <w:tcW w:w="8664"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Articles of Amendment and Restatement of CTO Realty Growth, Inc., as amended by the Articles of Amendment (Name Change), filed as Exhibit 3.1 to the registrant’s current report on Form 8-K12B filed February 1, 2021, and incorporated herein by reference.</w:t>
              </w:r>
            </w:hyperlink>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(3.2)</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hyperlink r:id="rId3">
              <w:r>
                <w:rPr>
                  <w:rStyle w:val="InternetLink"/>
                  <w:rFonts w:ascii="Times New Roman;Times;serif" w:hAnsi="Times New Roman;Times;serif"/>
                  <w:b w:val="false"/>
                  <w:i w:val="false"/>
                  <w:caps w:val="false"/>
                  <w:smallCaps w:val="false"/>
                  <w:sz w:val="20"/>
                </w:rPr>
                <w:t>Articles Supplementary, designating CTO Realty Growth, Inc.’s 6.375% Series A Cumulative Redeemable Preferred Stock, filed as Exhibit 3.2 to the registrant's Registration Statement on Form 8-A filed July 1, 2021 (File No. 001-11350), and incorporated herein by reference.</w:t>
              </w:r>
            </w:hyperlink>
          </w:p>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(3.3)</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hyperlink r:id="rId4">
              <w:r>
                <w:rPr>
                  <w:rStyle w:val="InternetLink"/>
                  <w:rFonts w:ascii="Times New Roman;Times;serif" w:hAnsi="Times New Roman;Times;serif"/>
                  <w:b w:val="false"/>
                  <w:i w:val="false"/>
                  <w:caps w:val="false"/>
                  <w:smallCaps w:val="false"/>
                  <w:sz w:val="20"/>
                </w:rPr>
                <w:t>Articles Supplementary, designating 3,000,000 additional shares of CTO Realty Growth, Inc.’s 6.375% Series A Cumulative Redeemable Preferred Stock, filed as Exhibit 3.1 to the registrant’s current report on Form 8-K filed April 3, 2024, and incorporated herein by reference.</w:t>
              </w:r>
            </w:hyperlink>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(3.4)</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hyperlink r:id="rId5">
              <w:r>
                <w:rPr>
                  <w:rStyle w:val="InternetLink"/>
                  <w:rFonts w:ascii="Times New Roman;Times;serif" w:hAnsi="Times New Roman;Times;serif"/>
                  <w:b w:val="false"/>
                  <w:i w:val="false"/>
                  <w:caps w:val="false"/>
                  <w:smallCaps w:val="false"/>
                  <w:sz w:val="20"/>
                </w:rPr>
                <w:t>Third Amended and Restated Bylaws of CTO Realty Growth, Inc., effective as of February 16, 2023, filed as Exhibit 3.1 to the registrant’s Current Report on Form 8-K filed February 17, 2023, and incorporated herein by reference.</w:t>
              </w:r>
            </w:hyperlink>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(4.1)</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hyperlink r:id="rId6">
              <w:r>
                <w:rPr>
                  <w:rStyle w:val="InternetLink"/>
                  <w:rFonts w:ascii="Times New Roman;Times;serif" w:hAnsi="Times New Roman;Times;serif"/>
                  <w:b w:val="false"/>
                  <w:i w:val="false"/>
                  <w:caps w:val="false"/>
                  <w:smallCaps w:val="false"/>
                  <w:sz w:val="20"/>
                </w:rPr>
                <w:t>Specimen Common Stock Certificate of CTO Realty Growth, Inc., filed as Exhibit 4.2 to the registrant’s current report on Form 8-K12B filed February 1, 2021, and incorporated herein by reference.</w:t>
              </w:r>
            </w:hyperlink>
          </w:p>
        </w:tc>
      </w:tr>
      <w:tr>
        <w:trPr/>
        <w:tc>
          <w:tcPr>
            <w:tcW w:w="1275" w:type="dxa"/>
            <w:tcBorders/>
            <w:vAlign w:val="center"/>
          </w:tcPr>
          <w:p>
            <w:pPr>
              <w:pStyle w:val="TableContents"/>
              <w:bidi w:val="0"/>
              <w:spacing w:lineRule="auto" w:line="268" w:before="0" w:after="0"/>
              <w:ind w:left="0" w:right="0" w:hanging="0"/>
              <w:jc w:val="left"/>
              <w:rPr>
                <w:shd w:fill="FFFF00" w:val="clear"/>
              </w:rPr>
            </w:pPr>
            <w:r>
              <w:rPr>
                <w:shd w:fill="FFFF00" w:val="clear"/>
              </w:rPr>
              <w:t>​</w:t>
            </w:r>
          </w:p>
        </w:tc>
        <w:tc>
          <w:tcPr>
            <w:tcW w:w="266" w:type="dxa"/>
            <w:tcBorders/>
            <w:vAlign w:val="center"/>
          </w:tcPr>
          <w:p>
            <w:pPr>
              <w:pStyle w:val="TableContents"/>
              <w:bidi w:val="0"/>
              <w:spacing w:lineRule="auto" w:line="268" w:before="0" w:after="0"/>
              <w:ind w:left="0" w:right="0" w:hanging="0"/>
              <w:jc w:val="left"/>
              <w:rPr>
                <w:shd w:fill="FFFF00" w:val="clear"/>
              </w:rPr>
            </w:pPr>
            <w:r>
              <w:rPr>
                <w:shd w:fill="FFFF00" w:val="clear"/>
              </w:rPr>
              <w:t>​</w:t>
            </w:r>
          </w:p>
        </w:tc>
        <w:tc>
          <w:tcPr>
            <w:tcW w:w="8664" w:type="dxa"/>
            <w:tcBorders/>
            <w:vAlign w:val="center"/>
          </w:tcPr>
          <w:p>
            <w:pPr>
              <w:pStyle w:val="TableContents"/>
              <w:bidi w:val="0"/>
              <w:spacing w:lineRule="auto" w:line="268" w:before="0" w:after="0"/>
              <w:ind w:left="0" w:right="0" w:hanging="0"/>
              <w:jc w:val="left"/>
              <w:rPr>
                <w:shd w:fill="FFFF00" w:val="clear"/>
              </w:rPr>
            </w:pPr>
            <w:r>
              <w:rPr>
                <w:shd w:fill="FFFF00" w:val="clea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31.1</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hyperlink w:anchor="cto-20240331xex31d1.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31.2</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hyperlink w:anchor="cto-20240331xex31d2.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32.1</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hyperlink w:anchor="cto-20240331xex32d1.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32.2</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hyperlink w:anchor="cto-20240331xex32d2.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101.INS</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101.SCH</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101.CAL</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101.DEF</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101.LAB</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101.PRE</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75" w:type="dxa"/>
            <w:tcBorders/>
            <w:vAlign w:val="center"/>
          </w:tcPr>
          <w:p>
            <w:pPr>
              <w:pStyle w:val="TableContents"/>
              <w:bidi w:val="0"/>
              <w:spacing w:lineRule="auto" w:line="268" w:before="0" w:after="0"/>
              <w:ind w:left="0" w:right="0" w:hanging="0"/>
              <w:jc w:val="left"/>
              <w:rPr/>
            </w:pPr>
            <w:r>
              <w:rPr/>
              <w:t>​</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pPr>
            <w:r>
              <w:rPr/>
              <w:t>​</w:t>
            </w:r>
          </w:p>
        </w:tc>
      </w:tr>
      <w:tr>
        <w:trPr/>
        <w:tc>
          <w:tcPr>
            <w:tcW w:w="1275"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Exhibit 104</w:t>
            </w:r>
          </w:p>
        </w:tc>
        <w:tc>
          <w:tcPr>
            <w:tcW w:w="266" w:type="dxa"/>
            <w:tcBorders/>
            <w:vAlign w:val="center"/>
          </w:tcPr>
          <w:p>
            <w:pPr>
              <w:pStyle w:val="TableContents"/>
              <w:bidi w:val="0"/>
              <w:spacing w:lineRule="auto" w:line="268" w:before="0" w:after="0"/>
              <w:ind w:left="0" w:right="0" w:hanging="0"/>
              <w:jc w:val="left"/>
              <w:rPr/>
            </w:pPr>
            <w:r>
              <w:rPr/>
              <w:t>​</w:t>
            </w:r>
          </w:p>
        </w:tc>
        <w:tc>
          <w:tcPr>
            <w:tcW w:w="8664" w:type="dxa"/>
            <w:tcBorders/>
            <w:vAlign w:val="center"/>
          </w:tcPr>
          <w:p>
            <w:pPr>
              <w:pStyle w:val="TableContents"/>
              <w:bidi w:val="0"/>
              <w:spacing w:lineRule="auto" w:line="268" w:before="0" w:after="0"/>
              <w:ind w:left="0" w:right="0" w:hanging="0"/>
              <w:jc w:val="left"/>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p>
            <w:pPr>
              <w:pStyle w:val="TableContents"/>
              <w:bidi w:val="0"/>
              <w:spacing w:lineRule="auto" w:line="268"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pStyle w:val="TableContents"/>
              <w:bidi w:val="0"/>
              <w:spacing w:before="0" w:after="0"/>
              <w:ind w:left="0" w:right="0" w:hanging="0"/>
              <w:jc w:val="both"/>
              <w:rPr/>
            </w:pPr>
            <w:r>
              <w:rPr/>
              <w:t>​</w:t>
            </w:r>
          </w:p>
        </w:tc>
      </w:tr>
    </w:tbl>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68" w:before="0" w:after="0"/>
              <w:ind w:left="0" w:right="0" w:hanging="0"/>
              <w:jc w:val="left"/>
              <w:rPr/>
            </w:pPr>
            <w:r>
              <w:rPr/>
              <w:t>​</w:t>
            </w:r>
          </w:p>
        </w:tc>
        <w:tc>
          <w:tcPr>
            <w:tcW w:w="109" w:type="dxa"/>
            <w:tcBorders/>
            <w:vAlign w:val="center"/>
          </w:tcPr>
          <w:p>
            <w:pPr>
              <w:pStyle w:val="TableContents"/>
              <w:bidi w:val="0"/>
              <w:spacing w:lineRule="auto" w:line="268" w:before="0" w:after="0"/>
              <w:ind w:left="0" w:right="0" w:hanging="0"/>
              <w:jc w:val="left"/>
              <w:rPr/>
            </w:pPr>
            <w:r>
              <w:rPr/>
              <w:t>​</w:t>
            </w:r>
          </w:p>
        </w:tc>
        <w:tc>
          <w:tcPr>
            <w:tcW w:w="154" w:type="dxa"/>
            <w:tcBorders/>
            <w:vAlign w:val="center"/>
          </w:tcPr>
          <w:p>
            <w:pPr>
              <w:pStyle w:val="TableContents"/>
              <w:bidi w:val="0"/>
              <w:spacing w:lineRule="auto" w:line="268" w:before="0" w:after="0"/>
              <w:ind w:left="0" w:right="0" w:hanging="0"/>
              <w:jc w:val="left"/>
              <w:rPr/>
            </w:pPr>
            <w:r>
              <w:rPr/>
              <w:t>​</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1468" w:name="_66ab8f7c_b891_43fd_bd52_f1583b53a76c"/>
      <w:bookmarkEnd w:id="1468"/>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9" w:name="Signatures_930257"/>
      <w:bookmarkEnd w:id="1469"/>
      <w:r>
        <w:rPr>
          <w:rFonts w:ascii="Times New Roman;Times;serif" w:hAnsi="Times New Roman;Times;serif"/>
          <w:b/>
          <w:sz w:val="20"/>
        </w:rPr>
        <w:t>SIGNATURES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8388" w:type="dxa"/>
        <w:jc w:val="left"/>
        <w:tblInd w:w="0" w:type="dxa"/>
        <w:tblLayout w:type="fixed"/>
        <w:tblCellMar>
          <w:top w:w="0" w:type="dxa"/>
          <w:left w:w="0" w:type="dxa"/>
          <w:bottom w:w="0" w:type="dxa"/>
          <w:right w:w="0" w:type="dxa"/>
        </w:tblCellMar>
      </w:tblPr>
      <w:tblGrid>
        <w:gridCol w:w="1156"/>
        <w:gridCol w:w="146"/>
        <w:gridCol w:w="406"/>
        <w:gridCol w:w="109"/>
        <w:gridCol w:w="6571"/>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734060" cy="175260"/>
                      <wp:effectExtent l="0" t="0" r="0" b="0"/>
                      <wp:wrapNone/>
                      <wp:docPr id="363" name="Frame36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92710" cy="175260"/>
                      <wp:effectExtent l="0" t="0" r="0" b="0"/>
                      <wp:wrapNone/>
                      <wp:docPr id="364" name="Frame3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57810" cy="175260"/>
                      <wp:effectExtent l="0" t="0" r="0" b="0"/>
                      <wp:wrapNone/>
                      <wp:docPr id="365" name="Frame36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66" name="Frame3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172585" cy="175260"/>
                      <wp:effectExtent l="0" t="0" r="0" b="0"/>
                      <wp:wrapNone/>
                      <wp:docPr id="367" name="Frame367"/>
                      <a:graphic xmlns:a="http://schemas.openxmlformats.org/drawingml/2006/main">
                        <a:graphicData uri="http://schemas.microsoft.com/office/word/2010/wordprocessingShape">
                          <wps:wsp>
                            <wps:cNvSpPr txBox="1"/>
                            <wps:spPr>
                              <a:xfrm>
                                <a:off x="0" y="0"/>
                                <a:ext cx="417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0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CTO REALTY GROWTH, INC.</w:t>
            </w:r>
          </w:p>
        </w:tc>
      </w:tr>
      <w:tr>
        <w:trPr/>
        <w:tc>
          <w:tcPr>
            <w:tcW w:w="1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708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156"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6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top w:val="single" w:sz="2" w:space="0" w:color="000000"/>
            </w:tcBorders>
            <w:tcMar>
              <w:top w:w="28" w:type="dxa"/>
            </w:tcMar>
            <w:vAlign w:val="center"/>
          </w:tcPr>
          <w:p>
            <w:pPr>
              <w:pStyle w:val="TableContents"/>
              <w:bidi w:val="0"/>
              <w:spacing w:before="0" w:after="0"/>
              <w:ind w:left="0" w:right="16"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16" w:hanging="0"/>
              <w:jc w:val="left"/>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156"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6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 Senior Vice President and</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Accounting Officer and Interim Chief Financial Officer and Treasurer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 and Principal Accounting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tLeast" w:line="142" w:before="0" w:after="0"/>
        <w:ind w:left="0" w:right="0" w:hanging="0"/>
        <w:jc w:val="left"/>
        <w:rPr/>
      </w:pPr>
      <w:bookmarkStart w:id="1470" w:name="cto-20240331xex31d1.htm"/>
      <w:bookmarkStart w:id="1471" w:name="kscto20240331xex31d1"/>
      <w:bookmarkEnd w:id="1470"/>
      <w:bookmarkEnd w:id="1471"/>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Albright, certify that:</w:t>
      </w:r>
    </w:p>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May 2, 2024</w:t>
      </w:r>
    </w:p>
    <w:tbl>
      <w:tblPr>
        <w:tblW w:w="3886" w:type="dxa"/>
        <w:jc w:val="left"/>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92710" cy="175260"/>
                      <wp:effectExtent l="0" t="0" r="0" b="0"/>
                      <wp:wrapNone/>
                      <wp:docPr id="368" name="Frame3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0"/>
              <w:ind w:left="0" w:right="0" w:hanging="0"/>
              <w:jc w:val="left"/>
              <w:rPr/>
            </w:pPr>
            <w:r>
              <w:rPr/>
              <w:t>​</w:t>
            </w:r>
          </w:p>
        </w:tc>
        <w:tc>
          <w:tcPr>
            <w:tcW w:w="70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472" w:name="cto-20240331xex31d2.htm"/>
      <w:bookmarkStart w:id="1473" w:name="kscto20240331xex31d2"/>
      <w:bookmarkEnd w:id="1472"/>
      <w:bookmarkEnd w:id="1473"/>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Lisa M. Vorakoun, certify that:</w:t>
      </w:r>
    </w:p>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May 2, 2024</w:t>
      </w:r>
    </w:p>
    <w:tbl>
      <w:tblPr>
        <w:tblW w:w="10205" w:type="dxa"/>
        <w:jc w:val="left"/>
        <w:tblInd w:w="0" w:type="dxa"/>
        <w:tblLayout w:type="fixed"/>
        <w:tblCellMar>
          <w:top w:w="0" w:type="dxa"/>
          <w:left w:w="0" w:type="dxa"/>
          <w:bottom w:w="0" w:type="dxa"/>
          <w:right w:w="0" w:type="dxa"/>
        </w:tblCellMar>
      </w:tblPr>
      <w:tblGrid>
        <w:gridCol w:w="420"/>
        <w:gridCol w:w="146"/>
        <w:gridCol w:w="7828"/>
        <w:gridCol w:w="1655"/>
        <w:gridCol w:w="156"/>
      </w:tblGrid>
      <w:tr>
        <w:trPr/>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66700" cy="175260"/>
                      <wp:effectExtent l="0" t="0" r="0" b="0"/>
                      <wp:wrapNone/>
                      <wp:docPr id="369" name="Frame36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2710" cy="175260"/>
                      <wp:effectExtent l="0" t="0" r="0" b="0"/>
                      <wp:wrapNone/>
                      <wp:docPr id="370" name="Frame3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970780" cy="175260"/>
                      <wp:effectExtent l="0" t="0" r="0" b="0"/>
                      <wp:wrapNone/>
                      <wp:docPr id="371" name="Frame371"/>
                      <a:graphic xmlns:a="http://schemas.openxmlformats.org/drawingml/2006/main">
                        <a:graphicData uri="http://schemas.microsoft.com/office/word/2010/wordprocessingShape">
                          <wps:wsp>
                            <wps:cNvSpPr txBox="1"/>
                            <wps:spPr>
                              <a:xfrm>
                                <a:off x="0" y="0"/>
                                <a:ext cx="4970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149985" cy="175260"/>
                      <wp:effectExtent l="0" t="0" r="0" b="0"/>
                      <wp:wrapNone/>
                      <wp:docPr id="372" name="Frame372"/>
                      <a:graphic xmlns:a="http://schemas.openxmlformats.org/drawingml/2006/main">
                        <a:graphicData uri="http://schemas.microsoft.com/office/word/2010/wordprocessingShape">
                          <wps:wsp>
                            <wps:cNvSpPr txBox="1"/>
                            <wps:spPr>
                              <a:xfrm>
                                <a:off x="0" y="0"/>
                                <a:ext cx="114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948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c>
          <w:tcPr>
            <w:tcW w:w="1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483"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Lisa M. Vorakoun, Senior Vice President, Chief Accounting Officer and Interim 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74" w:name="cto-20240331xex32d1.htm"/>
      <w:bookmarkStart w:id="1475" w:name="kscto20240331xex32d1"/>
      <w:bookmarkEnd w:id="1474"/>
      <w:bookmarkEnd w:id="1475"/>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March 31, 2024,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2, 2024</w:t>
      </w:r>
    </w:p>
    <w:tbl>
      <w:tblPr>
        <w:tblW w:w="3886" w:type="dxa"/>
        <w:jc w:val="center"/>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67335" cy="175260"/>
                      <wp:effectExtent l="0" t="0" r="0" b="0"/>
                      <wp:wrapNone/>
                      <wp:docPr id="373" name="Frame37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92710" cy="175260"/>
                      <wp:effectExtent l="0" t="0" r="0" b="0"/>
                      <wp:wrapNone/>
                      <wp:docPr id="374" name="Frame3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59890" cy="175260"/>
                      <wp:effectExtent l="0" t="0" r="0" b="0"/>
                      <wp:wrapNone/>
                      <wp:docPr id="375" name="Frame375"/>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48310" cy="175260"/>
                      <wp:effectExtent l="0" t="0" r="0" b="0"/>
                      <wp:wrapNone/>
                      <wp:docPr id="376" name="Frame37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76" w:name="cto-20240331xex32d2.htm"/>
      <w:bookmarkStart w:id="1477" w:name="kscto20240331xex32d2"/>
      <w:bookmarkEnd w:id="1476"/>
      <w:bookmarkEnd w:id="1477"/>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March 31, 2024, as filed with the Securities and Exchange Commission on the date hereof (the “Report”), I, Lisa M. Vorakoun, Senior Vice President, Chief Accounting Officer, and Interim Chief Financial Officer and Treasurer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2, 2024</w:t>
      </w:r>
    </w:p>
    <w:tbl>
      <w:tblPr>
        <w:tblW w:w="10205" w:type="dxa"/>
        <w:jc w:val="left"/>
        <w:tblInd w:w="0" w:type="dxa"/>
        <w:tblLayout w:type="fixed"/>
        <w:tblCellMar>
          <w:top w:w="0" w:type="dxa"/>
          <w:left w:w="0" w:type="dxa"/>
          <w:bottom w:w="0" w:type="dxa"/>
          <w:right w:w="0" w:type="dxa"/>
        </w:tblCellMar>
      </w:tblPr>
      <w:tblGrid>
        <w:gridCol w:w="420"/>
        <w:gridCol w:w="146"/>
        <w:gridCol w:w="7828"/>
        <w:gridCol w:w="1655"/>
        <w:gridCol w:w="156"/>
      </w:tblGrid>
      <w:tr>
        <w:trPr/>
        <w:tc>
          <w:tcPr>
            <w:tcW w:w="42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92710" cy="175260"/>
                      <wp:effectExtent l="0" t="0" r="0" b="0"/>
                      <wp:wrapNone/>
                      <wp:docPr id="377" name="Frame3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8" w:type="dxa"/>
            <w:tcBorders/>
            <w:vAlign w:val="center"/>
          </w:tcPr>
          <w:p>
            <w:pPr>
              <w:pStyle w:val="TableContents"/>
              <w:bidi w:val="0"/>
              <w:spacing w:before="0" w:after="0"/>
              <w:ind w:left="0" w:right="0" w:hanging="0"/>
              <w:jc w:val="left"/>
              <w:rPr/>
            </w:pPr>
            <w:r>
              <w:rPr/>
              <w:t>​</w:t>
            </w:r>
          </w:p>
        </w:tc>
        <w:tc>
          <w:tcPr>
            <w:tcW w:w="1811" w:type="dxa"/>
            <w:gridSpan w:val="2"/>
            <w:tcBorders/>
            <w:vAlign w:val="center"/>
          </w:tcPr>
          <w:p>
            <w:pPr>
              <w:pStyle w:val="TableContents"/>
              <w:bidi w:val="0"/>
              <w:spacing w:before="0" w:after="0"/>
              <w:ind w:left="0" w:right="0" w:hanging="0"/>
              <w:jc w:val="left"/>
              <w:rPr/>
            </w:pPr>
            <w:r>
              <w:rPr/>
              <w:t>​</w:t>
            </w:r>
          </w:p>
        </w:tc>
      </w:tr>
      <w:tr>
        <w:trPr/>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9483"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c>
          <w:tcPr>
            <w:tcW w:w="156" w:type="dxa"/>
            <w:tcBorders/>
            <w:vAlign w:val="center"/>
          </w:tcPr>
          <w:p>
            <w:pPr>
              <w:pStyle w:val="TableContents"/>
              <w:bidi w:val="0"/>
              <w:spacing w:before="0" w:after="0"/>
              <w:ind w:left="0" w:right="0" w:hanging="0"/>
              <w:jc w:val="left"/>
              <w:rPr/>
            </w:pPr>
            <w:r>
              <w:rPr/>
              <w:t>​</w:t>
            </w:r>
          </w:p>
        </w:tc>
      </w:tr>
      <w:tr>
        <w:trPr/>
        <w:tc>
          <w:tcPr>
            <w:tcW w:w="42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483"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Lisa M. Vorakoun, Senior Vice President, Chief Accounting Officer and Interim 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23795/000119312521023648/d113606dex31.htm" TargetMode="External"/><Relationship Id="rId3" Type="http://schemas.openxmlformats.org/officeDocument/2006/relationships/hyperlink" Target="https://www.sec.gov/Archives/edgar/data/23795/000119312521206336/d124719dex32.htm" TargetMode="External"/><Relationship Id="rId4" Type="http://schemas.openxmlformats.org/officeDocument/2006/relationships/hyperlink" Target="https://www.sec.gov/ix?doc=/Archives/edgar/data/23795/000110465924043097/tm2410761d1_8k.htm" TargetMode="External"/><Relationship Id="rId5" Type="http://schemas.openxmlformats.org/officeDocument/2006/relationships/hyperlink" Target="https://www.sec.gov/Archives/edgar/data/23795/000155837023001536/cto-20230216xex3d1.htm" TargetMode="External"/><Relationship Id="rId6" Type="http://schemas.openxmlformats.org/officeDocument/2006/relationships/hyperlink" Target="https://www.sec.gov/Archives/edgar/data/0000023795/000119312521023648/d113606dex4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26465</Words>
  <Characters>144253</Characters>
  <CharactersWithSpaces>172077</CharactersWithSpaces>
  <Paragraphs>6008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