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CTO Realty Growth,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001-11350</w:t>
            </w:r>
          </w:p>
        </w:tc>
        <w:tc>
          <w:tcPr>
            <w:tcW w:w="30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59-0483700</w:t>
            </w:r>
          </w:p>
        </w:tc>
      </w:tr>
      <w:tr>
        <w:trPr>
          <w:trHeight w:val="216"/>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incorporation)</w:t>
            </w:r>
          </w:p>
        </w:tc>
        <w:tc>
          <w:tcPr>
            <w:tcW w:w="39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369 N. New York Ave.,</w:t>
            </w:r>
          </w:p>
        </w:tc>
        <w:tc>
          <w:tcPr>
            <w:tcW w:w="30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32789</w:t>
            </w:r>
          </w:p>
        </w:tc>
      </w:tr>
      <w:tr>
        <w:trPr>
          <w:trHeight w:val="216"/>
        </w:trPr>
        <w:tc>
          <w:tcPr>
            <w:tcW w:w="26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201</w:t>
            </w:r>
          </w:p>
        </w:tc>
        <w:tc>
          <w:tcPr>
            <w:tcW w:w="3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(Zip Code)</w:t>
            </w:r>
          </w:p>
        </w:tc>
      </w:tr>
      <w:tr>
        <w:trPr>
          <w:trHeight w:val="220"/>
        </w:trPr>
        <w:tc>
          <w:tcPr>
            <w:tcW w:w="268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Winter Park, Florida</w:t>
            </w:r>
          </w:p>
        </w:tc>
        <w:tc>
          <w:tcPr>
            <w:tcW w:w="3060" w:type="dxa"/>
            <w:vAlign w:val="bottom"/>
          </w:tcPr>
          <w:p>
            <w:pPr>
              <w:spacing w:after="0"/>
              <w:rPr>
                <w:sz w:val="19"/>
                <w:szCs w:val="19"/>
                <w:color w:val="auto"/>
              </w:rPr>
            </w:pPr>
          </w:p>
        </w:tc>
      </w:tr>
      <w:tr>
        <w:trPr>
          <w:trHeight w:val="234"/>
        </w:trPr>
        <w:tc>
          <w:tcPr>
            <w:tcW w:w="2680" w:type="dxa"/>
            <w:vAlign w:val="bottom"/>
          </w:tcPr>
          <w:p>
            <w:pPr>
              <w:spacing w:after="0"/>
              <w:rPr>
                <w:sz w:val="20"/>
                <w:szCs w:val="20"/>
                <w:color w:val="auto"/>
              </w:rPr>
            </w:pP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(407) 904-3324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24"/>
                <w:szCs w:val="24"/>
                <w:color w:val="auto"/>
              </w:rPr>
            </w:pPr>
          </w:p>
        </w:tc>
      </w:tr>
      <w:tr>
        <w:trPr>
          <w:trHeight w:val="23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CTO</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6.375% Series A Cumulative Redeemable Preferred Stock,</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CTO-PA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3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 par value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Preferred At-the-Market Offering Program</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29, 2026, CTO Realty Growth, Inc. (the “Company”) entered into separate equity distribution agreements, in substantially the form attached as Exhibit 1.1 to this Current Report on Form 8-K, and incorporated herein by reference (collectively, the “Preferred Equity Distribution Agreements”), with each of Cantor Fitzgerald &amp; Co. (“Cantor”) and Huntington Securities, Inc. (“Huntington”), to include Cantor and Huntington as additional sales agents in the Company's previously announced at the market preferred stock offering program, pursuant to which the Company may issue and sell from time to time (the “Preferred Offering”) shares of the Company’s 6.375% Series A Cumulative Redeemable Preferred Stock, par value $0.01 per share, with a liquidation preference of $25.00 per share, having an aggregate offering price of up to $25,000,000 (the “Preferred Shares”). The Preferred Equity Distribution Agreements are substantively identical to the Existing Preferred Equity Distribution Agreements, as amended by the Preferred Amendments (each as defined below).</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on April 29, 2026, the Company entered into separate amendments, in substantially the form attached as Exhibit 1.2 to this Current Report on Form 8-K, and incorporated herein by reference (collectively, the “Preferred Amendments”), to each separate equity distribution agreement, dated November 12, 2024, with each of A.G.P./Alliance Global Partners (“AGP”), B. Riley Securities, Inc. (“B. Riley”), Robert W. Baird &amp; Co. Incorporated (“Baird”), Jefferies LLC (“Jefferies”), JonesTrading Institutional Services LLC (“Jones”), Raymond James &amp; Associates, Inc. (“Raymond James”) and Truist Securities, Inc. (“Truist”) (collectively, the “Existing Preferred Equity Distribution Agreements”). The purpose of the Preferred Amendments was to update the Existing Preferred Equity Distribution Agreements to account for the participation of Cantor and Huntington in the Preferred Offering.</w:t>
      </w:r>
    </w:p>
    <w:p>
      <w:pPr>
        <w:spacing w:after="0" w:line="18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 Preferred Shares in any state or jurisdiction in which such an offer, solicitation or sale would be unlawful prior to registration or qualification under the securities laws of any such state or other jurisdiction.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Preferred Equity Distribution Agreements and Preferred Amendments is qualified in its entirety by reference to the full text of the Preferred Equity Distribution Agreements and Preferred Amendments, the forms of which are attached as Exhibit 1.1 and Exhibit 1.2, respectively, to this Current Report on Form 8-K and incorporated in this Item 8.01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At-the-Market Offering Program</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29, 2026, the Company entered into separate equity distribution agreements, in substantially the form attached as Exhibit 1.3 to this Current Report on Form 8-K, and incorporated herein by reference (collectively, the “Common Equity Distribution Agreements”), and separate master forward confirmations, in substantially the form attached as Exhibit 1.4 to this Current Report on Form 8-K, and incorporated herein by reference, with each of Cantor and Huntington, to include Cantor and Huntington as additional sales agents, forward sellers and forward purchasers in the Company's previously announced at the market common stock offering program, pursuant to which the Company may issue and sell from time to time (the “Common Offering”) shares of the Company’s common stock, par value $0.01 per share (the “Common Stock”), having an aggregate offering price of up to $250,000,000 (the “Common Shares”). The Common Equity Distribution Agreements are substantively identical to the Existing Common Equity Distribution Agreements, as amended by the Common Amendments (each as defined below).</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on April 29, 2026, the Company entered into separate amendments, in substantially the form attached as Exhibit 1.5 to this Current Report on Form 8-K, and incorporated herein by reference (collectively, the “Common Amendments”), to each separate equity distribution agreement, dated November 12, 2024, with each of AGP, B. Riley, Baird, Jefferies, Jones, KeyBanc Capital Markets Inc., Lucid Capital Markets, LLC, Raymond James, Regions Securities LLC, Truist and Wells Fargo Securities, LLC (collectively, the “Existing Common Equity Distribution Agreements”). The purpose of the Common Amendments was to update the Existing Common Equity Distribution Agreements to account for the participation of Cantor and Huntington in the Common Offering.</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line="196" w:lineRule="auto"/>
        <w:framePr w:w="800" w:h="160" w:wrap="auto" w:vAnchor="page" w:hAnchor="page" w:x="280" w:y="286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Item 9.01</w:t>
      </w:r>
    </w:p>
    <w:p>
      <w:pPr>
        <w:spacing w:after="0" w:line="185" w:lineRule="auto"/>
        <w:framePr w:w="1000" w:h="160" w:wrap="auto" w:vAnchor="page" w:hAnchor="page" w:x="280" w:y="330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Exhibits:</w:t>
      </w:r>
    </w:p>
    <w:p>
      <w:pPr>
        <w:spacing w:after="0" w:line="196" w:lineRule="auto"/>
        <w:framePr w:w="640" w:h="160" w:wrap="auto" w:vAnchor="page" w:hAnchor="page" w:x="460" w:y="373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w:t>
      </w:r>
    </w:p>
    <w:p>
      <w:pPr>
        <w:spacing w:after="0" w:line="185" w:lineRule="auto"/>
        <w:framePr w:w="720" w:h="160" w:wrap="auto" w:vAnchor="page" w:hAnchor="page" w:x="420" w:y="394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w:t>
      </w:r>
    </w:p>
    <w:p>
      <w:pPr>
        <w:spacing w:after="0" w:line="185" w:lineRule="auto"/>
        <w:framePr w:w="320" w:h="160" w:wrap="auto" w:vAnchor="page" w:hAnchor="page" w:x="620" w:y="4178"/>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1.1</w:t>
      </w:r>
    </w:p>
    <w:p>
      <w:pPr>
        <w:spacing w:after="0" w:line="185" w:lineRule="auto"/>
        <w:framePr w:w="320" w:h="160" w:wrap="auto" w:vAnchor="page" w:hAnchor="page" w:x="620" w:y="457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1.2</w:t>
      </w:r>
    </w:p>
    <w:p>
      <w:pPr>
        <w:spacing w:after="0" w:line="185" w:lineRule="auto"/>
        <w:framePr w:w="320" w:h="160" w:wrap="auto" w:vAnchor="page" w:hAnchor="page" w:x="620" w:y="4961"/>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1.3</w:t>
      </w:r>
    </w:p>
    <w:p>
      <w:pPr>
        <w:spacing w:after="0" w:line="185" w:lineRule="auto"/>
        <w:framePr w:w="320" w:h="160" w:wrap="auto" w:vAnchor="page" w:hAnchor="page" w:x="620" w:y="5353"/>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1.4</w:t>
      </w:r>
    </w:p>
    <w:p>
      <w:pPr>
        <w:spacing w:after="0" w:line="185" w:lineRule="auto"/>
        <w:framePr w:w="320" w:h="160" w:wrap="auto" w:vAnchor="page" w:hAnchor="page" w:x="620" w:y="5744"/>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1.5</w:t>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 Common Shares in any state or jurisdiction in which such an offer, solicitation or sale would be unlawful prior to registration or qualification under the securities laws of any such state or other jurisdiction.</w:t>
      </w:r>
    </w:p>
    <w:p>
      <w:pPr>
        <w:spacing w:after="0" w:line="176" w:lineRule="exact"/>
        <w:rPr>
          <w:rFonts w:ascii="Times New Roman" w:cs="Times New Roman" w:eastAsia="Times New Roman" w:hAnsi="Times New Roman"/>
          <w:sz w:val="18"/>
          <w:szCs w:val="18"/>
          <w:b w:val="1"/>
          <w:bCs w:val="1"/>
          <w:u w:val="single" w:color="auto"/>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 the Common Equity Distribution Agreements, master forward confirmations and Common Amendments is qualified in its entirety by reference to the full text of the Common Equity Distribution Agreements, master forward confirmations and Common Amendments, the forms of which are attached as Exhibit 1.3, Exhibit 1.4 and Exhibit 1.5, respectively, to this Current Report on Form 8-K and incorporated in this Item 8.01 by reference.</w:t>
      </w:r>
    </w:p>
    <w:p>
      <w:pPr>
        <w:spacing w:after="0" w:line="176" w:lineRule="exact"/>
        <w:rPr>
          <w:rFonts w:ascii="Times New Roman" w:cs="Times New Roman" w:eastAsia="Times New Roman" w:hAnsi="Times New Roman"/>
          <w:sz w:val="18"/>
          <w:szCs w:val="18"/>
          <w:b w:val="1"/>
          <w:bCs w:val="1"/>
          <w:u w:val="single" w:color="auto"/>
          <w:color w:val="0000EE"/>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rFonts w:ascii="Times New Roman" w:cs="Times New Roman" w:eastAsia="Times New Roman" w:hAnsi="Times New Roman"/>
          <w:sz w:val="18"/>
          <w:szCs w:val="18"/>
          <w:b w:val="1"/>
          <w:bCs w:val="1"/>
          <w:u w:val="single" w:color="auto"/>
          <w:color w:val="0000EE"/>
        </w:rPr>
      </w:pPr>
    </w:p>
    <w:p>
      <w:pPr>
        <w:spacing w:after="0" w:line="200" w:lineRule="exact"/>
        <w:rPr>
          <w:rFonts w:ascii="Times New Roman" w:cs="Times New Roman" w:eastAsia="Times New Roman" w:hAnsi="Times New Roman"/>
          <w:sz w:val="18"/>
          <w:szCs w:val="18"/>
          <w:b w:val="1"/>
          <w:bCs w:val="1"/>
          <w:u w:val="single" w:color="auto"/>
          <w:color w:val="0000EE"/>
        </w:rPr>
      </w:pPr>
    </w:p>
    <w:p>
      <w:pPr>
        <w:spacing w:after="0" w:line="200" w:lineRule="exact"/>
        <w:rPr>
          <w:rFonts w:ascii="Times New Roman" w:cs="Times New Roman" w:eastAsia="Times New Roman" w:hAnsi="Times New Roman"/>
          <w:sz w:val="18"/>
          <w:szCs w:val="18"/>
          <w:b w:val="1"/>
          <w:bCs w:val="1"/>
          <w:u w:val="single" w:color="auto"/>
          <w:color w:val="0000EE"/>
        </w:rPr>
      </w:pPr>
    </w:p>
    <w:p>
      <w:pPr>
        <w:spacing w:after="0" w:line="273" w:lineRule="exact"/>
        <w:rPr>
          <w:rFonts w:ascii="Times New Roman" w:cs="Times New Roman" w:eastAsia="Times New Roman" w:hAnsi="Times New Roman"/>
          <w:sz w:val="18"/>
          <w:szCs w:val="18"/>
          <w:b w:val="1"/>
          <w:bCs w:val="1"/>
          <w:u w:val="single" w:color="auto"/>
          <w:color w:val="0000EE"/>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rFonts w:ascii="Times New Roman" w:cs="Times New Roman" w:eastAsia="Times New Roman" w:hAnsi="Times New Roman"/>
          <w:sz w:val="18"/>
          <w:szCs w:val="18"/>
          <w:b w:val="1"/>
          <w:bCs w:val="1"/>
          <w:u w:val="single" w:color="auto"/>
          <w:color w:val="0000EE"/>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Form of Preferred Equity Distribution Agreement.</w:t>
      </w:r>
    </w:p>
    <w:p>
      <w:pPr>
        <w:spacing w:after="0" w:line="180" w:lineRule="exact"/>
        <w:rPr>
          <w:rFonts w:ascii="Times New Roman" w:cs="Times New Roman" w:eastAsia="Times New Roman" w:hAnsi="Times New Roman"/>
          <w:sz w:val="18"/>
          <w:szCs w:val="18"/>
          <w:b w:val="1"/>
          <w:bCs w:val="1"/>
          <w:u w:val="single" w:color="auto"/>
          <w:color w:val="0000EE"/>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Form of Amendment to Preferred Equity Distribution Agreement.</w:t>
      </w:r>
    </w:p>
    <w:p>
      <w:pPr>
        <w:spacing w:after="0" w:line="185" w:lineRule="exact"/>
        <w:rPr>
          <w:rFonts w:ascii="Times New Roman" w:cs="Times New Roman" w:eastAsia="Times New Roman" w:hAnsi="Times New Roman"/>
          <w:sz w:val="18"/>
          <w:szCs w:val="18"/>
          <w:b w:val="1"/>
          <w:bCs w:val="1"/>
          <w:u w:val="single" w:color="auto"/>
          <w:color w:val="0000EE"/>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Form of Common Equity Distribution Agreement.</w:t>
      </w:r>
    </w:p>
    <w:p>
      <w:pPr>
        <w:spacing w:after="0" w:line="185" w:lineRule="exact"/>
        <w:rPr>
          <w:rFonts w:ascii="Times New Roman" w:cs="Times New Roman" w:eastAsia="Times New Roman" w:hAnsi="Times New Roman"/>
          <w:sz w:val="18"/>
          <w:szCs w:val="18"/>
          <w:b w:val="1"/>
          <w:bCs w:val="1"/>
          <w:u w:val="single" w:color="auto"/>
          <w:color w:val="0000EE"/>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Form of Master Forward Confirmation.</w:t>
      </w:r>
    </w:p>
    <w:p>
      <w:pPr>
        <w:spacing w:after="0" w:line="185" w:lineRule="exact"/>
        <w:rPr>
          <w:rFonts w:ascii="Times New Roman" w:cs="Times New Roman" w:eastAsia="Times New Roman" w:hAnsi="Times New Roman"/>
          <w:sz w:val="18"/>
          <w:szCs w:val="18"/>
          <w:b w:val="1"/>
          <w:bCs w:val="1"/>
          <w:u w:val="single" w:color="auto"/>
          <w:color w:val="0000EE"/>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Form of Amendment to Common Equity Distribution Agreement.</w:t>
      </w:r>
    </w:p>
    <w:p>
      <w:pPr>
        <w:spacing w:after="0" w:line="185" w:lineRule="exact"/>
        <w:rPr>
          <w:rFonts w:ascii="Times New Roman" w:cs="Times New Roman" w:eastAsia="Times New Roman" w:hAnsi="Times New Roman"/>
          <w:sz w:val="18"/>
          <w:szCs w:val="18"/>
          <w:b w:val="1"/>
          <w:bCs w:val="1"/>
          <w:u w:val="single" w:color="auto"/>
          <w:color w:val="0000EE"/>
        </w:rPr>
      </w:pPr>
    </w:p>
    <w:p>
      <w:pPr>
        <w:ind w:left="1140" w:hanging="815"/>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R. Mays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R. Mays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6.375% Series A Cumulative Redeemable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832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0"/>
                <w:szCs w:val="20"/>
                <w:color w:val="auto"/>
              </w:rPr>
            </w:pP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SUSPENSION OF SALES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 OF THE COMPANY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OF THE OBLIGATIONS OF THE MANAGER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SHARE SPLITS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AND TIME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HEADINGS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ANALYST INDEPENDENCE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 TO JURISDICTION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UNENFORCEABILITY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675"/>
        </w:trPr>
        <w:tc>
          <w:tcPr>
            <w:tcW w:w="11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3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Placement Notice</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Authorized Individuals for Placement Notices and Acceptances</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Compensation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Officers’ Certificate of the Company</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Corporate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Tax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Opinion of Venable LLP</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Permitted Free Writing Prospectus</w:t>
            </w:r>
          </w:p>
        </w:tc>
      </w:tr>
      <w:tr>
        <w:trPr>
          <w:trHeight w:val="648"/>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7" w:name="page8"/>
    <w:bookmarkEnd w:id="7"/>
    <w:p>
      <w:pPr>
        <w:ind w:left="4640"/>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6.375% Series A Cumulative Redeemable Preferred Stock (Par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CTO Realty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DESCRIPTION OF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that, from time to time during the term of this Agreement, on the terms and subject to the conditions set forth herein, the Company may issue and sell through the Manager, acting as agent and/or principal, shares of 6.375% Series A Cumulative Redeemable Preferred Stock, par value $0.01 per share, of the Company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having an aggregate offering price of up to $25,000,000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the Manager shall have no obligation in connection with such compliance. The issuance and sale of the Securities through the Manager will be effected pursuant to the Registration Statement (as defined below) that was filed by the Company under the Securities Act of 1933, as amended (collectively with the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terms of the Securities are set forth in the articles of incorporation of the Company, including the articles supplementary filed by the Company with the State Department of Assessments and Taxation of Maryland (the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on July 1, 2021 (the “</w:t>
      </w:r>
      <w:r>
        <w:rPr>
          <w:rFonts w:ascii="Times New Roman" w:cs="Times New Roman" w:eastAsia="Times New Roman" w:hAnsi="Times New Roman"/>
          <w:sz w:val="18"/>
          <w:szCs w:val="18"/>
          <w:u w:val="single" w:color="auto"/>
          <w:color w:val="auto"/>
        </w:rPr>
        <w:t>2021 Articles Supplementary</w:t>
      </w:r>
      <w:r>
        <w:rPr>
          <w:rFonts w:ascii="Times New Roman" w:cs="Times New Roman" w:eastAsia="Times New Roman" w:hAnsi="Times New Roman"/>
          <w:sz w:val="18"/>
          <w:szCs w:val="18"/>
          <w:color w:val="auto"/>
        </w:rPr>
        <w:t>”) and the articles supplementary, designating additional shares of Series A Preferred Stock, filed by the Company with the SDAT on March 28, 2024 (the “</w:t>
      </w:r>
      <w:r>
        <w:rPr>
          <w:rFonts w:ascii="Times New Roman" w:cs="Times New Roman" w:eastAsia="Times New Roman" w:hAnsi="Times New Roman"/>
          <w:sz w:val="18"/>
          <w:szCs w:val="18"/>
          <w:u w:val="single" w:color="auto"/>
          <w:color w:val="auto"/>
        </w:rPr>
        <w:t>2024 Articles Supplementary</w:t>
      </w:r>
      <w:r>
        <w:rPr>
          <w:rFonts w:ascii="Times New Roman" w:cs="Times New Roman" w:eastAsia="Times New Roman" w:hAnsi="Times New Roman"/>
          <w:sz w:val="18"/>
          <w:szCs w:val="18"/>
          <w:color w:val="auto"/>
        </w:rPr>
        <w:t>” and, together with the 2021 Articles Supplementary, the “</w:t>
      </w:r>
      <w:r>
        <w:rPr>
          <w:rFonts w:ascii="Times New Roman" w:cs="Times New Roman" w:eastAsia="Times New Roman" w:hAnsi="Times New Roman"/>
          <w:sz w:val="18"/>
          <w:szCs w:val="18"/>
          <w:u w:val="single" w:color="auto"/>
          <w:color w:val="auto"/>
        </w:rPr>
        <w:t>Articles Supplementary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with the Commission a shelf registration statement on Form S-3 (File No. 333-282678) including a base prospectus, relating to certain securities, including the Securities to be issued from time to time by the Company, which shelf registration statement, including any amendments thereto, was declared effective by the Commission under the Securities Act and which incorporates by reference documents that the Company has filed or will file in accordance with the provisions of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specifically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Manager, for use by the Manager, copies of the base prospectus included as part of such registration statement, as supplemented by the Prospectus Supplement, relating to the Securities. Except where the context otherwise requires, such registration statement, on each date and time that such registration statement and any post-effective amendment thereto became or becomes effective, including all documents filed as part thereof or incorporated by reference therein, and including any information contained in a Prospectus (as defined below) subsequently filed with the Commission pursuant to Rule 424(b) of the Securities Act or deemed to be a part of such registration statement pursuant to Rule 430B of the Securities Act,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included in the Registration Statement, including all documents incorporated therein by reference, as it may be supplemented by the Prospectus Supplement, in the form in which such prospectus and/or Prospectus Supplement have most recently been filed by the Company with the Commission pursuant to Rule 424(b) of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may file one or more additional registration statements (which shall be the Registration Statement) from time to time that will contain a base prospectus and related prospectus or prospectus supplement, if applicable (which shall be the Prospectus Supplement), with respect to the Securities.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any copy filed with the Commission pursuant to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the Manager outside of the United States.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date of this Agreement and expiring on the date this Agreement is terminated pursuant to Section 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occasion the Company elects to exercise its right to deliver a Placement Notice that specifies that it relates to an “Issuance” and requires the Manager to use commercially reasonable efforts to sell the Securities as specified in such Placement Notice, subject to the terms and conditions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in each case in the form furnished (electronically or otherwise) to the Manager for use in connection with the offering of the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Issuance hereunder, the actual sale execution price of each Security sold by the Manager on the NYSE hereunder in the case of ordinary brokers’ transactions, or as otherwise agreed by the parties in other methods of sale. Where the context requires, the term “Sales Price” as used herein shall include the definition of the same under the Alternative Distribution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the period of one to 20 consecutive Trading Days (as determined by the Company in the Company’s sole discretion and specified in the applicable Placement Notice (as amended by the corresponding Acceptance, if applicable)) beginning on the date specified in the applicable Placement Notice (as amended by the corresponding Acceptance, if applicable) or, if such date is not a Trading Day, the next Trading Day following such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all shares of Series A Preferred Stock issued or issuable pursuant to an Issuance that has occurred or may occur in accordance with the terms and conditions of this Agreement. Where the context requires, the term “Securities” as used herein, shall include the definition of the same under the Alternative Distribution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which is a trading day on the NYSE.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Manager has been appointed by the Company as its agent to sell the Securities and agrees to use commercially reasonable efforts to sell the Securities offered by the Company upon the terms and subject to the conditions contained herein.</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Company has also entered into separate equity distribution agreements (collectively,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dated as of November 12, 2024, as amended on April 29, 2026, with each of A.G.P./Alliance Global Partners, B. Riley Securities, Inc., Robert W. Baird &amp; Co. Incorporated, Jefferies LLC, JonesTrading Institutional Services LLC, Raymond James &amp; Associates, Inc. and Truist Securities, Inc. and dated as of April 29, 2026, with Cantor Fitzgerald &amp; Co. and Huntington Securities, Inc. (and, as applicable, their respective affiliates) (each, in its capacity as agent and/or principal thereunder, and, together with any other such agent and/or principal with which the Company enters into an Alternative Distribution Agreement,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and sale of the Securities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6"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applicable EDA.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PLACEMENTS.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Upon the terms and subject to the conditions of this Agreement, on any Trading Day as provided in Section 2(c) hereof during the Commitment Period on which the conditions set forth in Section 9 hereof have been satisfied, the Company wishes to issue and sell the Securities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by delivery of an email notice (or other method mutually agreed to in writing by the parties) to the Manager containing the parameters in accordance with which it desires the Securities to be sold, which shall at a minimum include the number of Securities to be issued (the “</w:t>
      </w:r>
      <w:r>
        <w:rPr>
          <w:rFonts w:ascii="Times New Roman" w:cs="Times New Roman" w:eastAsia="Times New Roman" w:hAnsi="Times New Roman"/>
          <w:sz w:val="18"/>
          <w:szCs w:val="18"/>
          <w:u w:val="single" w:color="auto"/>
          <w:color w:val="auto"/>
        </w:rPr>
        <w:t>Placement Securities</w:t>
      </w:r>
      <w:r>
        <w:rPr>
          <w:rFonts w:ascii="Times New Roman" w:cs="Times New Roman" w:eastAsia="Times New Roman" w:hAnsi="Times New Roman"/>
          <w:sz w:val="18"/>
          <w:szCs w:val="18"/>
          <w:color w:val="auto"/>
        </w:rPr>
        <w:t>”), the time period during which sales are requested to be made, any limitation on the number of Securities that may be sold in any one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a form of which containing such minimum sales parameters necessary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 from time to time.</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(b)           If the Manager wishes to accept such proposed terms included in the Placement Notice (which it may decline to do for any reason in its sole discretion) or, following discussion with the Company, wishes to accept amended terms, the Manager will, prior to 4:30 p.m. (New York City Time) on the business day following the business day on which such Placement Notice is delivered to the Manager, issue to the Company a notice by email (or other method mutually agreed to in writing by the parties) addressed to all of the individuals from the Company and the Manager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setting forth the terms that the Manager is willing to accept. Where the terms provided in the Placement Notice are amended as provided for in the immediately preceding sentence, such terms will not be binding on the Company or the Manager until the Company delivers to the Manager an acceptance by email (or other method mutually agreed to in writing by the parties) of all of the terms of such Placement Notice, as amended (the “</w:t>
      </w: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xml:space="preserve">”), which email shall be addressed to all of the individuals from the Company and the Manager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The Placement Notice (as amended by the corresponding Acceptance, if applicable) shall be effective upon receipt by the Company of the Manager’s acceptance of the terms of the Placement Notice or upon receipt by the Manager of the Company’s Acceptance, as the case may be, unless and until (i) the entire amount of the Placement Securities has been sold,</w:t>
      </w:r>
    </w:p>
    <w:p>
      <w:pPr>
        <w:spacing w:after="0" w:line="4"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notice requirements set forth in the second sentence of the prior paragraph, the Company terminates the Placement Notice,</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termination of the effectiveness of a Placement Notice as set forth in the prior sentence shall not affect or impair any party’s obligations with respect to any Securities sold hereunder prior to such termination or any Securities sold under any Alternative Distribution Agreement. It is expressly acknowledged and agreed that neither the Company nor the Manager will have any obligation whatsoever with respect to a Placement or any Placement Securities unless and until the Company delivers a Placement Notice to the Manager and either (i) the Manager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No Placement Notice may be delivered hereunder other than on a Trading Day during the Commitment Period, no Placement Notice may be delivered hereunder if the Selling Period specified therein may overlap in whole or in part with any Selling Period specified in a Placement Notice (as amended by the corresponding Acceptance, if applicable) delivered hereunder or under any Alternative Distribution Agreement unless the Securities to be sold under all such previously delivered Placement Notices have all been sold or all such previously delivered Placement Notices have been terminated or superseded.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any notice required to be delivered by the Company or by the Manager pursuant to this Section 2 may be delivered by telephone (confirmed promptly by facsimile or email addressed to all of the individuals from the Company and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confirmation will be promptly acknowledged by the receiving party) or other method mutually agreed to in writing by the parties. For the avoidance of doubt, notices delivered by telephone shall originate from any of the individuals from the Company or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SALE OF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provisions of Sections 2(b) and 6(a), upon the delivery of a Placement Notice (as amended by the corresponding Acceptance, if applicable), the Manager will use its commercially reasonable efforts consistent with its normal trading and sales practices to sell the Securities at market prevailing prices up to the amount specified, and otherwise in accordance with the terms of such Placement Notice (as amended by the corresponding Acceptance, if applicable). The Manager will provide written confirmation to the Company no later than the opening of the Trading Day (as defined below) immediately following the Trading Day on which it has made sales of Securities hereunder setting forth the number of Securities sold on such day, the compensation payable by the Company to the Manager pursuant to this Section 3(a) with respect to such sales, and the Net Proceeds payable to the Company, with an itemization of deductions made by the Manager (as set forth in Section 6(b)) from the gross proceeds that it receives from such sales. The amount of any commission, discount or other compensation to be paid by the Company to the Manager, when the Manager is acting as agent, in connection with the sale of the Securities shall be determined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amount of any commission, discount or other compensation to be paid by the Company to the Manager, when the Manager is acting as principal, in connection with the sale of the Securities shall be as separately agreed among the parties hereto at the time of any such sales.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Securities may be offered and sold by any method permitted by law deemed to be an “at the market” offering as defined in Rule 415, including without limitation sales made directly on the NYSE, on any other existing trading market for the Series A Preferred Stock or to or through a market maker, or subject to the terms of the Placement Notice (as amended by the corresponding Acceptance, if applicable), by any other method permitted by law, including but not limited to, privately negotiated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Notwithstanding anything to the contrary herein, the Manager shall not sell Series A Preferred Stock at a price higher than the Series A Maximum Price. For the purposes hereof, the “</w:t>
      </w:r>
      <w:r>
        <w:rPr>
          <w:rFonts w:ascii="Times New Roman" w:cs="Times New Roman" w:eastAsia="Times New Roman" w:hAnsi="Times New Roman"/>
          <w:sz w:val="18"/>
          <w:szCs w:val="18"/>
          <w:u w:val="single" w:color="auto"/>
          <w:color w:val="auto"/>
        </w:rPr>
        <w:t>Series A Maximum Price</w:t>
      </w:r>
      <w:r>
        <w:rPr>
          <w:rFonts w:ascii="Times New Roman" w:cs="Times New Roman" w:eastAsia="Times New Roman" w:hAnsi="Times New Roman"/>
          <w:sz w:val="18"/>
          <w:szCs w:val="18"/>
          <w:color w:val="auto"/>
        </w:rPr>
        <w:t>” shall mean $25.00 plus any accrued and unpaid dividends per share to, but excluding, the date of sale.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SUSPENSION OF SALES.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or the Manager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suspend any sale of Securities, and the applicable Selling Period shall immediately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and termination shall not affect or impair either party’s obligations with respect to any Securities sold hereunder prior to the receipt of such notice or any Securities sold under any Alternative Distribution Agreement. The Company agrees that no such notice under this Section 4 shall be effective against the Manager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The Manager agrees that no such notice shall be effective against the Company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provided that the failure by the Manager to deliver such notice shall in no way effect such party’s right to suspend the sale of Securities hereunder.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Manager as of the date hereof and as of each Representation Date (as defined below) on which certificates are required to be delivered pursuant to Section 7(o) hereof, as of each Applicable Time and as of each Settlement Date,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Registration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            The Company meets the requirements for use of Form S-3 under the Securities Act and the offering of the Securities has been duly registered under the Securities Act pursuant to the Registration Statement. Each of the Registration Statement and any post-effective amendment thereto has been declared effective by the Commission under the Securities Act and no stop order suspending the effectiveness of the Registration Statement or any post-effective amendment thereto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At the respective times the Registration Statement and any post-effective amendments thereto were declared effective by the Commission, at each deemed effective date with respect to the Manager pursuant to Rule 430B(f)(2) of the Securities Act and on each Representation Date, as of each Applicable Time and as of each Settlement Date, as the case may be, the Registration Statement and any amendments and supplements thereto complied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Neither the Prospectus nor any amendments or supplements thereto, at the time the Prospectus or any such amendment or supplement was issued and on each Representation Date, as of each Applicable Time and as of each Settlement Date, as the case may be, included or will include an untrue statement of a material fact or omitted or will omit to state a material fact necessary in order to make the statements therein, in the light of the circumstances under which they were made, not misleading.</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(iv)          Each document incorporated, or deemed to be incorporated, by reference in the Registration Statement and the Prospectus pursuant to Item 12 of Form S-3, at the time it was or hereafter is filed with the Commission, complied and will comply when filed in all material respects with the requirements of the Exchange Act and none of such documents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or the Prospectus, when such documents become effective or are filed with the Commission, as the case may be, will conform to the requirements of the Exchange Act, in all material respects, and, in the case of the Registration Statement and the Prospectus, will not contain an untrue statement of a material fact or omit to state a material fact required to be stated therein or necessary to make the statements therein not misleading.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(v)           Each Issuer Free Writing Prospectus (including, without limitation, any “road show” (as defined in Rule 433) that is a free writing prospectus under Rule 433) did not contain an untrue statement of a material fact or omit to state a material fact necessary to make the statements therein, in light of the circumstances under which they were made, not misleading. No Issuer Free Writing Prospectus conflicts with or will conflict with the information contained in the Registration Statement or the Prospectus, including any document incorporated or deemed incorporated by reference therein.</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(vi)          The representations and warranties in </w:t>
      </w:r>
      <w:r>
        <w:rPr>
          <w:rFonts w:ascii="Times New Roman" w:cs="Times New Roman" w:eastAsia="Times New Roman" w:hAnsi="Times New Roman"/>
          <w:sz w:val="18"/>
          <w:szCs w:val="18"/>
          <w:u w:val="single" w:color="auto"/>
          <w:color w:val="auto"/>
        </w:rPr>
        <w:t>subsections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above shall not apply to statements in or omissions from the Registration Statement, the Prospectus or any Issuer Free Writing Prospectus made in reliance upon and in conformity with written information furnished to the Company by the Manager expressly for use therein.</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         The Registration Statement and the Prospectus if filed by electronic transmission pursuant to EDGAR (except as may be permitted by Regulation S-T under the Securities Act), was identical to the copies thereof delivered to the Manager for use in connection with the offer and sale of the Securities.</w:t>
      </w:r>
    </w:p>
    <w:p>
      <w:pPr>
        <w:spacing w:after="0" w:line="176"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(viii)        At the time of filing the Registration Statement and any post-effective amendments thereto, at the earliest time thereafter that the Company or another offering participant made a bona fide offer (within the meaning of Rule 164(h)(2) of the Securities Act) of the Securities and at the date hereof, the Company was not and is not an “ineligible issuer,” as defined in Rule 405.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Offering Materials</w:t>
      </w:r>
      <w:r>
        <w:rPr>
          <w:rFonts w:ascii="Times New Roman" w:cs="Times New Roman" w:eastAsia="Times New Roman" w:hAnsi="Times New Roman"/>
          <w:sz w:val="18"/>
          <w:szCs w:val="18"/>
          <w:color w:val="auto"/>
        </w:rPr>
        <w:t>. The Company has not distributed and will not distribute, prior to the completion of the Manager’s distribution of the Securities, any offering material in connection with the offering and sale of the Securities other than the Registration Statement and the Prospectus and any Issuer Free Writing Prospectus to which the Manager has consented, which consent will not be unreasonably withheld or delayed, or that is required by applicable law or the listing maintenance requirements of the NYSE.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Stop Order</w:t>
      </w:r>
      <w:r>
        <w:rPr>
          <w:rFonts w:ascii="Times New Roman" w:cs="Times New Roman" w:eastAsia="Times New Roman" w:hAnsi="Times New Roman"/>
          <w:sz w:val="18"/>
          <w:szCs w:val="18"/>
          <w:color w:val="auto"/>
        </w:rPr>
        <w:t>. No stop order suspending the effectiveness of a Registration Statement or any part thereof has been issued and no proceeding for that purpose has been instituted or, to the knowledge of the Company, threatened or contemplated by the Commission or by the state securities authority of any jurisdiction. No order preventing or suspending the use of the Prospectus has been issued and no proceeding for that purpose has been instituted or, to the knowledge of the Company, threatened or contemplated by the Commission or by the state securities authority of any jurisdiction.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Company’s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conforms in all material respects to the description thereof contained in the Registration Statement and the Prospectus; the Securities, when issued, will conform in all material respects to the description thereof contained under the caption “Description of the Series A Preferred Stock,” in the Registration Statement and the Prospectus; the authorized capitalization of the Company is as set forth in the Registration Statement and the Prospectus as of the dates indicated therein; all of the outstanding shares of capital stock of the Company have been duly authorized and validly issued and are fully paid and nonassessable; except as disclosed in the Registration Statement and Prospectus, there are no outstanding options, warrants or similar rights to subscribe for, or contractual obligations to issue, sell, transfer or acquire, any shares of capital stock of the Company or any securities convertible into or exercisable or exchangeable for any shares of capital stock of the Company. Except as disclosed in the Registration Statement and the Prospectus, the Company has no outstanding stock options or other equity-based awards of or to purchase shares of Common Stock pursuant to an equity-based compensation plan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Good Standing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State of Maryland and has the requisite corporate power and authority to own, lease and operate its properties (the “</w:t>
      </w:r>
      <w:r>
        <w:rPr>
          <w:rFonts w:ascii="Times New Roman" w:cs="Times New Roman" w:eastAsia="Times New Roman" w:hAnsi="Times New Roman"/>
          <w:sz w:val="18"/>
          <w:szCs w:val="18"/>
          <w:u w:val="single" w:color="auto"/>
          <w:color w:val="auto"/>
        </w:rPr>
        <w:t>Company 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to enter into and perform its obligations under this Agreement. The Company is duly qualified as a foreign corporation to transact business and is in good standing in each other jurisdiction in which such qualification is required, except where the failure to so qualify or to be in good standing would not, individually or in the aggregate, reasonably be expected to have a material adverse effect on the condition (financial or otherwise), business, properties, assets, net worth, results of operations or prospects of the Company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Good Standing of the Subsidiaries</w:t>
      </w:r>
      <w:r>
        <w:rPr>
          <w:rFonts w:ascii="Times New Roman" w:cs="Times New Roman" w:eastAsia="Times New Roman" w:hAnsi="Times New Roman"/>
          <w:sz w:val="18"/>
          <w:szCs w:val="18"/>
          <w:color w:val="auto"/>
        </w:rPr>
        <w:t>. Each subsidiary of the Company has been duly incorporated or formed and is validly existing in good standing under the laws of the jurisdiction of its incorporation or formation, and each such subsidiary has the requisite corporate or similar power and authority to own, lease and operate its properties (collectively, with the Company Properties,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is duly qualified to transact business and is in good standing in each other jurisdiction in which such qualification is required, except where the failure to so qualify or to be in good standing would not, individually or in the aggregate, reasonably be expected to have a Material Adverse Effect. Except as otherwise disclosed in the Registration Statement and the Prospectus, all of the outstanding shares of capital stock or other ownership interests of each subsidiary of the Company have been duly authorized and validly issued, are (as applicable) fully paid and nonassessable and are owned by the Company, directly or indirectly through subsidiaries, free and clear of any security interests, liens, encumbrances, equities or claims. None of the outstanding shares of capital stock or other ownership interests of any subsidiary of the Company was issued in violation of the preemptive or similar rights of the securityholder of such subsidiary.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Absence of Breaches and Defaults</w:t>
      </w:r>
      <w:r>
        <w:rPr>
          <w:rFonts w:ascii="Times New Roman" w:cs="Times New Roman" w:eastAsia="Times New Roman" w:hAnsi="Times New Roman"/>
          <w:sz w:val="18"/>
          <w:szCs w:val="18"/>
          <w:color w:val="auto"/>
        </w:rPr>
        <w:t>. None of the Company or any of its subsidiaries: is (i) in violation of (A) its articles of incorporation, bylaws, certificate of formation, limited liability company agreement, certificate of limited partnership, partnership agreement or other organizational document, (B) any federal, state or foreign law, ordinance, administrative or governmental rule or regulation applicable to the Company or any of its subsidiaries, or (C) any decree of any federal, state or foreign court or governmental agency or body having jurisdiction over the Company or any of its subsidiaries, except, in the case of (B) and (C), for violations that would not, individually or in the aggregate, reasonably be expected to have a Material Adverse Effect; or (ii) in default in the performance of any obligation, agreement or condition contained in (A) any bond, debenture, note or any other evidence of indebtedness or (B) any agreement, contract, indenture, lease or other instrument (each of (A) and (B), an “</w:t>
      </w:r>
      <w:r>
        <w:rPr>
          <w:rFonts w:ascii="Times New Roman" w:cs="Times New Roman" w:eastAsia="Times New Roman" w:hAnsi="Times New Roman"/>
          <w:sz w:val="18"/>
          <w:szCs w:val="18"/>
          <w:u w:val="single" w:color="auto"/>
          <w:color w:val="auto"/>
        </w:rPr>
        <w:t>Existing Instrument</w:t>
      </w:r>
      <w:r>
        <w:rPr>
          <w:rFonts w:ascii="Times New Roman" w:cs="Times New Roman" w:eastAsia="Times New Roman" w:hAnsi="Times New Roman"/>
          <w:sz w:val="18"/>
          <w:szCs w:val="18"/>
          <w:color w:val="auto"/>
        </w:rPr>
        <w:t>”) to which the Company or any of its subsidiaries is a party or by which any of their properties may be bound, except for such defaults which would not, individually or in the aggregate, reasonably be expected to have a Material Adverse Effect; and there does not exist any state of facts that constitutes an event of default on the part of the Company or any of its subsidiaries as defined in such documents or that, with notice or lapse of time or both, would constitute such an event of default.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Absence of Conflicts</w:t>
      </w:r>
      <w:r>
        <w:rPr>
          <w:rFonts w:ascii="Times New Roman" w:cs="Times New Roman" w:eastAsia="Times New Roman" w:hAnsi="Times New Roman"/>
          <w:sz w:val="18"/>
          <w:szCs w:val="18"/>
          <w:color w:val="auto"/>
        </w:rPr>
        <w:t>. Neither the issuance and sale of the Securities by the Company nor the execution, delivery and performance of this Agreement by the Company (i) requires any consent, approval, authorization or other order of or registration or filing with, any court, regulatory body, administrative agency or other governmental body, agency or official, except such as have been already obtained or may be required under the Securities Act, the Exchange Act, the rules of the NYSE, state securities or Blue Sky laws and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(ii) conflicts with or will conflict with or constitutes or will constitute a breach of, or a default under, the organizational documents of the Company or any of its subsidiaries, (iii) constitutes or will constitute a breach of, or a default under, any Existing Instrument to which the Company or any of its subsidiaries is a party or by which any of their properties may be bound, (iv) violates any statute, law, regulation, ruling, filing, judgment, injunction, order or decree applicable to the Company or any of its subsidiaries or any of their properties, or (v) results in a breach of, or default or Debt Repayment Triggering Event (as defined below) under, or results in the creation or imposition of any lien, charge or encumbrance upon any property or assets of the Company or any of its subsidiaries pursuant to, or requires the consent of any other party to, any Existing Instrument, except, (A) with respect to the sale of any Securities offered hereunder, such approvals as have been obtained, or will have been obtained before the first Settlement Date under the Securities Act and the Exchange Act, (B) such approvals as may be required in connection with the approval of the listing of the Securities on the NYSE, (C) such consents, approvals, authorizations, orders, registrations or qualifications, if any, as may be required by FINRA and (D) any necessary qualification under the securities or blue sky laws of the various jurisdictions in which the Securities are being offered by the Manager and, with respect to clauses (ii), (iii),</w:t>
      </w:r>
    </w:p>
    <w:p>
      <w:pPr>
        <w:spacing w:after="0" w:line="12" w:lineRule="exact"/>
        <w:rPr>
          <w:sz w:val="20"/>
          <w:szCs w:val="20"/>
          <w:color w:val="auto"/>
        </w:rPr>
      </w:pPr>
    </w:p>
    <w:p>
      <w:pPr>
        <w:jc w:val="both"/>
        <w:ind w:firstLine="8"/>
        <w:spacing w:after="0" w:line="253"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 such conflicts, breaches, defaults, violations, liens, charges or encumbrances that would not, individually or in the aggregate, reasonably be expected to have a Material Adverse Effect. As used herein, a “</w:t>
      </w:r>
      <w:r>
        <w:rPr>
          <w:rFonts w:ascii="Times New Roman" w:cs="Times New Roman" w:eastAsia="Times New Roman" w:hAnsi="Times New Roman"/>
          <w:sz w:val="18"/>
          <w:szCs w:val="18"/>
          <w:u w:val="single" w:color="auto"/>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Company Authorization of Agreement and Offering</w:t>
      </w:r>
      <w:r>
        <w:rPr>
          <w:rFonts w:ascii="Times New Roman" w:cs="Times New Roman" w:eastAsia="Times New Roman" w:hAnsi="Times New Roman"/>
          <w:sz w:val="18"/>
          <w:szCs w:val="18"/>
          <w:color w:val="auto"/>
        </w:rPr>
        <w:t>. This Agreement has been duly authorized, executed and delivered by the Company. This Agreement constitutes a valid and binding agreement of the Company, enforceable against the Company in accordance with its terms, except as may be limited by bankruptcy, insolvency, fraudulent transfer, reorganization, moratorium or similar laws affecting creditors’ rights generally or by general principles of equity, and except to the extent that any indemnification and contribution provisions hereof may be limited by federal or state securities laws or public policy considerations in respect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Articles Supplementary</w:t>
      </w:r>
      <w:r>
        <w:rPr>
          <w:rFonts w:ascii="Times New Roman" w:cs="Times New Roman" w:eastAsia="Times New Roman" w:hAnsi="Times New Roman"/>
          <w:sz w:val="18"/>
          <w:szCs w:val="18"/>
          <w:color w:val="auto"/>
        </w:rPr>
        <w:t>. The Articles Supplementary have been duly authorized by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Possession of Licenses and Permits</w:t>
      </w:r>
      <w:r>
        <w:rPr>
          <w:rFonts w:ascii="Times New Roman" w:cs="Times New Roman" w:eastAsia="Times New Roman" w:hAnsi="Times New Roman"/>
          <w:sz w:val="18"/>
          <w:szCs w:val="18"/>
          <w:color w:val="auto"/>
        </w:rPr>
        <w:t>. The Company and its subsidiaries have all permits, licenses, franchises, approvals, consents and authorizations of governmental or regulatory authorities (hereinafter “</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as are necessary to own the Properties and to conduct their business in the manner described in the Registration Statement and the Prospectus, subject to such qualifications as may be set forth in the Registration Statement and the Prospectus, except where the failure to have obtained any such permits would not, individually or in the aggregate, reasonably be expected to have a Material Adverse Effect; the Company and each of its subsidiaries has operated and is operating its business in material compliance with and not in material violation of its obligations with respect to each such permit and, to the knowledge of the Company, no event has occurred that allows, or after notice or lapse of time would allow, revocation or termination of any such permit or result in any other material impairment of the rights of any such permit.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There are no legal or governmental proceedings pending or, to the knowledge of the Company, threatened, against the Company or any of its subsidiaries or to which the Company or any of its subsidiaries or any of the Properties are subject, that are required to be described in the Registration Statement and the Prospectus (or any amendment or supplement thereto) but are not described as required. Except as described in the Registration Statement and the Prospectus, there are no actions, suits, inquiries, proceedings or investigations by or before any court or governmental or other regulatory or administrative agency or commission pending or, to the knowledge of the Company, threatened against or involving the Company or any of its subsidiaries, which would, individually or in the aggregate, reasonably be expected to have a Material Adverse Effect or prevent or adversely affect the transactions contemplated by this Agreement, nor, to the knowledge of the Company, is there any basis for any such action, suit, inquiry, proceeding or investigation. There are no agreements, contracts, indentures, leases or other instruments that are required to be described in the Registration Statement and the Prospectus (or any amendment or supplement thereto) or to be filed as an exhibit to the Registration Statement that are not so described or filed. The Company has not received notice or been made aware that any other party is in breach of or default to the Company or the applicable subsidiary under any of such contracts.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financial statements included in the Registration Statement and the Prospectus, together with the related schedules and notes, present fairly in all material respects the financial position of the Company at the dates indicated and the results of operations, changes in equity and cash flows of the Company for the periods specified, and such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presented. Except as included or incorporated by reference in the Registration Statement and the Prospectus, no historical or pro forma financial statements or supporting schedules are required to be included in the Registration Statement or the Prospectus under the Securities Act. All disclosures contained or incorporated by reference in the Registration Statement or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Independent Accountants</w:t>
      </w:r>
      <w:r>
        <w:rPr>
          <w:rFonts w:ascii="Times New Roman" w:cs="Times New Roman" w:eastAsia="Times New Roman" w:hAnsi="Times New Roman"/>
          <w:sz w:val="18"/>
          <w:szCs w:val="18"/>
          <w:color w:val="auto"/>
        </w:rPr>
        <w:t>. Grant Thornton LLP, who has certified certain financial statements and supporting schedules filed as part of the Registration Statement and the Prospectus, is an independent registered public accounting firm as required by the Securities Act and the applicable rules and regulations adopted by the Commission and the Public Company Accounting Oversight Board (United States)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No Material Adverse Change in Business</w:t>
      </w:r>
      <w:r>
        <w:rPr>
          <w:rFonts w:ascii="Times New Roman" w:cs="Times New Roman" w:eastAsia="Times New Roman" w:hAnsi="Times New Roman"/>
          <w:sz w:val="18"/>
          <w:szCs w:val="18"/>
          <w:color w:val="auto"/>
        </w:rPr>
        <w:t>. Except as disclosed in the Registration Statement and the Prospectus, since the date of the most recent audited financial statements included in the Registration Statement and the Prospectus (or any amendment or supplement thereto), (i) none of the Company or any of its subsidiaries has incurred any material liabilities or obligations, indirect, direct or contingent, or entered into any material transaction that is not in the ordinary course of business; (ii) none of the Company or any of its subsidiaries has sustained any material loss or interference with its business or properties from fire, flood, windstorm, accident or other calamity, whether or not covered by insurance; (iii) none of the Company or any of its subsidiaries is in default under the terms of any class of capital stock or other equity interests or any outstanding debt obligations, (iv) there has not been any material change in the indebtedness of the Company or its subsidiaries (other than in the ordinary course of business); and (v) there has not been any change, or any development or event involving a prospective change that would, individually or in the aggregate, reasonably be expected to have a Material Adverse Effect.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Except as disclosed in the Registration Statement and the Prospectus, no person has the right to require the Company or any of its subsidiaries to register any securities for sale under the Securities Act by reason of the filing of the Registration Statement with the Commission or the issuance and sale of the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Authorization of the Securities</w:t>
      </w:r>
      <w:r>
        <w:rPr>
          <w:rFonts w:ascii="Times New Roman" w:cs="Times New Roman" w:eastAsia="Times New Roman" w:hAnsi="Times New Roman"/>
          <w:sz w:val="18"/>
          <w:szCs w:val="18"/>
          <w:color w:val="auto"/>
        </w:rPr>
        <w:t>. The issuance and sale of the Securities to the Manager hereunder have been duly authorized by the Company, and when the Securities have been issued and duly delivered against payment therefor as contemplated by this Agreement, the Securities will be validly issued, fully paid and nonassessable. The shares of Common Stock issuable upon conversion of the Securities in accordance with the terms of the Articles Supplementary have been duly authorized and, when issued and delivered upon such conversion in accordance with the terms of the Articles Supplementary, will be validly issued, fully paid and nonassessable. The issuance of the Securities pursuant to this Agreement, and of the shares of Common Stock issuable upon conversion of the Securities, will be free and clear of any pledge, lien, encumbrance, security interest or other claim created by or known to the Company, and the issuance and sale of the Securities and the shares of Common Stock to be issued upon conversion of the Securities by the Company are not subject to preemptive or other similar rights arising by operation of law, under the organizational documents of the Company or under any agreement to which the Company is a party. The Company has reserved for future issuance a sufficient number of shares of Common Stock to be issued upon conversion of the Securities.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Absence of Manipulation</w:t>
      </w:r>
      <w:r>
        <w:rPr>
          <w:rFonts w:ascii="Times New Roman" w:cs="Times New Roman" w:eastAsia="Times New Roman" w:hAnsi="Times New Roman"/>
          <w:sz w:val="18"/>
          <w:szCs w:val="18"/>
          <w:color w:val="auto"/>
        </w:rPr>
        <w:t>. Other than excepted activity pursuant to Regulation M under the Exchange Act, the Company has not taken, directly or indirectly, any action that constituted, or any action designed to, or that might reasonably be expected to cause or result in or constitute, under the Securities Act or otherwise, stabilization or manipulation of the price of any securities of the Company to facilitate the sale or resale of the Securities or for any other purpose.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FINRA</w:t>
      </w:r>
      <w:r>
        <w:rPr>
          <w:rFonts w:ascii="Times New Roman" w:cs="Times New Roman" w:eastAsia="Times New Roman" w:hAnsi="Times New Roman"/>
          <w:sz w:val="18"/>
          <w:szCs w:val="18"/>
          <w:color w:val="auto"/>
        </w:rPr>
        <w:t>. The Company meets the definition of the term “experienced issuer” specified in FINRA Conduct Rule 5110(j)(6).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Title to Property</w:t>
      </w:r>
      <w:r>
        <w:rPr>
          <w:rFonts w:ascii="Times New Roman" w:cs="Times New Roman" w:eastAsia="Times New Roman" w:hAnsi="Times New Roman"/>
          <w:sz w:val="18"/>
          <w:szCs w:val="18"/>
          <w:color w:val="auto"/>
        </w:rPr>
        <w:t>. The Company and its subsidiaries have good and marketable title to the Properties, in each case, free and clear of all security interests, mortgages, pledges, liens, encumbrances, claims or equities of any kind other than those that (i) are described in the Registration Statement and the Prospectus or (ii) do not, individually or in the aggregate, materially affect the value of such Property and do not materially interfere with the use made and proposed to be made of such Property by the Company and its subsidiaries. Except as described in the Registration Statement and the Prospectus or as would not, individually or in the aggregate, reasonably be expected to have a Material Adverse Effect, (i) the Company and its subsidiaries have valid, subsisting and enforceable leases with the tenants of the Properties, (ii) no third party has an option or right of first refusal to purchase any of the Properties other than those that have been properly waived, (iii) the use and occupancy of each of the Properties complies with all applicable codes, zoning laws and regulations, and (iv) the Company has no knowledge of any pending or threatened condemnation or zoning change that will in any material respect affect the size of, use of, improvements of, construction on, or access to any of the Properties.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Possession of Intellectual Property</w:t>
      </w:r>
      <w:r>
        <w:rPr>
          <w:rFonts w:ascii="Times New Roman" w:cs="Times New Roman" w:eastAsia="Times New Roman" w:hAnsi="Times New Roman"/>
          <w:sz w:val="18"/>
          <w:szCs w:val="18"/>
          <w:color w:val="auto"/>
        </w:rPr>
        <w:t>. Each of the Company and its subsidiaries owns or has the valid right, title and interest in and to, or has valid licenses to use, each material trade name, trade and service marks, trade and service mark registrations, patent, patent applications copyright, licenses, inventions, technology, know-how, approval, trade secret and other similar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business of the Company and its subsidiaries as now conducted or as proposed in the Prospectus to be conducted. There is no claim pending against the Company or any of its subsidiaries with respect to any Intellectual Property and none of the Company or its subsidiaries have received notice or otherwise become aware that any Intellectual Property that such entities use or have used in the conduct of their business infringes upon or conflicts with the rights of any third party. None of the Company or any of its subsidiaries has become aware that any Intellectual Property that it uses or has used in the conduct of its business infringes upon or conflicts with the rights of any third party.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Accounting and Disclosure Controls</w:t>
      </w:r>
      <w:r>
        <w:rPr>
          <w:rFonts w:ascii="Times New Roman" w:cs="Times New Roman" w:eastAsia="Times New Roman" w:hAnsi="Times New Roman"/>
          <w:sz w:val="18"/>
          <w:szCs w:val="18"/>
          <w:color w:val="auto"/>
        </w:rPr>
        <w:t>. The Company and its subsidiaries maintain systems of “internal control over financial reporting” (as defined in Rule 13a-15 and Rule 15d-15 under the Exchange Act) and a system of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authorizations and (iv) the recorded accountability for assets is compared with existing assets at reasonable intervals and appropriate action is taken with respect to any differences. Except as described in the Registration Statement and the Prospectus, there has been no</w:t>
      </w:r>
    </w:p>
    <w:p>
      <w:pPr>
        <w:spacing w:after="0" w:line="5" w:lineRule="exact"/>
        <w:rPr>
          <w:sz w:val="20"/>
          <w:szCs w:val="20"/>
          <w:color w:val="auto"/>
        </w:rPr>
      </w:pPr>
    </w:p>
    <w:p>
      <w:pPr>
        <w:jc w:val="both"/>
        <w:ind w:firstLine="8"/>
        <w:spacing w:after="0" w:line="253" w:lineRule="auto"/>
        <w:tabs>
          <w:tab w:leader="none" w:pos="2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maintains “disclosure controls and procedures” (as defined in Rule 13a-15(e) under the Exchange Act) to the extent required by such rule.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The Company and each of its subsidiaries (i) have paid all federal and material state, local and foreign taxes (whether imposed directly, through withholding or otherwise and including any interest, additions to tax or penalties applicable thereto) required to be paid through the date hereof, other than those being contested in good faith by appropriate proceedings and for which adequate reserves have been provided on the books of the applicable entity, (ii) have timely filed all federal and other material tax returns required to be filed through the date hereof, and all such tax returns are true, correct and complete in all material respects, and (iii) have established adequate reserves for all taxes that have accrued but are not yet due and payable. The charges, accruals and reserves on the books of the Company and each of its subsidiaries in respect of any income and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 No tax deficiency has been asserted against the Company or its subsidiaries, nor does the Company know of any tax deficiency that could reasonably be asserted and, if determined adversely to any such entity, could have a Material Adverse Effect.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its subsidiaries maintain insurance of the types and in the amounts generally deemed adequate by the Company for the business of the Company and its subsidiaries, all of which insurance is in full force and effect in all material respects. Without limiting the generality of the foregoing, except as would not, individually or in the aggregate, reasonably be expected to have a Material Adverse Effect, each of the Company and its subsidiaries carries or is entitled to the benefits of title insurance on the fee interests with respect to each Property with insurers of nationally recognized reputability, in an amount not less than such entity’s purchase price for the real property comprising such Property and as of the date that such entity first acquired the real property comprising such Property, insuring that such party is vested with good and insurable fee to each such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Except as otherwise disclosed in the Registration Statement or the Prospectus, (i) the Company and its subsidiaries and the Properties have been and are in compliance with, and none of the Company or its subsidiaries has any liability under, applicable Environmental Laws (as hereinafter defined), except as would not, individually or in the aggregate, reasonably be expected to have a Material Adverse Effect, (ii) none of the Company, its subsidiaries, or, to the knowledge of the Company, the prior owners or occupants of the Properties has at any time released (as such term is defined in Section 101(22) of the Comprehensive Environmental Response, Compensation and Liability Act of 1980, as amended, 42 U.S.C. §§ 9601-9675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or otherwise disposed of Hazardous Materials (as hereinafter defined) on, to or from the Properties, except for such releases or dispositions which would not, individually or in the aggregate, reasonably be expected to have a Material Adverse Effect, (iii) the Company does not intend to use the Properties other than in compliance with applicable Environmental Laws, except as would not, individually or in the aggregate, reasonably be expected to have a Material Adverse Effect, (iv) the Company does not know of any seepage, leak, discharge, release, emission, spill, or dumping of Hazardous Materials into waters (including, but not limited to, groundwater and surface water) on or beneath the Properties, or onto lands owned by the Company or its subsidiaries from which Hazardous Materials might seep, flow or drain into such waters, except as would not, individually or in the aggregate, reasonably be expected to have a Material Adverse Effect, (v) none of the Company or its subsidiaries has received any notice of, and the Company has no knowledge of any occurrence or circumstance which, with notice or passage of time or both, would give rise to a claim under or pursuant to any Environmental Law with respect to the Properties or arising out of the conduct of the Company or its subsidiaries, except for such claims which would not, individually or in the aggregate, reasonably be expected to have a Material Adverse Effect and which would not require disclosure pursuant to Environmental Laws and (vi) the Properties are not included or, to the knowledge of the Company, proposed for inclusion on the National Priorities List issued pursuant to CERCLA by the United States Environmental Protection Agency or, to the knowledge of the Company proposed for inclusion on any similar list or inventory issued pursuant to any other applicable Environmental Law or issued by any other governmental authority. Except as described in the Registration Statement and the Prospectus, to the knowledge of the Company, there have been no and are no (i) aboveground or underground storage tanks, (ii) polychlorinated biphenyls (“</w:t>
      </w:r>
      <w:r>
        <w:rPr>
          <w:rFonts w:ascii="Times New Roman" w:cs="Times New Roman" w:eastAsia="Times New Roman" w:hAnsi="Times New Roman"/>
          <w:sz w:val="18"/>
          <w:szCs w:val="18"/>
          <w:u w:val="single" w:color="auto"/>
          <w:color w:val="auto"/>
        </w:rPr>
        <w:t>PCBs</w:t>
      </w:r>
      <w:r>
        <w:rPr>
          <w:rFonts w:ascii="Times New Roman" w:cs="Times New Roman" w:eastAsia="Times New Roman" w:hAnsi="Times New Roman"/>
          <w:sz w:val="18"/>
          <w:szCs w:val="18"/>
          <w:color w:val="auto"/>
        </w:rPr>
        <w:t>”) or PCB-containing equipment, (iii) asbestos or asbestos containing materials, (iv) lead based paints, (v) dry-cleaning facilities, or (vi) wet lands, in each case in, on, or under any of the Properties the existence of which has had, or is reasonably expected to have, a Material Adverse Effect.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As used herein, “</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include, without limitation, any flammable explosives, radioactive materials, hazardous materials, hazardous wastes, toxic substances, including asbestos or any hazardous material as defined by any applicable federal, state or local environmental law, ordinance, statute, rule or regulation including, without limitation, CERCLA, the Hazardous Materials Transportation Act, as amended, 49 U.S.C. §§ 5101-5128, the Solid Waste Disposal Act, as amended, 42 U.S.C. §§ 6901-6992k, the Emergency Planning and Community Right-to-Know Act of 1986, 42 U.S.C. §§ 11001-11050, the Toxic Substances Control Act, 15 U.S.C. §§ 2601-2692, the Federal Insecticide, Fungicide and Rodenticide Act, 7 U.S.C. §§ 136-136y, the Clean Air Act, 42 U.S.C. §§ 7401-7671q, the Clean Water Act (Federal Water Pollution Control Act), 33 U.S.C. §§ 1251-1387, the Safe Drinking Water Act, 42 U.S.C. §§ 300f-300j-26, and the Occupational Safety and Health Act, 29 U.S.C. §§ 651-678, as any of the above statutes may be amended from time to time, and in the regulations promulgated pursuant to any of the foregoing (including environmental statutes not specifically defined herein) (individually, an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or by any federal, state or local governmental authority having or claiming jurisdiction over the Properties and other assets described in the Registration Statement and the Prospectus.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Environmental Liabilities</w:t>
      </w:r>
      <w:r>
        <w:rPr>
          <w:rFonts w:ascii="Times New Roman" w:cs="Times New Roman" w:eastAsia="Times New Roman" w:hAnsi="Times New Roman"/>
          <w:sz w:val="18"/>
          <w:szCs w:val="18"/>
          <w:color w:val="auto"/>
        </w:rPr>
        <w:t>. Except as otherwise disclosed in the Registration Statement and the Prospectus, there are no pending or, to the knowledge of the Company, threatened costs or liabilities associated with Environmental Laws (including, without limitation, any capital or operating expenditures required for investigation, clean up, closure of the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Except as would not, individually or in the aggregate, reasonably be expected to have a Material Adverse Effect: (i)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and its subsidiaries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in compliance with ERISA and all other applicable state and federal laws; (ii) no “reportable event” (as defined in Section 4043(c) of ERISA) has occurred or is reasonably expected to occur with respect to each Plan; (iii) no “employee benefit plan” established or maintained by the Company or its subsidiaries, if such “employee benefit plan” were terminated, would have any “amount of unfunded benefit liabilities” (as defined in ERISA); (iv) none of the Company or any of its subsidiaries has incurred or reasonably expects to incur, any liability under (A) Title IV of ERISA with respect to termination of, or withdrawal from, any Plan or (B) Sections 412, 4971, 4975 or 4980B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in respect of a Plan; and (v) each Plan that is intended to be qualified under Section 401(a) of the Code is so qualified and nothing has occurred, whether by action or failure to act, that could reasonably be expected to cause the loss of such qualification.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Labor Disputes</w:t>
      </w:r>
      <w:r>
        <w:rPr>
          <w:rFonts w:ascii="Times New Roman" w:cs="Times New Roman" w:eastAsia="Times New Roman" w:hAnsi="Times New Roman"/>
          <w:sz w:val="18"/>
          <w:szCs w:val="18"/>
          <w:color w:val="auto"/>
        </w:rPr>
        <w:t>. No material labor disturbance by or dispute with employees of the Company or any of its subsidiaries exists or, to the knowledge of the Company, is threatened, and none of the Company or any of its subsidiaries is aware of any existing or imminent labor disturbance by, or dispute with, the employees of any of the Company’s or subsidiary’s principal suppliers, contractors or customers, except as would not reasonably be expected, individually or in the aggregate, to have a Material Adverse Effect; neither the Company nor any of its subsidiaries has received written notice of any violation, or, to the Company’s knowledge, is in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individually or in the aggregate, would reasonably be expected to have a Material Adverse Effect.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Sarbanes-Oxley Act</w:t>
      </w:r>
      <w:r>
        <w:rPr>
          <w:rFonts w:ascii="Times New Roman" w:cs="Times New Roman" w:eastAsia="Times New Roman" w:hAnsi="Times New Roman"/>
          <w:sz w:val="18"/>
          <w:szCs w:val="18"/>
          <w:color w:val="auto"/>
        </w:rPr>
        <w:t>. The principal executive officer and principal financial officer of the Company have made all certifications required by the Sarbanes-Oxley Act and any related rules and regulations promulgated by the Commission of which the Company is required to comply, and the statements contained in each such certification were complete and correct as of the date of their execution. The Company and its subsidiaries are, and the Company has taken all necessary actions to ensure that the Company’s directors and officers in their capacities as such are, each in compliance in all material respects with all applicable provisions of the Sarbanes-Oxley Act and the rules and regulations of the Commission and the NYSE promulgated thereunder.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Foreign Corrupt Practices Act and Anti-Corruption Laws</w:t>
      </w:r>
      <w:r>
        <w:rPr>
          <w:rFonts w:ascii="Times New Roman" w:cs="Times New Roman" w:eastAsia="Times New Roman" w:hAnsi="Times New Roman"/>
          <w:sz w:val="18"/>
          <w:szCs w:val="18"/>
          <w:color w:val="auto"/>
        </w:rPr>
        <w:t>. None of the Company or any of its subsidiaries or, to the knowledge of the Company, any director, officer, agent, employee or affiliate of the Company or any of its subsidiaries, has taken any action, directly or indirectly, that would result in a violation by such persons of the Foreign Corrupt Practices Act of 1977, as amended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the rules and regulations thereunder or any similar anti-corruption law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taking any action in furtherance of an offer, payment, promise to pay or authorization of the payment of any money, or other property, gift, promise to give, or authorization of the giving of anything of value to any “foreign official” (as such term is defined in the Foreign Corrupt Practices Act) or any foreign political party or official thereof or any candidate for foreign political office, in contravention of the Anti-Corruption Laws; the Company and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USA PATRIOT Act of 2001, as amended, or the money laundering statutes of all jurisdictions where the Company conducts business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rules and regulations thereunder and any related or similar rules, regulations or guidelines, issued, administered or enforced by any governmental agency.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None of the Company or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or lend, contribute or otherwise make available such proceeds to any subsidiary, joint venture partner or other person or entity, for the purpose of financing the activities of any person currently subject to any U.S. sanctions administered by OFAC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In addition, none of the Company or any of its subsidiaries or, to the knowledge of the Company, any director, officer, employee, agent or affiliate of the Company, is an individual or entity currently the subject of any sanctions administered or enforced by OFAC, the United Nations Security Council, the European Union or His Majesty’s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comprehensive Sanctions, including, without limitation, Crimea, Cuba, the so-called Donetsk People’s Republic, Iran, the so-called Luhansk People’s Republic and North Korea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The Company will not, directly or indirectly, use the proceeds of the sale of the Securities,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manager, underwriter, advisor, investor or otherwise) of Sanctions. Since their inception, none of the Company or any of its subsidiaries has knowingly engaged in, or is now knowingly engaged in, any dealings or transactions with any person that at the time of the dealing or transaction is or was a Sanctioned Person or with any Sanctioned Country.</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Affiliations with the Manager</w:t>
      </w:r>
      <w:r>
        <w:rPr>
          <w:rFonts w:ascii="Times New Roman" w:cs="Times New Roman" w:eastAsia="Times New Roman" w:hAnsi="Times New Roman"/>
          <w:sz w:val="18"/>
          <w:szCs w:val="18"/>
          <w:color w:val="auto"/>
        </w:rPr>
        <w:t>. Except as described in the Registration Statement and the Prospectus, the Company does not (i) have any material lending or other relationship with the Manager or any affiliate of the Manager or (ii) intend to use any of the proceeds from the sale of the Securities to repay any outstanding debt owed to the Manager or any affiliate of the Manager.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Compliance with New York Stock Exchange Listing Standards</w:t>
      </w:r>
      <w:r>
        <w:rPr>
          <w:rFonts w:ascii="Times New Roman" w:cs="Times New Roman" w:eastAsia="Times New Roman" w:hAnsi="Times New Roman"/>
          <w:sz w:val="18"/>
          <w:szCs w:val="18"/>
          <w:color w:val="auto"/>
        </w:rPr>
        <w:t>. The Company has filed with the Commission a registration statement on Form 8-A providing for the registration under the Exchange Act of the Series A Preferred Stock, which registration is effective. The Company has applied to have the Securities listed for trading on the NYSE. The Company has taken no action designed to, or which is likely to have the effect of, terminating the registration of the Series A Preferred Stock under the Exchange Act or delisting the Series A Preferred Stock from the NYSE, nor has the Company received any notification that the Commission or the NYSE is contemplating terminating such registration or listing.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Rights and Actions Affecting Properties</w:t>
      </w:r>
      <w:r>
        <w:rPr>
          <w:rFonts w:ascii="Times New Roman" w:cs="Times New Roman" w:eastAsia="Times New Roman" w:hAnsi="Times New Roman"/>
          <w:sz w:val="18"/>
          <w:szCs w:val="18"/>
          <w:color w:val="auto"/>
        </w:rPr>
        <w:t>. The Company and its subsidiaries have good and marketable title to all personal property owned by them, in each case free and clear of all liens, encumbrances, claims and defects and imperfections of title except those that (i) do not materially interfere with the use made and proposed to be made of such personal property by the Company and its subsidiaries or (ii) would not, individually or in the aggregate,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Convertible Property Interests</w:t>
      </w:r>
      <w:r>
        <w:rPr>
          <w:rFonts w:ascii="Times New Roman" w:cs="Times New Roman" w:eastAsia="Times New Roman" w:hAnsi="Times New Roman"/>
          <w:sz w:val="18"/>
          <w:szCs w:val="18"/>
          <w:color w:val="auto"/>
        </w:rPr>
        <w:t>. Except as disclosed in the Registration Statement and the Prospectus, the mortgages and deeds of trust encumbering the Properties are not convertible nor will the Company or any of its subsidiaries hold a participating interest therein and such mortgages and deeds of trust are not cross-defaulted or cross-collateralized to any property not owned directly or indirectly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Finder’s Fees</w:t>
      </w:r>
      <w:r>
        <w:rPr>
          <w:rFonts w:ascii="Times New Roman" w:cs="Times New Roman" w:eastAsia="Times New Roman" w:hAnsi="Times New Roman"/>
          <w:sz w:val="18"/>
          <w:szCs w:val="18"/>
          <w:color w:val="auto"/>
        </w:rPr>
        <w:t>. Except as described in the Registration Statement and the Prospectus, none of the Company or any of its subsidiaries is a party to any contract, agreement or understanding with any person (other than this Agreement) that would give rise to a valid claim against the Company or any of its subsidiaries or the Manager for a brokerage commission, finder’s fee or like payment in connection with the offering and sale of the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Except as set forth in the Registration Statement and the Prospectus, there are no transactions with “affiliates” (as defined in Rule 405) or any officer, director or securityholder of the Company (whether or not an affiliate) that are required by the Securities Act to be disclosed in the Registration Statement. Additionally, no relationship, direct or indirect, exists between the Company or any of its subsidiaries on the one hand, and the directors, officers, stockholders, borrowers, customers or suppliers of the Company or any of its subsidiaries on the other hand that is required by the Securities Act to be disclosed in the Registration Statement and the Prospectus that is not so disclosed.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is not, and, after giving effect to the offering and sale of the Securities and the application of the proceeds thereof as described under the caption “Use of Proceeds” in the Prospectus, will not be, required to register as an “investment company” within the meaning of the Investment Company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Statistical and Market Related Data</w:t>
      </w:r>
      <w:r>
        <w:rPr>
          <w:rFonts w:ascii="Times New Roman" w:cs="Times New Roman" w:eastAsia="Times New Roman" w:hAnsi="Times New Roman"/>
          <w:sz w:val="18"/>
          <w:szCs w:val="18"/>
          <w:color w:val="auto"/>
        </w:rPr>
        <w:t>. Nothing has come to the attention of the Company that has caused the Company to believe that the statistical and market-related data included in the Registration Statement and the Prospectus are not based on or derived from sources that are reliable and accurate in all material respects and, to the extent required, the Company has obtained the written consent to the use of such data from such sources.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Federal Tax Status</w:t>
      </w:r>
      <w:r>
        <w:rPr>
          <w:rFonts w:ascii="Times New Roman" w:cs="Times New Roman" w:eastAsia="Times New Roman" w:hAnsi="Times New Roman"/>
          <w:sz w:val="18"/>
          <w:szCs w:val="18"/>
          <w:color w:val="auto"/>
        </w:rPr>
        <w:t>. Commencing with its taxable year ended December 31, 2020, the Company has been organized and operated in conformity with the requirements for qualification and taxation as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under the Code, and the Company’s current and proposed method of operation will enable it to continue to meet the requirements for qualification and taxation as a REIT under the Code for its taxable year ending December 31, 2026 and thereafter. All statements regarding the Company’s qualification and taxation as a REIT and descriptions of the Company’s organization and method of operation set forth in the Registration Statement and the Prospectus are true, complete and correct in all material respects.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Accurate Disclosures</w:t>
      </w:r>
      <w:r>
        <w:rPr>
          <w:rFonts w:ascii="Times New Roman" w:cs="Times New Roman" w:eastAsia="Times New Roman" w:hAnsi="Times New Roman"/>
          <w:sz w:val="18"/>
          <w:szCs w:val="18"/>
          <w:color w:val="auto"/>
        </w:rPr>
        <w:t>. The statements included in the Registration Statement and the Prospectus under the headings “Description of the Series A Preferred Stock,” “Description of Capital Stock,” “Certain Provisions of Maryland Law and of Our Charter and Bylaws,” “Material U.S. Federal Income Tax Considerations,” “Additional Material U.S. Federal Income Tax Considerations,” and “Plan of Distribution,” insofar as such statements summarize legal matters, agreements, documents or proceedings discussed therein, are accurate and fair summaries of such legal matters, agreements, documents or proceedings in all material respects.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Cybersecurity; Data Protection</w:t>
      </w:r>
      <w:r>
        <w:rPr>
          <w:rFonts w:ascii="Times New Roman" w:cs="Times New Roman" w:eastAsia="Times New Roman" w:hAnsi="Times New Roman"/>
          <w:sz w:val="18"/>
          <w:szCs w:val="18"/>
          <w:color w:val="auto"/>
        </w:rPr>
        <w:t>. Except as would not, individually or in the aggregate, reasonably be expected to result in a Material Adverse Effect, (i) to the knowledge of the Company, there has been no security breach or other security compromise of or relating to the Company’s information technology and computer systems, networks, hardware, software, data, trade secrets, or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(ii) the Company’s IT Systems are adequate for, and operate and perform as required in connection with, the operation of the business of the Company as currently conducted and are free and clear of all bugs, errors, defects, Trojan horses, time bombs, malware and other corruptants; and (iii) the Company is presently in compliance with all applicable laws, regulations, contractual obligations and internal policies relating to data privacy and security or personally identifiable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The Company, prior to the date hereof, has not made any offer or sale of securities, which could be “integrated” for purposes of the Securities Act with the offer and sale of the Securities pursuant to the Registration Statement and the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Company Distributions</w:t>
      </w:r>
      <w:r>
        <w:rPr>
          <w:rFonts w:ascii="Times New Roman" w:cs="Times New Roman" w:eastAsia="Times New Roman" w:hAnsi="Times New Roman"/>
          <w:sz w:val="18"/>
          <w:szCs w:val="18"/>
          <w:color w:val="auto"/>
        </w:rPr>
        <w:t>. Except as disclosed in the Registration Statement and the Prospectus, the Company is not a party to or otherwise bound by any instrument or agreement that limits or prohibits (whether with or without the giving of notice or the passage of time or both), directly or indirectly, the Company from paying any dividends or making other distributions on its capital stock.</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Subsidiary Distributions</w:t>
      </w:r>
      <w:r>
        <w:rPr>
          <w:rFonts w:ascii="Times New Roman" w:cs="Times New Roman" w:eastAsia="Times New Roman" w:hAnsi="Times New Roman"/>
          <w:sz w:val="18"/>
          <w:szCs w:val="18"/>
          <w:color w:val="auto"/>
        </w:rPr>
        <w:t>. No subsidiary of the Company is currently prohibited, directly or indirectly, under any agreement or other instrument to which it is a party or is subject, from paying any dividends to the Company or from making any other distribution on such subsidiary’s capital stock or similar ownership interest, except as would not, individually or in the aggregate, reasonably be expected to have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  No Ratings</w:t>
      </w:r>
      <w:r>
        <w:rPr>
          <w:rFonts w:ascii="Times New Roman" w:cs="Times New Roman" w:eastAsia="Times New Roman" w:hAnsi="Times New Roman"/>
          <w:sz w:val="18"/>
          <w:szCs w:val="18"/>
          <w:color w:val="auto"/>
        </w:rPr>
        <w:t>. No securities issued by the Company or any of its subsidiaries are rated by a “nationally recognized statistical rating organization,” as such term is defined under Section 3(a)(62) of the Exchange Act; provided, however, that the foregoing shall not apply to any rating assigned to any loan investment (or any participation interest therein) held, originated or sold by the Company or any of its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  Officer’s Certificates</w:t>
      </w:r>
      <w:r>
        <w:rPr>
          <w:rFonts w:ascii="Times New Roman" w:cs="Times New Roman" w:eastAsia="Times New Roman" w:hAnsi="Times New Roman"/>
          <w:sz w:val="18"/>
          <w:szCs w:val="18"/>
          <w:color w:val="auto"/>
        </w:rPr>
        <w:t>. Any certificate signed by any officer or any authorized representative of the Company and delivered to the Manager or to counsel for the Manager pursuant to or in connection with this Agreement shall be deemed a representation and warranty by the Company to the Manager as to the matters covered thereby as of the date or dates indicated on such certificate.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Manager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the Manager, will rely upon the accuracy and truthfulness of the foregoing representations and hereby consents to such reliance.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SALE AND DELIVERY; SETTLEMENT.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Sale of Securities.</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Manager’s acceptance of the terms of a Placement Notice or upon receipt by the Manager of an Acceptance, as the case may be, and unless the sale of the Securities described therein has been declined, suspended, or otherwise terminated in accordance with the terms of this Agreement, the Manager will use its commercially reasonable efforts consistent with its normal trading and sales practices to sell such Securities at market prevailing prices up to the amount specified, and otherwise in accordance with the terms of such Placement Notice (as amended by the corresponding Acceptance, if applicable). The Company acknowledges and agrees that (i) there can be no assurance that the Manager will be successful in selling Securities, (ii) the Manager will incur no liability or obligation to the Company or any other person or entity if it does not sell Securities for any reason other than a failure by the Manager to use its commercially reasonable efforts consistent with its normal trading and sales practices to sell such Securities as required under this Section 6 and (iii) the Manager shall be under no obligation to purchase Securities on a principal basis pursuant to this Agreement, except as otherwise agreed by the Manager in the Placement Notice (as amended by the corresponding Acceptance, if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Settlement of Securities.</w:t>
      </w:r>
      <w:r>
        <w:rPr>
          <w:rFonts w:ascii="Times New Roman" w:cs="Times New Roman" w:eastAsia="Times New Roman" w:hAnsi="Times New Roman"/>
          <w:sz w:val="18"/>
          <w:szCs w:val="18"/>
          <w:color w:val="auto"/>
        </w:rPr>
        <w:t xml:space="preserve"> Unless otherwise specified in the applicable Placement Notice (as amended by the corresponding Acceptance, if applicable), settlement for sales of Securities will occur on the first (1st) Trading Day (or such earlier day as is industry practice for regular-way trading)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Securities sold will be equal to the aggregate offering price received by the Manager at which such Securities were sold, after deduction for (i) the Manager’s commission, discount or other compensation for such sales payable by the Company pursuant to Section 3 hereof, (ii) any other amounts due and payable by the Company to the Manager hereunder pursuant to Section 8(a) hereof, and (iii)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Securities</w:t>
      </w:r>
      <w:r>
        <w:rPr>
          <w:rFonts w:ascii="Times New Roman" w:cs="Times New Roman" w:eastAsia="Times New Roman" w:hAnsi="Times New Roman"/>
          <w:sz w:val="18"/>
          <w:szCs w:val="18"/>
          <w:color w:val="auto"/>
        </w:rPr>
        <w:t>. On or before each Settlement Date, the Company will, or will cause its transfer agent to, electronically transfer the Securities being sold by crediting the Manager’s or its designee’s account (provided the Manager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Manager will deliver the related Net Proceeds in same day funds to an account designated by the Company prior to the Settlement Date. The Company agrees that if the Company, or its transfer agent (if applicable), defaults in its obligation to deliver Securities on a Settlement Date, the Company agrees that in addition to and in no way limiting the rights and obligations set forth in Section 10(a) and Section 11 hereto, it will (i) hold the Manager harmless against any loss, liability, claim, damage, or expense whatsoever (including reasonable legal fees and expenses), as incurred, arising out of or in connection with such default by the Company or its transfer agent (if applicable) and (ii) pay to the Manager any commission, discount, or other compensation to which it would otherwise have been entitled absent such default. If the Manager breaches this Agreement by failing to deliver the applicable Net Proceeds on any Settlement Date for Securities delivered by the Company, the Manager will pay the Company interest based on the effective overnight federal funds rate until such proceeds, together with interest, have been fully paid.</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xml:space="preserve"> The Securities shall be in such denominations and registered in such names as the Manager may request in writing at least one full business day before the Settlement Date. The Company shall deliver the Securities, if any, through the facilities of The Depository Trust Company as described in the preceding paragraphs unless the Manager shall otherwise instruct.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 effect to the sale of such Securities, the aggregate offering price of the Securities sold pursuant to this Agreement would exceed the lesser of (A) together with all sales of Securities under this Agreement and each of the Alternative Distribution Agreements, the Maximum Amount, (B) the amount available for offer and sale under the currently effective Registration Statement, and (C) the amount authorized from time to time to be issued and sold under this Agreement by the Company and notified to the Manager in writing. Under no circumstances shall the Company cause or request the offer or sale of any Securities pursuant to this Agreement at a price lower than the minimum price authorized from time to time by the Company and notified to the Manager in writing. Further, under no circumstances shall the aggregate offering price of Securities sold pursuant to this Agreement and the Alternative Distribution Agreements, including any separate underwriting or similar agreement covering principal transactions described in Section 1 of this Agreement and the Alternative Distribution Agreements, exceed the Maximum Amount.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Limitation on Managers.</w:t>
      </w:r>
      <w:r>
        <w:rPr>
          <w:rFonts w:ascii="Times New Roman" w:cs="Times New Roman" w:eastAsia="Times New Roman" w:hAnsi="Times New Roman"/>
          <w:sz w:val="18"/>
          <w:szCs w:val="18"/>
          <w:color w:val="auto"/>
        </w:rPr>
        <w:t xml:space="preserve"> The Company agrees that any offer to sell, any solicitation of an offer to buy or any sales of Securities shall only be effected by or through only the Manager or the respective Alternative Manager on any single given day, but in no event more than one (the “</w:t>
      </w:r>
      <w:r>
        <w:rPr>
          <w:rFonts w:ascii="Times New Roman" w:cs="Times New Roman" w:eastAsia="Times New Roman" w:hAnsi="Times New Roman"/>
          <w:sz w:val="18"/>
          <w:szCs w:val="18"/>
          <w:u w:val="single" w:color="auto"/>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and the Company shall in no event request that the Manager and one or more of the Alternative Managers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 (i) the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(b) such limitation shall not apply on any day during which no sales are made pursuant to this Agreement and (c) such limitation shall not apply if, prior to any such request to sell Securities, all Securities the Company has previously requested the Manager to sell have been sold or the applicable Placement Notice has been terminated or superseded. Notwithstanding the foregoing, a sale may be effected by a second Manager (the “</w:t>
      </w:r>
      <w:r>
        <w:rPr>
          <w:rFonts w:ascii="Times New Roman" w:cs="Times New Roman" w:eastAsia="Times New Roman" w:hAnsi="Times New Roman"/>
          <w:sz w:val="18"/>
          <w:szCs w:val="18"/>
          <w:u w:val="single" w:color="auto"/>
          <w:color w:val="auto"/>
        </w:rPr>
        <w:t>Second Manager</w:t>
      </w:r>
      <w:r>
        <w:rPr>
          <w:rFonts w:ascii="Times New Roman" w:cs="Times New Roman" w:eastAsia="Times New Roman" w:hAnsi="Times New Roman"/>
          <w:sz w:val="18"/>
          <w:szCs w:val="18"/>
          <w:color w:val="auto"/>
        </w:rPr>
        <w:t>”) on a single given day if (i) such sale is executed pursuant to a single privately negotiated transaction, which may include a block trade (a “</w:t>
      </w:r>
      <w:r>
        <w:rPr>
          <w:rFonts w:ascii="Times New Roman" w:cs="Times New Roman" w:eastAsia="Times New Roman" w:hAnsi="Times New Roman"/>
          <w:sz w:val="18"/>
          <w:szCs w:val="18"/>
          <w:u w:val="single" w:color="auto"/>
          <w:color w:val="auto"/>
        </w:rPr>
        <w:t>Single Negotiated Transaction</w:t>
      </w:r>
      <w:r>
        <w:rPr>
          <w:rFonts w:ascii="Times New Roman" w:cs="Times New Roman" w:eastAsia="Times New Roman" w:hAnsi="Times New Roman"/>
          <w:sz w:val="18"/>
          <w:szCs w:val="18"/>
          <w:color w:val="auto"/>
        </w:rPr>
        <w:t>”), and (ii) the Company notifies the applicable Current Manager that a Second Manager was appointed to execute such Single Negotiated Transaction.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Notwithstanding any other provision of this Agreement, the Company shall not offer, sell or deliver, or request the offer or sale of, any Securities and, by notice to the Manager given by telephone (confirmed promptly by facsimile transmission or email), shall cancel any instructions for the offer or sale of any Securities, and the Manager shall not be obligated to offer or sell any Securities, (i) during any period in which the Company is, or reasonably could be deemed to be, in possession of material non-public information, (ii) at any time during the period commencing on the 10th business day prior to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issues a press release containing, or shall otherwise publicly announce, its earnings, revenues or other results of 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(iii) except as provided in Section 6(h) below, at any time from and including an Announcement Date through and including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 provided that, unless otherwise agreed between the Company and the Manager for purposes of (i) and (ii) above, such period shall be deemed to end at the relevant Filing Time.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If the Company wishes to offer, sell or deliver Securities at any time during the period from and including an Announcement Date through and including time that is 24 hours after the corresponding Filing Time, the Company shall (i) prepare and deliver to the Manager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8"/>
          <w:szCs w:val="18"/>
          <w:u w:val="single" w:color="auto"/>
          <w:color w:val="auto"/>
        </w:rPr>
        <w:t>Earnings 8-K</w:t>
      </w:r>
      <w:r>
        <w:rPr>
          <w:rFonts w:ascii="Times New Roman" w:cs="Times New Roman" w:eastAsia="Times New Roman" w:hAnsi="Times New Roman"/>
          <w:sz w:val="18"/>
          <w:szCs w:val="18"/>
          <w:color w:val="auto"/>
        </w:rPr>
        <w:t>”), in form and substance reasonably satisfactory to the Manager, (ii) provide the Manager with the officers’ certificate, opinions/letters of counsel and accountants’ letter called for by Sections 7(o), (p), (q), (r), and (s) hereof; respectively, (iii) afford the Manager the opportunity to conduct a due diligence review in accordance with Section 7(m) hereof and (iv) file such Earnings 8-K with the Commission. The provisions of clause (ii)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 7 hereof and</w:t>
      </w:r>
    </w:p>
    <w:p>
      <w:pPr>
        <w:spacing w:after="0" w:line="1" w:lineRule="exact"/>
        <w:rPr>
          <w:sz w:val="20"/>
          <w:szCs w:val="20"/>
          <w:color w:val="auto"/>
        </w:rPr>
      </w:pPr>
    </w:p>
    <w:p>
      <w:pPr>
        <w:ind w:firstLine="8"/>
        <w:spacing w:after="0" w:line="260" w:lineRule="auto"/>
        <w:tabs>
          <w:tab w:leader="none" w:pos="3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this Section 6(h), this Section 6(h) shall in no way affect or limit the operation of the provisions of clauses (i) and (iii) of Section 6(h), which shall have independent application.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COVENANTS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with the Manager as follows: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 any Securities is required to be delivered by the Manager under the Securities Act (including in circumstances where such requirement may be satisfied pursuant to Rule 172), (i) the Company will promptly notify the Manager of the time when any subsequent amendment to the Registration Statement, other than documents incorporated by reference therein,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the Manager’s request, any amendments or supplements to the Registration Statement or Prospectus that, in the reasonable opinion of the Manager may be necessary or advisable in connection with the distribution of the Securities by the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to make such request shall not relieve the Company of any obligation or liability hereunder, or affect the Manager’s right to rely on the representations and warranties made by the Company in this Agreement); (iii) the Company will not file any amendment or supplement to the Registration Statement or Prospectus, other than documents incorporated by reference into the Registration Statement, relating to the Securities or a security convertible into the Securities unless a copy thereof has been submitted to the Manager within a reasonable period of time before the filing and the Manager has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to make such objection shall not relieve the Company of any obligation or liability hereunder, or affect the Manager’s right to rely on the representations and warranties made by the Company in this Agreement); and (iv) the Company will cause each amendment or supplement to the Prospectus, other than documents incorporated by reference into the Registration Statement, to be filed with the Commission as required pursuant to the applicable paragraph of Rule 424(b) (without reliance on Rule 424(b)(8)).</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Commission Stop Orders</w:t>
      </w:r>
      <w:r>
        <w:rPr>
          <w:rFonts w:ascii="Times New Roman" w:cs="Times New Roman" w:eastAsia="Times New Roman" w:hAnsi="Times New Roman"/>
          <w:sz w:val="18"/>
          <w:szCs w:val="18"/>
          <w:color w:val="auto"/>
        </w:rPr>
        <w:t>. The Company will advise the Manager, promptly after 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use its commercially reasonable efforts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Manager and its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 such quantities and at such locations as the Manager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Manager to the extent such document is available on EDGAR. The copies of the Registration Statement and the Prospectus and any supplements or amendments thereto furnished to the Manager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xml:space="preserve"> If at any time during any Selling Period or period when a Prospectus is required by the Securities Act or the Exchange Act to be delivered in connection with a pending sale of the Securities (including, without limitation, pursuant to Rule 172), any event shall occur or condition shall exist as a result of which it is necessary, in the opinion of counsel for the Manager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in order to comply with the requirements of the Securities Act, the Company will promptly notify the Manager to suspend the offering of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the Manager such number of copies of such amendment or supplement as the Manager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under which they were made, prevailing at that subsequent time, not misleading, the Company will promptly notify the Manager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Blue Sky and Other Qualifications.</w:t>
      </w:r>
      <w:r>
        <w:rPr>
          <w:rFonts w:ascii="Times New Roman" w:cs="Times New Roman" w:eastAsia="Times New Roman" w:hAnsi="Times New Roman"/>
          <w:sz w:val="18"/>
          <w:szCs w:val="18"/>
          <w:color w:val="auto"/>
        </w:rPr>
        <w:t xml:space="preserve"> The Company will use its best efforts, in cooperation with the Manager, to qualify the Securities for offering and sale, or to obtain an exemption for the Securities to be offered and sold, under the applicable securities laws of such states and other jurisdictions (domestic or foreign) as the Manager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xml:space="preserve"> The Company will make generally available to its securityholders as soon as practicable an earnings statement for the purposes of, and to provide to the Manager the benefits contemplated by, the last paragraph of Section 11(a) of the Securities Act and Rule 158.</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them from the sale of the Securities in the manner specified in the Prospectus under “Use of Proceeds.”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During any Selling Period or any period in which the Prospectus relating to the Securities is required to be delivered by the Manager under the Securities Act with respect to a pending sale of the Securities (including in circumstances where such requirement may be satisfied pursuant to Rule 172), the Company will use its commercially reasonable efforts to cause the Securities to be listed on the NYSE.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 that have or will issue securities that are traded on the NYSE.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xml:space="preserve"> The Company, during any Selling Period or period when the Prospectus is required to be delivered under the Securities Act and the Exchange Act (including in circumstances where such requirement may be satisfied pursuant to Rule 172), will file all documents required to be filed with the Commission pursuant to the Exchange Act within the time periods required by the Exchange Act.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xml:space="preserve">. During any Selling Period, the Company shall provide the Manager notice as promptly as reasonably possible (and, in any event, at least two (2) business days) before it offers to sell, contracts to sell, sells, grants any option to sell or otherwise disposes of any shares of Series A Preferred Stock (other than Securities offered pursuant to the provisions of this Agreement or the Alternative Distribution Agreements) or securities convertible into or exchangeable for Series A Preferred Stock, warrants or any rights to purchase or acquire shares of Series A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Series A Preferred Stock, options to purchase shares of Series A Preferred Stock or shares of Series A Preferred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or (iii) the issuance or sale of shares of Series A Preferred Stock pursuant to any dividend reinvestment plan that the Company may adopt from time to time, provided the implementation of such dividend reinvestment plan is disclosed to the Manager in advance.</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Securities, advise the Manager promptly after it shall have received notice or obtained knowledge thereof, of any information or fact that would alter or affect in any material respect any opinion, certificate, letter or other document provided to the Manager pursuant to this Agreement.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Manager or its respective agents in connection with the transactions contemplated hereby, including, without limitation, providing information and making available documents and senior officers, during regular business hours and at the Company’s principal offices, as the Manager may reasonably request.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Disclosure of Sales.</w:t>
      </w:r>
      <w:r>
        <w:rPr>
          <w:rFonts w:ascii="Times New Roman" w:cs="Times New Roman" w:eastAsia="Times New Roman" w:hAnsi="Times New Roman"/>
          <w:sz w:val="18"/>
          <w:szCs w:val="18"/>
          <w:color w:val="auto"/>
        </w:rPr>
        <w:t xml:space="preserve"> The Company will disclose in its Quarterly Reports on Form 10-Q and in its Annual Report on Form 10-K in respect of any quarter in which sales of Securities were made under this Agreement, and/or, at the Company’s option, in a Current Report on Form 8-K, the number of Securities sold under this Agreement and any Alternative Distribution Agreement, the Net Proceeds to the Company and the compensation payable by the Company with respect to such sales.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 Securities are delivered to the Manager as principal on a Settlement Date and each time the Company:</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(ii)            files an Annual Report on Form 10-K under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files a Quarterly Report on Form 10-Q under the Exchange Act; or</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17"/>
          <w:szCs w:val="17"/>
          <w:color w:val="auto"/>
        </w:rPr>
        <w:t>(iv)          files a Current Report on Form 8-K containing amended financial information (other than an Earnings Announcement, to “furnish” information pursuant to Item 2.02 or 7.01 of Form 8-K or to provide disclosure pursuant to Item 8.01 of Form 8-K relating to the reclassifications of certain properties as discontinued operations in accordance with Statement of Financial Accounting Standards No. 144) under the Exchange Act (each such date of filing of one or more of the documents referred to in clauses (i) through (iv) shall be a “</w:t>
      </w:r>
      <w:r>
        <w:rPr>
          <w:rFonts w:ascii="Times New Roman" w:cs="Times New Roman" w:eastAsia="Times New Roman" w:hAnsi="Times New Roman"/>
          <w:sz w:val="17"/>
          <w:szCs w:val="17"/>
          <w:u w:val="single" w:color="auto"/>
          <w:color w:val="auto"/>
        </w:rPr>
        <w:t>Representation Date</w:t>
      </w:r>
      <w:r>
        <w:rPr>
          <w:rFonts w:ascii="Times New Roman" w:cs="Times New Roman" w:eastAsia="Times New Roman" w:hAnsi="Times New Roman"/>
          <w:sz w:val="17"/>
          <w:szCs w:val="17"/>
          <w:color w:val="auto"/>
        </w:rPr>
        <w:t xml:space="preserve">”), the Company shall furnish the Manager with a certificate, in the form attached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hereto as promptly as possible and in no event later than three</w:t>
      </w:r>
    </w:p>
    <w:p>
      <w:pPr>
        <w:spacing w:after="0" w:line="3" w:lineRule="exact"/>
        <w:rPr>
          <w:sz w:val="20"/>
          <w:szCs w:val="20"/>
          <w:color w:val="auto"/>
        </w:rPr>
      </w:pPr>
    </w:p>
    <w:p>
      <w:pPr>
        <w:jc w:val="both"/>
        <w:ind w:left="660" w:hanging="4"/>
        <w:spacing w:after="0" w:line="251" w:lineRule="auto"/>
        <w:tabs>
          <w:tab w:leader="none" w:pos="9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after any Representation Date. The requirement to provide certificates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Securities following a Representation Date when the Company relied on such waiver and did not provide the Manager with a certificate under this Section 7(o), then before the Company delivers the Placement Notice or the Manager sells any Securities, the Company shall provide the Manager with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dated the date of the Placement Notice.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a written opinion and a 10b-5 statement of Vinson &amp; Elkins L.L.P., counsel for the Company, in form and substance satisfactory to the Manager and its counsel, dated the date that the opinion and 10b-5 statement is required to be delivered, substantially similar to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Opinion of Tax Counsel</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a written opinion of Vinson &amp; Elkins L.L.P., tax counsel for the Company, in form and substance satisfactory to the Manager and its counsel,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Maryland Counsel Legal Opinion</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Manager shall have received the favorable opinion of Venable LLP, Maryland counsel for the Company,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Manager with a letter to the effect that the Manager may rely on a prior opinion delivered under this Section 7(r) to the same extent as if it were dated the date of such letter (except that statements in such prior opinion shall be deemed to relate to the Registration Statement and the Prospectus as amended or supplemented at such Representation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its independent accountants to furnish the Manager a letter (a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Manager,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the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bid for and purchase shares of its Common Stock in accordance with Rule 10b-18 under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Securities as contemplated by the provisions hereof and the Prospectus.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Offer to Sell</w:t>
      </w:r>
      <w:r>
        <w:rPr>
          <w:rFonts w:ascii="Times New Roman" w:cs="Times New Roman" w:eastAsia="Times New Roman" w:hAnsi="Times New Roman"/>
          <w:sz w:val="18"/>
          <w:szCs w:val="18"/>
          <w:color w:val="auto"/>
        </w:rPr>
        <w:t>. Other than a free writing prospectus (as defined in Rule 405) approved in advance in writing by the Company and the Manager in its capacity as principal or agent hereunder, the Company (including its agents and representatives, other than the Manager as such) will not, directly or indirectly, make, use, prepare, authorize, approve or refer to any free writing prospectus relating to the Securities to be sold by the Manager as principal or agent 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[Reserved]</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Qualification and Taxation as a REIT</w:t>
      </w:r>
      <w:r>
        <w:rPr>
          <w:rFonts w:ascii="Times New Roman" w:cs="Times New Roman" w:eastAsia="Times New Roman" w:hAnsi="Times New Roman"/>
          <w:sz w:val="18"/>
          <w:szCs w:val="18"/>
          <w:color w:val="auto"/>
        </w:rPr>
        <w:t>. The Company will use its best efforts to continue to qualify for taxation as a REIT under the Code for its taxable year ending December 31, 2026, and thereafter, and will not take any action to revoke or otherwise terminate the Company’s REIT election, unless the Company’s board of directors determines in good faith that it is no longer in the best interests of the Company and its stockholders to be so qualified.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Renewal of Registration Statement.</w:t>
      </w:r>
      <w:r>
        <w:rPr>
          <w:rFonts w:ascii="Times New Roman" w:cs="Times New Roman" w:eastAsia="Times New Roman" w:hAnsi="Times New Roman"/>
          <w:sz w:val="18"/>
          <w:szCs w:val="18"/>
          <w:color w:val="auto"/>
        </w:rPr>
        <w:t xml:space="preserve"> The date of this Agreement is not more than three years subsequent to the initial effective date of the 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Renewal Date, this Agreement has not terminated and a prospectus is required to be delivered or made available by the Manager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Rights to Refuse Purchase.</w:t>
      </w:r>
      <w:r>
        <w:rPr>
          <w:rFonts w:ascii="Times New Roman" w:cs="Times New Roman" w:eastAsia="Times New Roman" w:hAnsi="Times New Roman"/>
          <w:sz w:val="18"/>
          <w:szCs w:val="18"/>
          <w:color w:val="auto"/>
        </w:rPr>
        <w:t xml:space="preserve"> If, to the knowledge of the Company, all filings required by Rule 424 under the Securities Act in connection with the offering of the 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the Manager the right to refuse to purchase and pay for such Securities.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For so long as any of the Securities are outstanding, the Company will reserve a sufficient number of shares of Common Stock to satisfy the conversion of such outstanding Securities into shares of Common Stock in accordance with the terms of the Articles Supplementary.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PAYMENT OF EXPENSES.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printing and filing of the Registration Statement (including financial statements and exhibits) as originally filed and of each amendment and supplement thereto, (ii) the preparation, issuance and delivery of the certificates for the Securities to the Manager, including any stock or other transfer taxes and any capital duties, stamp duties or other duties or taxes payable upon the sale, issuance or delivery of the Securities to the Manager, (iii) the fees and disbursements of the counsel, accountants and other advisors to the Company, (iv) the qualification or exemption of the Securities under securities laws in accordance with the provisions of Section 7(e) hereof, (v) the printing and delivery to the Manager of copies of any Permitted Free Writing Prospectus and the Prospectus and any amendments or supplements thereto and any costs associated with electronic delivery of any of the foregoing by the Manager to investors, (vi) the fees and expenses of the custodian and the transfer agent and registrar for the Securities, (vii) the filing fees incident to, and the reasonable fees and disbursements of counsel to the Manager in connection with, the review by FINRA of the terms of the sale of the Securities up to an aggregate amount not to exceed $1,000) and (viii) the fees and expenses incurred in connection with the listing of the Securities on the NYSE.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Termination of Agreement</w:t>
      </w:r>
      <w:r>
        <w:rPr>
          <w:rFonts w:ascii="Times New Roman" w:cs="Times New Roman" w:eastAsia="Times New Roman" w:hAnsi="Times New Roman"/>
          <w:sz w:val="17"/>
          <w:szCs w:val="17"/>
          <w:color w:val="auto"/>
        </w:rPr>
        <w:t>. If this Agreement is terminated by the Manager in accordance with the provisions of Section 9 or Section 13(a)</w:t>
      </w:r>
    </w:p>
    <w:p>
      <w:pPr>
        <w:spacing w:after="0" w:line="41" w:lineRule="exact"/>
        <w:rPr>
          <w:sz w:val="20"/>
          <w:szCs w:val="20"/>
          <w:color w:val="auto"/>
        </w:rPr>
      </w:pPr>
    </w:p>
    <w:p>
      <w:pPr>
        <w:jc w:val="both"/>
        <w:ind w:firstLine="8"/>
        <w:spacing w:after="0" w:line="252"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(iii) (with respect to the first clause only) hereof, the Company shall reimburse the Manager and the Alternative Managers for all reasonable, accountable out of pocket expenses, including reasonable fees and disbursements of counsel actually incurred by the Manager and the Alternative Managers in connection with the transactions contemplated by this Agreement and the Alternative Distribution Agreements, unless Securities having an aggregate offering price of $10,000,000 or more have previously been offered and sold under this Agreement and/or the Alternative Distribution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Expenses shall not exceed an aggregate amount under this Agreement and the Alternative Distribution Agreements of $50,000.</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CONDITIONS OF THE OBLIGATIONS OF THE MANAGER.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Manager hereunder with respect to a Placement will be subject to the continuing accuracy and completeness of the representations and warranties of the Company contained in this Agreement or in certificates of any officer of the Company delivered pursuant to the provisions hereof, to the performance by the Company of its covenants and other obligations hereunder, and to the following further conditions: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and shall be available for (i) all sales of Securities issued pursuant to all prior Placement Notices (each as amended by a corresponding Acceptance, if applicable) and (ii) the sale of all Securities contemplated to be issued by any Placement Notice (as amended by the corresponding Acceptance, if applicable).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and any Issuer Free Writing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 Misstatement or Material Omission</w:t>
      </w:r>
      <w:r>
        <w:rPr>
          <w:rFonts w:ascii="Times New Roman" w:cs="Times New Roman" w:eastAsia="Times New Roman" w:hAnsi="Times New Roman"/>
          <w:sz w:val="18"/>
          <w:szCs w:val="18"/>
          <w:color w:val="auto"/>
        </w:rPr>
        <w:t>. The Manager shall not have advised the Company that the Registration Statement or Prospectus, or any Issuer Free Writing Prospectus, or any amendment or supplement thereto, contains a material untrue statement of fact or omits to state a material fact that is required to be stated therein or is necessary to make the statements therein not misleading.</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to the condition, financial or otherwise, or in the properties, earnings, business affairs or business prospects of the Company and each of its subsidiaries considered as one enterprise.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The Manager shall have received the favorable opinions of Vinson &amp; Elkins L.L.P., required to be delivered pursuant to Section 7(p) on the date on which such delivery of such opinion is required pursuant to Section 7(p).</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Opinion of Tax Counsel for Company.</w:t>
      </w:r>
      <w:r>
        <w:rPr>
          <w:rFonts w:ascii="Times New Roman" w:cs="Times New Roman" w:eastAsia="Times New Roman" w:hAnsi="Times New Roman"/>
          <w:sz w:val="18"/>
          <w:szCs w:val="18"/>
          <w:color w:val="auto"/>
        </w:rPr>
        <w:t xml:space="preserve"> The Manager shall have received the favorable opinions of Vinson &amp; Elkins L.L.P., required to be delivered pursuant to Section 7(q) on the date on which such delivery of such opinion is required pursuant to Section 7(q).</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Opinion of Maryland Counsel for the Company</w:t>
      </w:r>
      <w:r>
        <w:rPr>
          <w:rFonts w:ascii="Times New Roman" w:cs="Times New Roman" w:eastAsia="Times New Roman" w:hAnsi="Times New Roman"/>
          <w:sz w:val="18"/>
          <w:szCs w:val="18"/>
          <w:color w:val="auto"/>
        </w:rPr>
        <w:t>. The Manager shall have received the favorable opinions of Venable LLP, required to be delivered pursuant to Section 7(r) on the date on which such delivery of such opinion is required pursuant to Section 7(r).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Opinion of Counsel for the Manager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 delivered to the Manager as principal on the Settlement Date, as promptly as possible and in no event later than three (3) Trading Days after each Representation Date with respect to which no waiver is applicable, the Manager shall have received the favorable opinion of Hunton Andrews Kurth LLP, counsel for the Manager, dated the date the opinion is required to be delivered, in customary form and substance satisfactory to the Manager, and the Company shall have furnished to such counsel such documents as they reasonably request for the purpose of enabling them to pass upon such matters. In rendering such opinion, Hunton Andrews Kurth LLP may rely as to matters involving the laws of the State of Maryland upon the opinion of Venable LLP referred to in Section 7(r).</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xml:space="preserve"> The Manager shall have received the certificate required to be delivered pursuant to Section 7(o) on the date on which delivery of such certificate is required pursuant to Section 7(o).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xml:space="preserve"> The Manager shall have received the Comfort Letter required to be delivered pursuant to Section 7(s) on the date on which such delivery of such Comfort Letter is required pursuant to Section 7(s).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The Securities shall have been approved for listing on the NYSE, subject only to official notice of issuance.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Securities shall not have been suspended on the NYSE.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xml:space="preserve"> On each date on which the Company is required to deliver a certificate pursuant to Section 7(o), counsel for the Manager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xml:space="preserve"> If any condition specified in this Section 9 shall not have been fulfilled when and as required to be fulfilled, this Agreement may be terminated by the Manager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 For the avoidance of doubt, any such termination shall not affect or impair any party’s obligations with respect to any Securities sold hereunder prior to the occurrence thereof or any Securities sold under any Alternative Distribution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INDEMNIFICATION.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by the Company.</w:t>
      </w:r>
    </w:p>
    <w:p>
      <w:pPr>
        <w:spacing w:after="0" w:line="227"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17"/>
          <w:szCs w:val="17"/>
          <w:color w:val="auto"/>
        </w:rPr>
        <w:t>(1)           Subject to the limitations in this paragraph below, the Company agrees to indemnify and hold harmless the Manager, the directors, officers, employees, affiliates and agents of the Manager, and each person, if any, who controls the Manager within the meaning of Section 15 of the Securities Act or Section 20 of the Exchange Act from and against any and all losses, claims, damages, liabilities and expenses, including reasonable costs of investigation and attorneys’ fees and expenses (collectively, “</w:t>
      </w:r>
      <w:r>
        <w:rPr>
          <w:rFonts w:ascii="Times New Roman" w:cs="Times New Roman" w:eastAsia="Times New Roman" w:hAnsi="Times New Roman"/>
          <w:sz w:val="17"/>
          <w:szCs w:val="17"/>
          <w:u w:val="single" w:color="auto"/>
          <w:color w:val="auto"/>
        </w:rPr>
        <w:t>Damages</w:t>
      </w:r>
      <w:r>
        <w:rPr>
          <w:rFonts w:ascii="Times New Roman" w:cs="Times New Roman" w:eastAsia="Times New Roman" w:hAnsi="Times New Roman"/>
          <w:sz w:val="17"/>
          <w:szCs w:val="17"/>
          <w:color w:val="auto"/>
        </w:rPr>
        <w:t>”) arising out of or based upon (i) any untrue statement or alleged untrue statement of a material fact contained in the Registration Statement, any Issuer Free Writing Prospectus, the Prospectus or in any amendment or supplement thereto, any “issuer information” filed or required to be filed pursuant to Rule 433(d), or (ii) any omission or alleged omission to state therein a material fact required to be stated therein or necessary to make the statements therein (in the case of the Prospectus, in the light of the circumstances under which they were made) not misleading; except with respect to (i) or (ii) to the extent that any such Damages arise out of or are based upon an untrue statement or omission or alleged untrue statement or omission that has been made therein or omitted therefrom in reliance upon and in conformity with the information furnished in writing to the Company by or on behalf of the Manager, expressly for use in connection therewith. This indemnification shall be in addition to any liability that the Company may otherwise have.</w:t>
      </w:r>
    </w:p>
    <w:p>
      <w:pPr>
        <w:spacing w:after="0" w:line="18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(2)            If any action or claim shall be brought against the Manager or any person controlling the Manager in respect of which indemnity may be sought against the Company, the Manager or such controlling person shall promptly notify in writing the party(s) against whom indemnification is being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and such indemnifying party or parties shall assume the defense thereof, including the employment of counsel reasonably acceptable to the Manager or such controlling person and the payment of all reasonable fees of and expenses incurred by such counsel. The Manager or any such controlling person shall have the right to employ separate counsel in any such action and participate in the defense thereof, but the fees and expenses of such counsel shall be at the expense of the Manager or such controlling person, unless (i) the indemnifying party(s) has (have) agreed in writing to pay such fees and expenses, (ii) the indemnifying party(s) has (have) failed to assume the defense and employ counsel reasonably acceptable to the Manager or such controlling person or (iii) the named parties to any such action (including any impleaded parties) include both the Manager or such controlling person and the indemnifying party(s), and the Manager or such controlling person shall have been advised by its counsel that one or more legal defenses may be available to the Manager that may not be available to the Company, or that representation of such indemnified party and any indemnifying party(s) by the same counsel would be inappropriate under applicable standards of professional conduct (whether or not such representation by the same counsel has been proposed) due to actual or potential differing interests between them (in which case the indemnifying party(s) shall not have the right to assume the defense of such action on behalf of the Manager or such controlling person (but the Company shall not be liable for the fees and expenses of more than one counsel for the Manager and such controlling persons)). The indemnifying party(s) shall not be liable for any settlement of any such action effected without its (their several) written consent, but if settled with such written consent, or if there be a final judgment for the plaintiff in any such action, the indemnifying party(s) agree(s) to indemnify and hold harmless the Manager and any such controlling person from and against any loss, claim, damage, liability or expense by reason of such settlement or judgment, but in the case of a judgment only to the extent stated in the first paragraph of this Section 10.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by the Manager</w:t>
      </w:r>
      <w:r>
        <w:rPr>
          <w:rFonts w:ascii="Times New Roman" w:cs="Times New Roman" w:eastAsia="Times New Roman" w:hAnsi="Times New Roman"/>
          <w:sz w:val="18"/>
          <w:szCs w:val="18"/>
          <w:color w:val="auto"/>
        </w:rPr>
        <w:t>. The Manager agrees to indemnify and hold harmless the Company, its directors and its officers who sign the Registration Statement and any person who controls the Company within the meaning of Section 15 of the Securities Act or Section 20 of the Exchange Act, to the same extent as the foregoing indemnity from the Company to the Manager, but only with respect to information furnished in writing by or on behalf of the Manager expressly for use in the Registration Statement, the Prospectus, any Issuer Free Writing Prospectus, or any amendment or supplement thereto. If any action or claim shall be brought or asserted against the Company or any of its directors, any of its officers or any such controlling person based on the Registration Statement, the Prospectus or any amendment or supplement thereto, and in respect of which indemnity may be sought against the Manager pursuant to this Section 10(b), the Manager shall have the rights and duties given to the Company by Section 10(a)(2) (except that if the Company shall have assumed the defense thereof the Manager shall not be required to do so, but may employ separate counsel therein and participate in the defense thereof, but the fees and expenses of such counsel shall be at the expense of the Manager), and the Company, its directors, its officers and any such controlling persons, shall have the rights and duties given to the Manager by Section 10(a)(2).</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xml:space="preserve"> In any event, (i) the Company will not, without the prior written consent of the Manager, settle or compromise or consent to the entry of any judgment in any proceeding or threatened claim, action, suit or proceeding in respect of which indemnification may be sought hereunder (whether or not the Manager or any person who controls the Manager within the meaning of Section 15 of the Securities Act or Section 20 of the Exchange Act is a party to such claim, action, suit or proceeding) unless such settlement, compromise or consent includes an unconditional release of the Manager and such controlling persons from all liability arising out of such claim, action, suit or proceeding and (ii) the Manager will not, without the prior written consent of the Company, settle or compromise or consent to the entry of any judgment in any proceeding or threatened claim, action, suit or proceeding in respect of which the indemnification may be sought hereunder unless such settlement, compromise or consent includes an unconditional release of the Company from all liability arising out of such claim, action, suit or proceeding.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fees and expenses of counsel as contemplated by this Section 10, such indemnifying party agrees that it shall be liable for any settlement of the nature contemplated by this Section 10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CONTRIBUTION.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indemnification provided for in Section 10 is unavailable or insufficient for any reason whatsoever to an indemnified party in respect of any Damages referred to therein, then an indemnifying party, in lieu of indemnifying such indemnified party, shall contribute to the amount paid or payable by such indemnified party as a result of such Damages (i) in such proportion as is appropriate to reflect the relative benefits received by the Company on the one hand, and the Manager, on the other hand, from the offering and sale of the Securities or (ii) if the allocation provided by clause (i) above is not permitted by applicable law, in such proportion as is appropriate to reflect not only the relative benefits referred to in clause (i) above but also the relative and several fault of the Company on the one hand, and the Manager, on the other hand, in connection with the statements or omissions that resulted in such Damages as well as any other relevant equitable considerations. The relative benefits received by the Company, on the one hand, and the Manager, on the other hand, in connection with the applicable offering of Securities, shall be deemed to be in the same proportion as the total net proceeds from such offering (before deducting expenses) received by the Company, on the one hand, bear to the total commissions received by the Manager in connection with the applicable offering of Securities, on the other hand. The relative fault of the Company on the one hand, and the Manager on the other hand, shall be determined by reference to, among other things, whether the untrue or alleged untrue statement of a material fact or the omission or alleged omission to state a material fact relates to information supplied by the Company on the one hand, or by the Manager on the other hand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and the Manager agrees that it would not be just and equitable if contribution pursuant to this Section 11 was determined by a pro rata allocation or by any other method of allocation that does not take into account the equitable considerations referred to in the immediately preceding paragraph. The amount paid or payable by an indemnified party as a result of the Damages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11, the Manager shall not be required to contribute any amount in excess of the amount of the commissions received by it in connection with the Securities sold by it and distributed to the public.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Damages for which an indemnified party is entitled to indemnification or contribution under Section 10 or this Section 11 shall be paid by the indemnifying party to the indemnified party as Damages are incurred after receipt of reasonably itemized invoices therefor. The indemnity, contribution and reimbursement agreements contained in Section 10 and this Section 11 shall remain operative and in full force and effect, regardless of (i) any investigation made by or on behalf of the Manager or any person controlling the Manager, the Company and its directors, its officers or any person controlling the Company, (ii) acceptance of any Securities and payment therefor hereunder and (iii) any termination of this Agreement. A successor to the Manager or any person controlling the Manager or to either of the Company, its directors, its officers or any person controlling the Company, shall be entitled to the benefits of the indemnity, contribution and reimbursement agreements contained in Section 10 and this Section 11.</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remedies provided for in Section 10 and this Section 11 are not exclusive and shall not limit any rights or remedies that otherwise may be available to any indemnified person at law or in equity.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REPRESENTATIONS, WARRANTIES AND AGREEMENTS TO SURVIVE DELIVERY.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Company submitted pursuant hereto, shall remain operative and in full force and effect, regardless of any investigation made by or on behalf of the Manager or any of its Affiliates or selling agents, any person controlling the Manager or its officers or directors, or by or on behalf of the Company or any person controlling the Company, and shall survive delivery of the Securities to the Manager and shall survive delivery and acceptance of the Securities and payment therefor or any termination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TERMINATION OF AGREEMENT.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xml:space="preserve"> The Manager may terminate this Agreement, by notice to the Company, as hereinafter specified at any time (i) if there has been, since the time of execution of this Agreement or since the date as of which information is given in the Prospectus, any material adverse change in the condition, financial or otherwise, or in the properties, earnings, business affairs or business prospects of the Company and each of its subsidiaries whether or not arising in the ordinary course of business, (ii) if there has occurred any material adverse change in the financial markets in the United States or the international financial markets, any outbreak of hostilities or escalation thereof, any acts of terrorism involving the United States or other calamity or crisis or any change or development involving a prospective change in national or international political, financial or economic conditions, in each case the effect of which is such as to make it, in the sole judgment of the Manager, impracticable or inadvisable to market the Securities or to enforce contracts for the sale of the Securities, (iii) if trading in the Securities has been suspended or materially limited by the Commission or the NYSE, or (iv) if trading generally on the NYSE or the Nasdaq Global Market has been suspended or materially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(v) if a banking moratorium has been declared by either Federal or New York authorities.</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by the Company.</w:t>
      </w:r>
      <w:r>
        <w:rPr>
          <w:rFonts w:ascii="Times New Roman" w:cs="Times New Roman" w:eastAsia="Times New Roman" w:hAnsi="Times New Roman"/>
          <w:sz w:val="18"/>
          <w:szCs w:val="18"/>
          <w:color w:val="auto"/>
        </w:rPr>
        <w:t xml:space="preserve"> Subject to Section 13(f) hereof, the Company shall have the right to terminate this Agreement in its sole discretion at any time after the date of this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Termination by the Manager.</w:t>
      </w:r>
      <w:r>
        <w:rPr>
          <w:rFonts w:ascii="Times New Roman" w:cs="Times New Roman" w:eastAsia="Times New Roman" w:hAnsi="Times New Roman"/>
          <w:sz w:val="18"/>
          <w:szCs w:val="18"/>
          <w:color w:val="auto"/>
        </w:rPr>
        <w:t xml:space="preserve"> Subject to Section 13(f) hereof, the Manager shall have the right to terminate this Agreement in its sole discretion at any time after the date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Automatic Termination.</w:t>
      </w:r>
      <w:r>
        <w:rPr>
          <w:rFonts w:ascii="Times New Roman" w:cs="Times New Roman" w:eastAsia="Times New Roman" w:hAnsi="Times New Roman"/>
          <w:sz w:val="18"/>
          <w:szCs w:val="18"/>
          <w:color w:val="auto"/>
        </w:rPr>
        <w:t xml:space="preserve"> Unless earlier terminated pursuant to this Section 13, this Agreement shall automatically terminate upon the issuance and sale of Securities through the Manager or the Alternative Managers on the terms and subject to the conditions set forth herein or in the Alternative Distribution Agreements, as applicable, with an aggregate Sales Price equal to the Maximum Amount.</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Continued Force and Effect.</w:t>
      </w:r>
      <w:r>
        <w:rPr>
          <w:rFonts w:ascii="Times New Roman" w:cs="Times New Roman" w:eastAsia="Times New Roman" w:hAnsi="Times New Roman"/>
          <w:sz w:val="18"/>
          <w:szCs w:val="18"/>
          <w:color w:val="auto"/>
        </w:rPr>
        <w:t xml:space="preserve"> This Agreement shall remain in full force and effect unless terminated pursuant to Sections 13(a), (b), (c), or (d) above or otherwise by mutual agreement of the parties.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Effectiveness of Termination.</w:t>
      </w:r>
      <w:r>
        <w:rPr>
          <w:rFonts w:ascii="Times New Roman" w:cs="Times New Roman" w:eastAsia="Times New Roman" w:hAnsi="Times New Roman"/>
          <w:sz w:val="18"/>
          <w:szCs w:val="18"/>
          <w:color w:val="auto"/>
        </w:rPr>
        <w:t xml:space="preserve">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Manager or the Company, as the case may be. If such termination shall occur prior to the Settlement Date for any sale of Securities, such Securities shall settle in accordance with the provisions of this Agreement.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If this Agreement is terminated pursuant to this Section 13, such termination shall be without liability of any party to any other party except as provided in Section 8 hereof, and except that, in the case of any termination of this Agreement, Section 5, Section 10, Section 11, Section 12, Section 21 and Section 22 hereof shall survive such termination and remain in full force and effect.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NOTICES.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Agreement, all notices and other communications hereunder shall be in writing and shall be deemed to have been duly given if mailed or transmitted by any standard form of telecommunication.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Notices to the Manager shall be directed to:</w:t>
      </w:r>
    </w:p>
    <w:p>
      <w:pPr>
        <w:spacing w:after="0" w:line="23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Pennsylvania Avenue,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Robert K. Smith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Notices to the Company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369 N. New York Avenue, Suite 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Winter Park, FL 32789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1114 Avenue of the Americas, 32nd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Zachary Swartz</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PARTIES.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Manager, the Company and their respective successors. Nothing expressed or mentioned in this Agreement is intended or shall be construed to give any person, firm or corporation, other than the Manager, the Company and their respective successors and the controlling persons and officers, directors, employees or affiliates referred to in Section 10 and their heirs and legal representatives, any legal or equitable right, remedy or claim under or in respect of this Agreement or any provision herein contained. This Agreement and all conditions and provisions hereof are intended to be for the sole and exclusive benefit of the Manager, the Company and their respective successors, and said controlling persons and officers, directors, employees or affiliates and their heirs and legal representatives, and for the benefit of no other person, firm or corporation. No purchaser of Securities from the Manager shall be deemed to be a successor by reason merely of such purchase.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ADJUSTMENTS FOR SHARE SPLITS.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acknowledge and agree that all share-related numbers contained in this Agreement shall be adjusted to take into account any share split, share dividend or similar event effected with respect to the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GOVERNING LAW AND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 WITHOUT REGARD TO ITS CHOICE OF LAW PROVISIONS. UNLESS OTHERWISE EXPLICITLY PROVIDED, SPECIFIED TIMES OF DAY REFER TO NEW YORK CITY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EFFECT OF HEADINGS.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RESEARCH ANALYST INDEPENDENCE.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that (a) the Manager’s research analysts and research departments are required to be independent from their respective investment banking divisions and are subject to certain regulations and internal policies and (b) the Manager’s research analysts may hold views and make statements or investment recommendations and/or publish research reports with respect to the Company, the value of the Series A Preferred Stock or Common Stock and/or the offering that differ from the views of their respective investment banking divisions. The Company hereby waives and releases, to the fullest extent permitted by law, any claims that it may have against the Manager with respect to any conflict of interest that may arise from the fact that the views expressed by the Manager’s independent research analysts and research departments may be different from or inconsistent with the views or advice communicated to the Company by the Manager’s investment banking division. The Company acknowledges that the Manager is a full service securities firm and as such, from time to time, subject to applicable securities laws, may effect transactions for its own account or the account of its customers and hold long or short positions in debt or equity securities of the companies that are the subject of the transactions contemplated by this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PERMITTED FREE WRITING PROSPECTUSES.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warrants and agrees that, unless it obtains the prior consent of the Manager and the Manager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Manager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are Permitted Free Writing Prospectuses.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ABSENCE OF FIDUCIARY RELATIONSHIP.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acknowledges and agrees that: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Manager is acting solely as agent and/or principal in connection with the public offering of the Securities and in connection with each transaction contemplated by this Agreement and the process leading to such transactions, and no fiduciary or advisory relationship among the Company or any of its respective affiliates, stockholders (or other equity holders), creditors or employees or any other party, on the one hand, and the Manager, on the other hand, has been or will be created in respect of any of the transactions contemplated by this Agreement, irrespective of whether or not the Manager has advised or is advising the Company on other matters, and the Manager has no obligation to the Company with respect to the transactions contemplated by this Agreement except the obligations expressly set forth in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public offering price of the Securities set forth in this Agreement was not established by the Manager;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it is capable of evaluating and understanding, and understands and accepts, the terms, risks and conditions of the transactions contemplated by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Manager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it is aware that the Manager and its affiliates are engaged in a broad range of transactions which may involve interests that differ from those of the Company and the Manager has no obligation to disclose such interests and transactions to the Company by virtue of any fiduciary, advisory or agency relationship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Manager and its affiliates may engage in trading in the Series A Preferred Stock and Common Stock for their own account or for the account of its clients at the same time as sales of the Securities occur pursuant to this Agreement;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it waives, to the fullest extent permitted by law, any claims it may have against the Manager for breach of fiduciary duty or alleged breach of fiduciary duty and agrees that the Manager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CONSENT TO JURISDICTION.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legal suit, action or proceeding arising out of or based upon this Agreement or the transactions contemplated hereby shall be instituted in</w:t>
      </w:r>
    </w:p>
    <w:p>
      <w:pPr>
        <w:spacing w:after="0" w:line="27" w:lineRule="exact"/>
        <w:rPr>
          <w:sz w:val="20"/>
          <w:szCs w:val="20"/>
          <w:color w:val="auto"/>
        </w:rPr>
      </w:pPr>
    </w:p>
    <w:p>
      <w:pPr>
        <w:jc w:val="both"/>
        <w:ind w:firstLine="8"/>
        <w:spacing w:after="0" w:line="251" w:lineRule="auto"/>
        <w:tabs>
          <w:tab w:leader="none" w:pos="2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PARTIAL UNENFORCEABILITY.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WAIVER OF JURY TRIAL.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(on its behalf and, to the extent permitted by applicable law, on behalf of its stockholders and affiliates) and the Manager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COUNTERPARTS.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New York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AMENDMENTS AND WAIVERS.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provision or requirement of this Agreement may be waived or amended in any respect by a writing signed by the parties hereto. No waiver or amendment shall be enforceable against any party hereto unless in writing and signed by the party against which such waiver is claimed. A waiver of any provision or requirement of this Agreement shall not constitute a waiver of any other term and shall not affect the other provisions of this Agreement. A waiver of a provision or requirement of this Agreement will apply only to the specific circumstances cited therein and will not prevent a party from subsequently requiring compliance with the waived provision or requirement in other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RECOGNITION OF THE U.S. SPECIAL RESOLUTION REGIMES.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the Manager is a Covered Entity and becomes subject to a proceeding under a U.S. Special Resolution Regime, the transfer from the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the Manager is a Covered Entity or a BHC Act Affiliate of the Manager and becomes subject to a proceeding under a U.S. Special Resolution Regime, Default Rights under this Agreement that may be exercised against the Manager are permitted to be exercised to no greater extent than such Default Rights could be exercised under the U.S. Special Resolution Regime if this Agreement were governed by the laws of the United States or a state of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As used in this Section 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by and between the Manager and the Company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2026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2026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PLACEMENT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07"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(facsimile number: [_________________])</w:t>
      </w:r>
    </w:p>
    <w:p>
      <w:pPr>
        <w:spacing w:after="0" w:line="207"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[______________________]</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made to the Equity Distribution Agreement between CTO Realty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 its capacity as agent for the Company in connection with the offering and sale of any Securities thereunder)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dated as of April 29, 2026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Capitalized terms used in this Placement Notice without definition shall have the respective definitions ascribed to them in the Equity Distribution Agreement. This Placement Notice relates to an “Issuance”. The Company confirms that all conditions to the delivery of this Placement Notice are satisfied as of the date hereof.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represents and warrants that each representation, warranty, covenant and other agreement of the Company contained in the Equity Distribution Agreement is true and correct on the date hereof, and that the Prospectus, including the documents incorporated by reference therein, and any applicable Issuer Free Writing Prospectus, as of the date hereof, do not contain an untrue statement of a material fact or omit to state a material fact necessary in order to make the statements therein, in light of the circumstances under which they were made, not misleading.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Number of Securities to be Sold: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w:t>
      </w:r>
    </w:p>
    <w:p>
      <w:pPr>
        <w:spacing w:after="0" w:line="225" w:lineRule="exact"/>
        <w:rPr>
          <w:sz w:val="20"/>
          <w:szCs w:val="20"/>
          <w:color w:val="auto"/>
        </w:rPr>
      </w:pPr>
    </w:p>
    <w:p>
      <w:pPr>
        <w:spacing w:after="0"/>
        <w:tabs>
          <w:tab w:leader="none" w:pos="8240" w:val="left"/>
        </w:tabs>
        <w:rPr>
          <w:sz w:val="20"/>
          <w:szCs w:val="20"/>
          <w:color w:val="auto"/>
        </w:rPr>
      </w:pPr>
      <w:r>
        <w:rPr>
          <w:rFonts w:ascii="Times New Roman" w:cs="Times New Roman" w:eastAsia="Times New Roman" w:hAnsi="Times New Roman"/>
          <w:sz w:val="18"/>
          <w:szCs w:val="18"/>
          <w:color w:val="auto"/>
        </w:rPr>
        <w:t>Floor Price (Adjustable by Company during the Selling Period, and in no event less than $1.00 per share): $</w:t>
      </w:r>
      <w:r>
        <w:rPr>
          <w:sz w:val="20"/>
          <w:szCs w:val="20"/>
          <w:color w:val="auto"/>
        </w:rPr>
        <w:tab/>
      </w:r>
      <w:r>
        <w:rPr>
          <w:rFonts w:ascii="Times New Roman" w:cs="Times New Roman" w:eastAsia="Times New Roman" w:hAnsi="Times New Roman"/>
          <w:sz w:val="18"/>
          <w:szCs w:val="18"/>
          <w:color w:val="auto"/>
        </w:rPr>
        <w:t>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INDIVIDUALS FOR PLACEMENT NOTICES AND ACCEPTANCES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CTO Realty Growth, Inc.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00" w:type="dxa"/>
            <w:vAlign w:val="bottom"/>
            <w:tcBorders>
              <w:top w:val="single" w:sz="8" w:color="auto"/>
              <w:left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3"/>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right w:val="single" w:sz="8" w:color="auto"/>
            </w:tcBorders>
          </w:tcPr>
          <w:p>
            <w:pPr>
              <w:spacing w:after="0"/>
              <w:rPr>
                <w:sz w:val="16"/>
                <w:szCs w:val="16"/>
                <w:color w:val="auto"/>
              </w:rPr>
            </w:pPr>
          </w:p>
        </w:tc>
        <w:tc>
          <w:tcPr>
            <w:tcW w:w="560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1"/>
        </w:trPr>
        <w:tc>
          <w:tcPr>
            <w:tcW w:w="8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800" w:type="dxa"/>
            <w:vAlign w:val="bottom"/>
            <w:tcBorders>
              <w:left w:val="single" w:sz="8" w:color="auto"/>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John Albright</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ind w:left="2180"/>
              <w:spacing w:after="0"/>
              <w:rPr>
                <w:sz w:val="20"/>
                <w:szCs w:val="20"/>
                <w:color w:val="auto"/>
              </w:rPr>
            </w:pPr>
            <w:r>
              <w:rPr>
                <w:rFonts w:ascii="Times New Roman" w:cs="Times New Roman" w:eastAsia="Times New Roman" w:hAnsi="Times New Roman"/>
                <w:sz w:val="18"/>
                <w:szCs w:val="18"/>
                <w:color w:val="auto"/>
              </w:rPr>
              <w:t>***@****.com</w:t>
            </w:r>
          </w:p>
        </w:tc>
      </w:tr>
      <w:tr>
        <w:trPr>
          <w:trHeight w:val="209"/>
        </w:trPr>
        <w:tc>
          <w:tcPr>
            <w:tcW w:w="800" w:type="dxa"/>
            <w:vAlign w:val="bottom"/>
            <w:tcBorders>
              <w:left w:val="single" w:sz="8" w:color="auto"/>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Philip Mays</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w:t>
            </w:r>
          </w:p>
        </w:tc>
      </w:tr>
      <w:tr>
        <w:trPr>
          <w:trHeight w:val="398"/>
        </w:trPr>
        <w:tc>
          <w:tcPr>
            <w:tcW w:w="44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as Manager</w:t>
            </w:r>
          </w:p>
        </w:tc>
        <w:tc>
          <w:tcPr>
            <w:tcW w:w="1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gridSpan w:val="3"/>
          </w:tcPr>
          <w:p>
            <w:pPr>
              <w:jc w:val="center"/>
              <w:ind w:right="62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1"/>
        </w:trPr>
        <w:tc>
          <w:tcPr>
            <w:tcW w:w="8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040" w:type="dxa"/>
            <w:vAlign w:val="bottom"/>
            <w:tcBorders>
              <w:left w:val="single" w:sz="8" w:color="auto"/>
              <w:bottom w:val="single" w:sz="8" w:color="auto"/>
            </w:tcBorders>
            <w:gridSpan w:val="4"/>
          </w:tcPr>
          <w:p>
            <w:pPr>
              <w:jc w:val="center"/>
              <w:ind w:left="25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spacing w:after="0"/>
              <w:rPr>
                <w:sz w:val="19"/>
                <w:szCs w:val="19"/>
                <w:color w:val="auto"/>
              </w:rPr>
            </w:pPr>
          </w:p>
        </w:tc>
      </w:tr>
      <w:tr>
        <w:trPr>
          <w:trHeight w:val="223"/>
        </w:trPr>
        <w:tc>
          <w:tcPr>
            <w:tcW w:w="3040" w:type="dxa"/>
            <w:vAlign w:val="bottom"/>
            <w:tcBorders>
              <w:left w:val="single" w:sz="8" w:color="auto"/>
              <w:bottom w:val="single" w:sz="8" w:color="auto"/>
            </w:tcBorders>
            <w:gridSpan w:val="4"/>
          </w:tcPr>
          <w:p>
            <w:pPr>
              <w:jc w:val="center"/>
              <w:ind w:left="25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spacing w:after="0"/>
              <w:rPr>
                <w:sz w:val="19"/>
                <w:szCs w:val="19"/>
                <w:color w:val="auto"/>
              </w:rPr>
            </w:pPr>
          </w:p>
        </w:tc>
      </w:tr>
      <w:tr>
        <w:trPr>
          <w:trHeight w:val="642"/>
        </w:trPr>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Manager shall be paid compensation at a mutually agreed rate, not to exceed 2.0% of the gross sales price of Securities pursuant to the terms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OFFICERS’ CERTIFICATE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CORPORATE OPINION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VINSON &amp; ELKINS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573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TAX OPINION OF</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VINSON &amp; ELKINS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86"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VENABLE LLP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52" w:name="page53"/>
    <w:bookmarkEnd w:id="5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u w:val="single" w:color="auto"/>
          <w:color w:val="auto"/>
        </w:rPr>
        <w:t>PERMITTED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3" w:name="page54"/>
    <w:bookmarkEnd w:id="53"/>
    <w:p>
      <w:pPr>
        <w:ind w:left="10240"/>
        <w:spacing w:after="0"/>
        <w:rPr>
          <w:sz w:val="20"/>
          <w:szCs w:val="20"/>
          <w:color w:val="auto"/>
        </w:rPr>
      </w:pPr>
      <w:r>
        <w:rPr>
          <w:rFonts w:ascii="Times New Roman" w:cs="Times New Roman" w:eastAsia="Times New Roman" w:hAnsi="Times New Roman"/>
          <w:sz w:val="21"/>
          <w:szCs w:val="21"/>
          <w:b w:val="1"/>
          <w:bCs w:val="1"/>
          <w:color w:val="auto"/>
        </w:rPr>
        <w:t>Exhibit 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 of 6.375% Series A Cumulative Redeemable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 TO THE EQUITY DISTRIBUTION AGREEMENT</w:t>
      </w:r>
    </w:p>
    <w:p>
      <w:pPr>
        <w:spacing w:after="0" w:line="22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29, 2026</w:t>
      </w:r>
    </w:p>
    <w:p>
      <w:pPr>
        <w:spacing w:after="0" w:line="238"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Equity Distribution Agreement, dated November 12,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CTO Realty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 assigned to them in the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entry into new Equity Distribution Agreements, dated the date hereof, by and among the Company and each of Cantor Fitzgerald &amp; Co. and Huntington Securities, Inc., as manager, the Parties desire to amend the Agreement through this Amendment No. 1 to the Equity Distribution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modify the definition of certain defined terms set forth in the Agreement and used herein and to make certain other changes to the Agreement with effect on and after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Parties agree, from and after the Effective Date,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paragraph of Section 1 of the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also entered into separate equity distribution agreements (collectively,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dated as of November 12, 2024, as amended on April 29, 2026, with each of A.G.P./Alliance Global Partners, B. Riley Securities, Inc., Robert W. Baird &amp; Co. Incorporated, Jefferies LLC, JonesTrading Institutional Services LLC, Raymond James &amp; Associates, Inc. and Truist Securities, Inc. and dated as of April 29, 2026, with each of Cantor Fitzgerald &amp; Co. and Huntington Securities, Inc. (and, as applicable, their respective affiliates) (each, in its capacity as agent and/or principal thereunder, and, together with any other such agent and/or principal with which the Company enters into an Alternative Distribution Agreement,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and sale of the Securities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is hereby amended by inserting the words “or all such previously delivered Placement Notices have been terminated or superseded” immediately after the phrase “have all been sold”.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5(m)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and the Prospectus, together with the related schedules and notes, present fairly in all material respects the financial position of the Company at the dates indicated and the results of operations, changes in equity and cash flows of the Company for the periods specified, and such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presented. Except as included or incorporated by reference in the Registration Statement and the Prospectus, no historical or pro forma financial statements or supporting schedules are required to be included in the Registration Statement or the Prospectus under the Securities Act. All disclosures contained or incorporated by reference in the Registration Statement or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applicable EDA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5(vv)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issued by the Company or any of its subsidiaries are rated by a “nationally recognized statistical rating organization,” as such term is defined under Section 3(a)(62) of the Exchange Act; provided, however, that the foregoing shall not apply to any rating assigned to any loan investment (or any participation interest therein) held, originated or sold by the Company or any of its subsidiaries.”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6(f)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shall only be effected by or through only the Manager or the respective Alternative Manager on any single given day, but in no event more than one (the “</w:t>
      </w:r>
      <w:r>
        <w:rPr>
          <w:rFonts w:ascii="Times New Roman" w:cs="Times New Roman" w:eastAsia="Times New Roman" w:hAnsi="Times New Roman"/>
          <w:sz w:val="18"/>
          <w:szCs w:val="18"/>
          <w:u w:val="single" w:color="auto"/>
          <w:color w:val="auto"/>
        </w:rPr>
        <w:t>Current Manager</w:t>
      </w:r>
      <w:r>
        <w:rPr>
          <w:rFonts w:ascii="Times New Roman" w:cs="Times New Roman" w:eastAsia="Times New Roman" w:hAnsi="Times New Roman"/>
          <w:sz w:val="18"/>
          <w:szCs w:val="18"/>
          <w:color w:val="auto"/>
        </w:rPr>
        <w:t xml:space="preserve">”), and the Company shall in no event request that the Manager and one or more of the Alternative Managers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 (i) the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(b) such limitation shall not apply on any day during which no sales are made pursuant to this Agreement and (c) such limitation shall not apply if, prior to any such request to sell Securities, all Securities the Company has previously requested the Manager to sell have been sold or the applicable Placement Notice has been terminated or superseded. Notwithstanding the foregoing, a sale may be effected by a second Manager (the “</w:t>
      </w:r>
      <w:r>
        <w:rPr>
          <w:rFonts w:ascii="Times New Roman" w:cs="Times New Roman" w:eastAsia="Times New Roman" w:hAnsi="Times New Roman"/>
          <w:sz w:val="18"/>
          <w:szCs w:val="18"/>
          <w:u w:val="single" w:color="auto"/>
          <w:color w:val="auto"/>
        </w:rPr>
        <w:t>Second Manager</w:t>
      </w:r>
      <w:r>
        <w:rPr>
          <w:rFonts w:ascii="Times New Roman" w:cs="Times New Roman" w:eastAsia="Times New Roman" w:hAnsi="Times New Roman"/>
          <w:sz w:val="18"/>
          <w:szCs w:val="18"/>
          <w:color w:val="auto"/>
        </w:rPr>
        <w:t>”) on a single given day if (i) such sale is executed pursuant to a single privately negotiated transaction, which may include a block trade (a “</w:t>
      </w:r>
      <w:r>
        <w:rPr>
          <w:rFonts w:ascii="Times New Roman" w:cs="Times New Roman" w:eastAsia="Times New Roman" w:hAnsi="Times New Roman"/>
          <w:sz w:val="18"/>
          <w:szCs w:val="18"/>
          <w:u w:val="single" w:color="auto"/>
          <w:color w:val="auto"/>
        </w:rPr>
        <w:t>Single Negotiated Transaction</w:t>
      </w:r>
      <w:r>
        <w:rPr>
          <w:rFonts w:ascii="Times New Roman" w:cs="Times New Roman" w:eastAsia="Times New Roman" w:hAnsi="Times New Roman"/>
          <w:sz w:val="18"/>
          <w:szCs w:val="18"/>
          <w:color w:val="auto"/>
        </w:rPr>
        <w:t>”), and (ii) the Company notifies the applicable Current Manager that a Second Manager was appointed to execute such Single Negotiated Transaction.”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 CONTROVERSY OR DISPUTE ARISING UNDER OR RELATED TO THIS AMENDMENT SHALL BE GOVERNED BY AND CONSTRUED IN ACCORDANCE WITH THE LAWS OF THE STATE OF NEW YORK WITHOUT REGARD TO ITS CHOICE OF LAW PROVISIONS. SPECIFIED TIMES OF DAY REFER TO NEW YORK CITY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New York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 Remains in Effect</w:t>
      </w:r>
      <w:r>
        <w:rPr>
          <w:rFonts w:ascii="Times New Roman" w:cs="Times New Roman" w:eastAsia="Times New Roman" w:hAnsi="Times New Roman"/>
          <w:sz w:val="18"/>
          <w:szCs w:val="18"/>
          <w:color w:val="auto"/>
        </w:rPr>
        <w:t>. Except as provided in this Amendment, all provisions, terms and conditions of the Agreement shall remain in full force and effect. As amended hereby, the Agreement is ratified and confirmed in all respects.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Manager and the Company in accordance with its terms.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rPr>
                <w:sz w:val="20"/>
                <w:szCs w:val="20"/>
                <w:color w:val="auto"/>
              </w:rPr>
            </w:pPr>
            <w:r>
              <w:rPr>
                <w:rFonts w:ascii="Times New Roman" w:cs="Times New Roman" w:eastAsia="Times New Roman" w:hAnsi="Times New Roman"/>
                <w:sz w:val="18"/>
                <w:szCs w:val="18"/>
                <w:b w:val="1"/>
                <w:bCs w:val="1"/>
                <w:color w:val="auto"/>
              </w:rPr>
              <w:t>CTO REALTY GROWTH, INC.</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p>
        </w:tc>
      </w:tr>
      <w:tr>
        <w:trPr>
          <w:trHeight w:val="178"/>
        </w:trPr>
        <w:tc>
          <w:tcPr>
            <w:tcW w:w="1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line="177" w:lineRule="exact"/>
              <w:rPr>
                <w:sz w:val="20"/>
                <w:szCs w:val="20"/>
                <w:color w:val="auto"/>
              </w:rPr>
            </w:pPr>
            <w:r>
              <w:rPr>
                <w:rFonts w:ascii="Times New Roman" w:cs="Times New Roman" w:eastAsia="Times New Roman" w:hAnsi="Times New Roman"/>
                <w:sz w:val="18"/>
                <w:szCs w:val="18"/>
                <w:color w:val="auto"/>
              </w:rPr>
              <w:t>Name: Philip R. Mays</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tc>
      </w:tr>
      <w:tr>
        <w:trPr>
          <w:trHeight w:val="498"/>
        </w:trPr>
        <w:tc>
          <w:tcPr>
            <w:tcW w:w="1240" w:type="dxa"/>
            <w:vAlign w:val="bottom"/>
          </w:tcPr>
          <w:p>
            <w:pPr>
              <w:spacing w:after="0"/>
              <w:rPr>
                <w:sz w:val="24"/>
                <w:szCs w:val="24"/>
                <w:color w:val="auto"/>
              </w:rPr>
            </w:pPr>
          </w:p>
        </w:tc>
        <w:tc>
          <w:tcPr>
            <w:tcW w:w="10000" w:type="dxa"/>
            <w:vAlign w:val="bottom"/>
            <w:gridSpan w:val="2"/>
          </w:tcPr>
          <w:p>
            <w:pPr>
              <w:ind w:left="1180"/>
              <w:spacing w:after="0"/>
              <w:rPr>
                <w:sz w:val="20"/>
                <w:szCs w:val="20"/>
                <w:color w:val="auto"/>
              </w:rPr>
            </w:pPr>
            <w:r>
              <w:rPr>
                <w:rFonts w:ascii="Times New Roman" w:cs="Times New Roman" w:eastAsia="Times New Roman" w:hAnsi="Times New Roman"/>
                <w:sz w:val="22"/>
                <w:szCs w:val="22"/>
                <w:i w:val="1"/>
                <w:iCs w:val="1"/>
                <w:color w:val="auto"/>
              </w:rPr>
              <w:t>Signature Page to Amendment No. 1 to the Equity Distribution Agreement</w:t>
            </w:r>
          </w:p>
        </w:tc>
      </w:tr>
      <w:tr>
        <w:trPr>
          <w:trHeight w:val="690"/>
        </w:trPr>
        <w:tc>
          <w:tcPr>
            <w:tcW w:w="1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7"/>
          <w:szCs w:val="17"/>
          <w:color w:val="auto"/>
        </w:rPr>
        <w:t>The foregoing Amendment No. 1 to the Agreement is hereby confirmed and accepted as of the date first written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MANAGER</w:t>
            </w:r>
          </w:p>
        </w:tc>
        <w:tc>
          <w:tcPr>
            <w:tcW w:w="4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1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i w:val="1"/>
          <w:iCs w:val="1"/>
          <w:color w:val="auto"/>
        </w:rPr>
        <w:t>Signature Page to Amendment No. 1 to the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7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106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PLACEMENTS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OF SECURITIES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SUSPENSION OF SALES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COVENANTS OF THE COMPANY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EXPENSES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OF THE OBLIGATIONS OF THE MANAGER, THE FORWARD SELLER AND THE FORWARD PURCHASER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 FOR SHARE SPLITS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AND TIME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HEADINGS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ANALYST INDEPENDENCE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PARTIAL UNENFORCEABILITY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3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Placement Notice</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Authorized Individuals for Placement Notices and Acceptances</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Compensation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Officers’ Certificate of the Company</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Corporate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Tax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Form of Opinion of Venable LLP</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Permitted Free Writing Prospectus</w:t>
            </w:r>
          </w:p>
        </w:tc>
      </w:tr>
      <w:tr>
        <w:trPr>
          <w:trHeight w:val="675"/>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22"/>
                <w:szCs w:val="22"/>
                <w:color w:val="auto"/>
              </w:rPr>
              <w:t>ii</w:t>
            </w:r>
          </w:p>
        </w:tc>
      </w:tr>
    </w:tbl>
    <w:p>
      <w:pPr>
        <w:sectPr>
          <w:pgSz w:w="11900" w:h="16838" w:orient="portrait"/>
          <w:cols w:equalWidth="0" w:num="1">
            <w:col w:w="11240"/>
          </w:cols>
          <w:pgMar w:left="320" w:top="900" w:right="339" w:bottom="1440" w:gutter="0" w:footer="0" w:header="0"/>
        </w:sectPr>
      </w:pPr>
    </w:p>
    <w:bookmarkStart w:id="60" w:name="page61"/>
    <w:bookmarkEnd w:id="60"/>
    <w:p>
      <w:pPr>
        <w:ind w:left="4640"/>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Seller and Manager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CTO Realty Growth, Inc., a Maryland corporation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 ] (in its capacity as purchaser under any Forward Contract (as defined below), the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 ] (in its capacity as agent for the Company and/or principal in connection with the offering and sale of any Issuance Securities (as defined below) hereunder,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(as defined below) hereunder, the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DESCRIPTION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agrees that, from time to time during the term of this Agreement, on the terms and subject to the conditions set forth herein, the Company may issue and sell, in the manner contemplated by this Agreement,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offering price of up to $250,000,000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the Manager or the Forward Seller, as applicable, shall have no obligation in connection with such compliance. The issuance and sale of the Securities through the Manager or the Forward Seller, as applicable, will be effected pursuant to the Registration Statement (as defined below) that was filed by the Company under the Securities Act of 1933, as amended (collectively with the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with the Commission a shelf registration statement on Form S-3 (File No. 333-282678) including a base prospectus, relating to certain securities, including the Securities to be issued from time to time by the Company, which shelf registration statement, including any amendments thereto, was declared effective by the Commission under the Securities Act and which incorporates by reference documents that the Company has filed or will file in accordance with the provisions of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Act</w:t>
      </w:r>
      <w:r>
        <w:rPr>
          <w:rFonts w:ascii="Times New Roman" w:cs="Times New Roman" w:eastAsia="Times New Roman" w:hAnsi="Times New Roman"/>
          <w:sz w:val="18"/>
          <w:szCs w:val="18"/>
          <w:color w:val="auto"/>
        </w:rPr>
        <w:t>”). The Company has prepared a prospectus supplement specifically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Manager or the Forward Seller, as applicable, for use by the Manager or the Forward Seller, as applicable, copies of the base prospectus included as part of such registration statement, as supplemented by the Prospectus Supplement, relating to the Securities. Except where the context otherwise requires, such registration statement, on each date and time that such registration statement and any post-effective amendment thereto became or becomes effective, including all documents filed as part thereof or incorporated by reference therein, and including any information contained in a Prospectus (as defined below) subsequently filed with the Commission pursuant to Rule 424(b) of the Securities Act or deemed to be a part of such registration statement pursuant to Rule 430B of the Securities Act, is herein called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The base prospectus included in the Registration Statement, including all documents incorporated therein by reference, as it may be supplemented by the Prospectus Supplement, in the form in which such prospectus and/or Prospectus Supplement have most recently been filed by the Company with the Commission pursuant to Rule 424(b) of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may file one or more additional registration statements (which shall be the Registration Statement) from time to time that will contain a base prospectus and related prospectus or prospectus supplement, if applicable (which shall be the Prospectus Supplement), with respect to the Securities.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any copy filed with the Commission pursuant to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the Manager or the Forward Seller outside of the United States.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Sold Forward Amount</w:t>
      </w:r>
      <w:r>
        <w:rPr>
          <w:rFonts w:ascii="Times New Roman" w:cs="Times New Roman" w:eastAsia="Times New Roman" w:hAnsi="Times New Roman"/>
          <w:sz w:val="18"/>
          <w:szCs w:val="18"/>
          <w:color w:val="auto"/>
        </w:rPr>
        <w:t>” means, for any Forward Hedge Selling Period for any Forward, the number of Forward Hedge Securities that the Forward Seller has sold during such Forward Hedge Selling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Forward Hedge Price</w:t>
      </w:r>
      <w:r>
        <w:rPr>
          <w:rFonts w:ascii="Times New Roman" w:cs="Times New Roman" w:eastAsia="Times New Roman" w:hAnsi="Times New Roman"/>
          <w:sz w:val="18"/>
          <w:szCs w:val="18"/>
          <w:color w:val="auto"/>
        </w:rPr>
        <w:t>” means, with respect to a period, the product of the Actual Sold Forward Amount during such period and the Forward Hedge Price during such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Sales Price</w:t>
      </w:r>
      <w:r>
        <w:rPr>
          <w:rFonts w:ascii="Times New Roman" w:cs="Times New Roman" w:eastAsia="Times New Roman" w:hAnsi="Times New Roman"/>
          <w:sz w:val="18"/>
          <w:szCs w:val="18"/>
          <w:color w:val="auto"/>
        </w:rPr>
        <w:t>” means, with respect to a period, the sum of the Sales Prices for all Issuance Securities or Forward Hedge Securities, as applicable, sold during such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Number</w:t>
      </w:r>
      <w:r>
        <w:rPr>
          <w:rFonts w:ascii="Times New Roman" w:cs="Times New Roman" w:eastAsia="Times New Roman" w:hAnsi="Times New Roman"/>
          <w:sz w:val="18"/>
          <w:szCs w:val="18"/>
          <w:color w:val="auto"/>
        </w:rPr>
        <w:t>” with respect to any Forward Contract has the meaning set forth in such Forward Contract.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date of this Agreement and expiring on the date this Agreement is terminated pursuant to Section 13.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the transaction resulting from each Placement Notice (as amended by the corresponding Acceptance, if applicable) specifying that it relates to a “Forward” and requiring the Forward Seller to use commercially reasonable efforts to sell, as specified in such Placement Notice and subject to the terms and conditions of this Agreement and the applicable Forward Contract, the Forward Hedge Securities.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Contract</w:t>
      </w:r>
      <w:r>
        <w:rPr>
          <w:rFonts w:ascii="Times New Roman" w:cs="Times New Roman" w:eastAsia="Times New Roman" w:hAnsi="Times New Roman"/>
          <w:sz w:val="18"/>
          <w:szCs w:val="18"/>
          <w:color w:val="auto"/>
        </w:rPr>
        <w:t>” means, for each Forward, the contract evidencing such Forward between the Company and the Forward Purchaser, which shall be comprised of the Master Forward Confirmation and the related “Supplemental Confirmation” (as defined in the Master Forward Confirmation) for such Forward.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Amount</w:t>
      </w:r>
      <w:r>
        <w:rPr>
          <w:rFonts w:ascii="Times New Roman" w:cs="Times New Roman" w:eastAsia="Times New Roman" w:hAnsi="Times New Roman"/>
          <w:sz w:val="18"/>
          <w:szCs w:val="18"/>
          <w:color w:val="auto"/>
        </w:rPr>
        <w:t>” means, for any Forward, the amount specified as such in the Placement Notice for such Forward (as amended by the corresponding Acceptance, if applicable), which amount shall be the target Aggregate Sales Price of the Forward Hedge Securities to be sold by the Forward Seller in respect of such Forward, subject to the terms and conditions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Forward Contract, the product of (x) an amount equal to one (1) minus the Forward Hedge Selling Commission Rate for such Forward Contract; and (y) the Volume-Weighted Hedge Price.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Securities</w:t>
      </w:r>
      <w:r>
        <w:rPr>
          <w:rFonts w:ascii="Times New Roman" w:cs="Times New Roman" w:eastAsia="Times New Roman" w:hAnsi="Times New Roman"/>
          <w:sz w:val="18"/>
          <w:szCs w:val="18"/>
          <w:color w:val="auto"/>
        </w:rPr>
        <w:t>” means all Common Stock borrowed by the Forward Purchaser and offered and sold by the Forward Seller in connection with any Forward that has occurred or may occur in accordance with the terms and conditions of this Agreement. Where the context requires, the term “Forward Hedge Securities” as used herein shall include the definition of the same under the Alternative Distribution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Forward Contract, the product of (x) the Forward Hedge Selling Commission Rate for such Forward Contract and (y) the Volume-Weighted Hedge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 Rate</w:t>
      </w:r>
      <w:r>
        <w:rPr>
          <w:rFonts w:ascii="Times New Roman" w:cs="Times New Roman" w:eastAsia="Times New Roman" w:hAnsi="Times New Roman"/>
          <w:sz w:val="18"/>
          <w:szCs w:val="18"/>
          <w:color w:val="auto"/>
        </w:rPr>
        <w:t>” means, for any Forward Contract, a rate mutually agreed to between the Company and the Forward Seller and recorded in the applicable Placement Notice (as amended by the corresponding Acceptance, if applicable), not to exceed 2%.</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Selling Period</w:t>
      </w:r>
      <w:r>
        <w:rPr>
          <w:rFonts w:ascii="Times New Roman" w:cs="Times New Roman" w:eastAsia="Times New Roman" w:hAnsi="Times New Roman"/>
          <w:sz w:val="18"/>
          <w:szCs w:val="18"/>
          <w:color w:val="auto"/>
        </w:rPr>
        <w:t>” means, subject to Section 2(c) hereof, the period of one to 20 consecutive Trading Days (as determined by the Company in the Company’s sole discretion and specified in the applicable Placement Notice (as amended by the corresponding Acceptance, if applicable) specifying that it relates to a “Forward”) beginning on the date specified in the applicable Placement Notice (as amended by the corresponding Acceptance, if applicable) or, if such date is not a Trading Day, the next Trading Day following such date and ending on the last such Trading Day or such earlier date on which the Forward Seller shall have completed the sale of Forward Hedge Securities in connection with the applicable Forward; provided that if, prior to the scheduled end of any Forward Hedge Selling Period (x) any event occurs that would permit the Forward Purchaser to designate a “Scheduled Trading Day” as an “Early Valuation Date” (as each such term is defined in the Master Forward Confirmation) under, and pursuant to the provisions opposite the caption “Early Valuation” in Section 2 of the Master Forward Confirmation or (y) a “Bankruptcy Termination Event” (as such term is defined in the Master Forward Confirmation) occurs, then the Forward Hedge Selling Period shall, upon the Forward Seller becoming aware of such occurrence, immediately terminate as of the first such occurrence. Any Forward Hedge Selling Period then in effect shall immediately terminate upon the termination of this Agreement pursuant to Section 9 or Section 13 hereof and as set forth in Sections 2(b) and 4 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has the meaning set forth in the introductory paragraph of this Agreement. If a Forward Purchaser has not been identified in the introductory paragraph of this Agreement, the Company agrees that all provisions of this Agreement related to the Forward Purchaser are not applicable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has the meaning set forth in the introductory paragraph of this Agreement. If a Forward Seller has not been identified in the introductory paragraph of this Agreement, the Company agrees that all provisions of this Agreement related to the Forward Seller are not applicable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occasion the Company elects to exercise its right to deliver a Placement Notice that does not involve a Forward and that specifies that it relates to an “Issuance” and requires the Manager to use commercially reasonable efforts to sell the Issuance Securities as specified in such Placement Notice, subject to the terms and conditions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one to 20 consecutive Trading Days (as determined by the Company in the Company’s sole discretion and specified in the applicable Placement Notice (as amended by the corresponding Acceptance, if applicable)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Securities</w:t>
      </w:r>
      <w:r>
        <w:rPr>
          <w:rFonts w:ascii="Times New Roman" w:cs="Times New Roman" w:eastAsia="Times New Roman" w:hAnsi="Times New Roman"/>
          <w:sz w:val="18"/>
          <w:szCs w:val="18"/>
          <w:color w:val="auto"/>
        </w:rPr>
        <w:t>” means all shares of Common Stock issued or issuable pursuant to an Issuance that has occurred or may occur in accordance with the terms and conditions of this Agreement. Where the context requires, the term “Issuance Securities” as used herein, shall include the definition of the same under the Alternative Distribution Agreements.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in each case in the form furnished (electronically or otherwise) to the Manager for use in connection with the offering of the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Forward Confirmation</w:t>
      </w:r>
      <w:r>
        <w:rPr>
          <w:rFonts w:ascii="Times New Roman" w:cs="Times New Roman" w:eastAsia="Times New Roman" w:hAnsi="Times New Roman"/>
          <w:sz w:val="18"/>
          <w:szCs w:val="18"/>
          <w:color w:val="auto"/>
        </w:rPr>
        <w:t>” means the Master Confirmation for Issuer Share Forward Sale Transactions, dated as of the date hereof, by and among the Company and the Forward Purchaser, including all provisions incorporated by reference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Forward or each Issuance hereunder, the actual sale execution price of each Forward Hedge Security or Issuance Security, as the case may be, sold by the Manager or the Forward Seller on the NYSE hereunder in the case of ordinary brokers’ transactions, or as otherwise agreed by the parties in other methods of sale. Where the context requires, the term “Sales Price” as used herein shall include the definition of the same under the Alternative Distribution Agreements.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Issuance Securities and Forward Hedge Securities, as applicable. Where the context requires, the term “Securities” as used herein shall include the definition of the same under the Alternative Distribution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Company and the Manager shall otherwise agree, any Forward Hedge Settlement Date or any Issuance Settlement Date,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which is a trading day on the NYSE.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Unwind Date</w:t>
      </w:r>
      <w:r>
        <w:rPr>
          <w:rFonts w:ascii="Times New Roman" w:cs="Times New Roman" w:eastAsia="Times New Roman" w:hAnsi="Times New Roman"/>
          <w:sz w:val="18"/>
          <w:szCs w:val="18"/>
          <w:color w:val="auto"/>
        </w:rPr>
        <w:t>” shall have the meaning set forth in the Master Forward Confirmation.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has the meaning set forth in the Master Forward Confirmation; provided that, for purposes of determining the Aggregate Forward Hedge Price payable to the Forward Purchaser in respect of a Trading Day on which the Forward Seller has made sales of Forward Hedge Securities hereunder pursuant to Sections 3(b) and 6(e), the Volume-Weighted Hedge Price shall be determined solely with respect to the Forward Hedge Securities sold by the Forward Seller on such Trading Day.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Manager has been appointed by the Company as its agent to sell the Issuance Securities and agrees to use commercially reasonable efforts to sell the Issuance Securities offered by the Company upon the terms and subject to the conditions contained herein. The Forward Seller agrees with the Company and the Forward Purchaser to use commercially reasonable efforts to sell the Forward Hedge Securities to be borrowed by the Forward Purchaser upon the terms and subject to the conditions contained herein. Notwithstanding any other provision of this Agreement, if a Forward Seller and Forward Purchaser have not been identified in the introductory paragraph of this Agreement and have not executed this Agreement, the Company agrees that all provisions of this Agreement related to the Forward Seller, the Forward Purchaser and Forwards are not applicable hereunder and no sales of Forward Hedge Securities shall take place pursuant to this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also entered into separate equity distribution agreements(collectively,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(i) dated as of November 12, 2024, as amended on April 29, 2026, with each of A.G.P./Alliance Global Partners, B. Riley Securities, Inc., Robert W. Baird &amp; Co., Incorporated, Jefferies LLC, JonesTrading Institutional Services LLC, KeyBanc Capital Markets Inc., Lucid Capital Markets, LLC, Raymond James &amp; Associates, Inc., Regions Securities LLC, Truist Securities, Inc. and Wells Fargo Securities, LLC and</w:t>
      </w:r>
    </w:p>
    <w:p>
      <w:pPr>
        <w:spacing w:after="0" w:line="3" w:lineRule="exact"/>
        <w:rPr>
          <w:sz w:val="20"/>
          <w:szCs w:val="20"/>
          <w:color w:val="auto"/>
        </w:rPr>
      </w:pPr>
    </w:p>
    <w:p>
      <w:pPr>
        <w:jc w:val="both"/>
        <w:ind w:firstLine="8"/>
        <w:spacing w:after="0" w:line="260" w:lineRule="auto"/>
        <w:tabs>
          <w:tab w:leader="none" w:pos="2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as of April 29, 2026, with Cantor Fitzgerald &amp; Co. and Huntington Securities, Inc. (and, as applicable, their respective affiliates) (each, in its capacity as agent and/or principal, forward seller and forward purchaser thereunder,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(in the case of the Issuance Securities) or borrowing (in the case of the Forward Hedge Securities) and sale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20" w:hanging="112"/>
        <w:spacing w:after="0"/>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applicable EDA.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PLACEMENTS.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Upon the terms and subject to the conditions of this Agreement, on any Trading Day as provided in Section 2(c) hereof during the Commitment Period on which (i) the conditions set forth in Section 9 hereof have been satisfied and (ii) with respect to any Forward, no event described in clause (x) or clause (y) of the proviso contained in the definition of Forward Hedge Selling Period shall have occurred, the Company wishes to issue (in the case of an Issuance) and sell the Securities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by delivery of an email notice (or other method mutually agreed to in writing by the parties) to the Manager (in the case of an Issuance) or the Forward Seller and the Forward Purchaser (in the case of a Forward) containing the parameters in accordance with which it desires the Securities to be sold, which shall at a minimum specify whether it relates to an “Issuance” or a “Forward” and include the number of Securities to be issued (in the case of an Issuance) and/or sold (the “</w:t>
      </w:r>
      <w:r>
        <w:rPr>
          <w:rFonts w:ascii="Times New Roman" w:cs="Times New Roman" w:eastAsia="Times New Roman" w:hAnsi="Times New Roman"/>
          <w:sz w:val="18"/>
          <w:szCs w:val="18"/>
          <w:u w:val="single" w:color="auto"/>
          <w:color w:val="auto"/>
        </w:rPr>
        <w:t>Placement Securities</w:t>
      </w:r>
      <w:r>
        <w:rPr>
          <w:rFonts w:ascii="Times New Roman" w:cs="Times New Roman" w:eastAsia="Times New Roman" w:hAnsi="Times New Roman"/>
          <w:sz w:val="18"/>
          <w:szCs w:val="18"/>
          <w:color w:val="auto"/>
        </w:rPr>
        <w:t>”), the time period during which sales are requested to be made, any limitation on the number of Securities that may be sold in any one day, any minimum price below which sales may not be made or a formula pursuant to which such minimum price shall be determined and, as applicable, certain specified terms of the Forward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a form of which containing such minimum sales parameters necessary with respect to Issuances and Forwards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 from time to time.</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If the Manager or the Forward Seller and the Forward Purchaser, as applicable, wish to accept such proposed terms included in the Placement Notice (which they may decline to do for any reason in their sole discretion) or, following discussion with the Company, wish to accept amended terms, the Manager or the Forward Seller and the Forward Purchaser, as applicable, will, prior to 4:30 p.m. (New York City Time) on the business day following the business day on which such Placement Notice is delivered to the Manager or the Forward Seller and the Forward Purchaser, as applicable, issue to the Company a notice by email (or other method mutually agreed to in writing by the parties) addressed to all of the individuals from the Company and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setting forth the terms that the Manager or the Forward Seller and the Forward Purchaser, as applicable, are willing to accept. Where the terms provided in the Placement Notice are amended as provided for in the immediately preceding sentence, such terms will not be binding on the Company or the Manager or the Forward Seller and the Forward Purchaser, as applicable, until the Company delivers to the Manager or the Forward Seller and the Forward Purchaser, as applicable,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which email shall be addressed to all of the individuals from the Company and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Placement Notice (as amended by the corresponding Acceptance, if applicable) shall be effective upon receipt by the Company of the Manager’s or the Forward Seller’s and the Forward Purchaser’s, as applicable, acceptance of the terms of the Placement Notice or upon receipt by the Manager or the Forward Seller and the Forward Purchaser, as applicable, of the Company’s Acceptance, as the case may be, unless and until (i) the entire amount of the Placement Securities has been sold, (ii) in accordance with the notice requirements set forth in the second sentence of the prior paragraph, the Company terminates the Placement Notice,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termination of the effectiveness of a Placement Notice as set forth in the prior sentence shall not affect or impair any party’s obligations with respect to any Securities sold hereunder prior to such termination or any Securities sold under any Alternative Distribution Agreement (including, in the case of any Forward Hedge Securities, the obligation to enter into the resulting Forward Contract). It is expressly acknowledged and agreed that neither the Company nor the Manager will have any obligation whatsoever with respect to a Placement or any Placement Securities unless and until the Company delivers a Placement Notice to the Manager and either (i) the Manager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It is expressly acknowledged and agreed that the Company, the Forward Seller and the Forward Purchaser will have no obligation whatsoever with respect to a Placement or any Placement Securities unless and until the Company delivers a Placement Notice to the Forward Seller and the Forward Purchaser and either (i) the Forward Seller and the Forward Purchaser accept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Master Forward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No Placement Notice may be delivered hereunder other than on a Trading Day during the Commitment Period; no Placement Notice may be delivered hereunder if the Selling Period specified therein may overlap in whole or in part with any Selling Period specified in a Placement Notice (as amended by the corresponding Acceptance, if applicable) delivered hereunder or under any Alternative Distribution Agreement unless the Securities to be sold under all such previously delivered Placement Notices have all been sold or all such previously delivered Placement Notices have been terminated or superseded; no Placement Notice may be delivered hereunder or under any Alternative Distribution Agreement if any Selling Period specified therein may overlap in whole or in part with any Unwind Date under any Forward Contract entered into between the Company and the Forward Purchaser or any Alternative Manager; and no Placement Notice specifying that it relates to a “Forward” may be delivered if such Placement Notice, together with all prior Placement Notices (as amended by the corresponding Acceptance, if applicable) delivered by the Company relating to a “Forward” hereunder and under any Alternative Distribution Agreements, would result in the sum of the number of shares of Common Stock issued under all Forward Contracts (whether with a Forward Purchaser or any Alternative Manager) that have settled, plus the Capped Numbers under all Forward Contracts then outstanding or to be entered into between the Company and the Forward Purchaser and any Forward Contracts then outstanding between the Company and any Alternative Manager exceeding 19.99% of the number of shares of Common Stock outstanding as of the date of this Agreement.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any notice required to be delivered by the Company or by the Manager (in the case of an Issuance) or the Forward Seller and the Forward Purchaser (in the case of a Forward) pursuant to this Section 2 may be delivered by telephone (confirmed promptly by facsimile or email addressed to all of the individuals from the Company and the Manager (in the case of an Issuance) or the Forward Seller and the Forward Purchaser (in the case of a Forward)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confirmation will be promptly acknowledged by the receiving party) or other method mutually agreed to in writing by the parties. For the avoidance of doubt, notices delivered by telephone shall originate from any of the individuals from the Company or the Manager (in the case of an Issuance) or the Forward Seller and the Forward Purchaser (in the case of a Forward)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SALE OF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provisions of Sections 2(b) and 6(a), upon the delivery of a Placement Notice (as amended by the corresponding Acceptance, if applicable) specifying that it relates to an “Issuance,” the Manager will use its commercially reasonable efforts consistent with its normal trading and sales practices to sell the Issuance Securities at market prevailing prices up to the amount specified, and otherwise in accordance with the terms of such Placement Notice (as amended by the corresponding Acceptance, if applicable). The Manager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corresponding Aggregate Sales Price, the compensation payable by the Company to the Manager pursuant to this Section 3(a) with respect to such sales, and the Net Proceeds payable to the Company, with an itemization of deductions made by the Manager (as set forth in Section 6(b)) from the gross proceeds that it receives from such sales. The amount of any commission, discount or other compensation to be paid by the Company to the Manager, when the Manager is acting as agent, in connection with the sale of the Issuance Securities shall be determined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amount of any commission, discount or other compensation to be paid by the Company to the Manager, when the Manager is acting as principal, in connection with the sale of the Issuance Securities shall be as separately agreed among the parties hereto at the time of any such sales.</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(b)           Subject to the provisions of Sections 2(b), 6(d) and the Master Forward Confirmation, upon the delivery of a Placement Notice (as amended by the corresponding Acceptance, if applicable) specifying that it relates to a “Forward,” the Forward Purchaser will use commercially reasonable efforts to borrow, offer and sell Forward Hedge Securities through the Forward Seller to hedge the Forward, and the Forward Seller will use its commercially reasonable efforts consistent with its normal trading and sales practices to sell such Forward Hedge Securities at market prevailing prices up to the Forward Hedge Amount specified in such Placement Notice (as amended by the corresponding Acceptance, if applicable), and otherwise in accordance with the terms of such Placement Notice (as amended by the corresponding Acceptance, if applicable). The Forward Seller will provide written confirmation by email to all of the individuals from the Company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may be amended from time to time) and to the Forward Purchaser no later than the opening of the Trading Day immediately following each Trading Day on which it has made sales of Forward Hedge Securities hereunder setting forth the number of Forward Hedge Securities sold on such day, the Forward Hedge Selling Commission in respect of such Forward Hedge Securities, the corresponding Aggregate Sales Price and the Aggregate Forward Hedge Price payable to the Forward Purchaser in respect thereof.</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(c)           No later than the opening of the Trading Day immediately following the last Trading Day of each Forward Hedge Selling Period (or, if earlier, no later than the opening of the Trading Day immediately following the date on which any Forward Hedge Selling Period is suspended or terminated pursuant to Section 4 or the Forward Contract or this Agreement is terminated pursuant to Section 9 or Section 13 hereof), the Forward Purchaser shall execute and deliver to the Company a “Supplemental Confirmation” in respect of the Forward for such Forward Hedge Selling Period, which “Supplemental Confirmation” shall set forth the “Trade Date” for such Forward (which shall, subject to the terms of the Master Forward Confirmation, be the last Trading Day of such Forward Hedge Selling Period), the “Effective Date” for such Forward (which shall, subject to the terms of the Master Forward Confirmation, be the date one Settlement Cycle (as such term is defined in the Master Forward Confirmation) immediately following the last Trading Day of such Forward Hedge Selling Period), the initial “Number of Shares” for such Forward (which shall be the Actual Sold Forward Amount for such Forward Hedge Selling Period), the “Maturity Date” for such Forward (which shall, subject to the terms of the Master Forward Confirmation, be the date that follows the last Trading Day of such Forward Hedge Selling Period by the number of days or months set forth opposite the caption “Term” in the Placement Notice (as amended by the corresponding Acceptance, if applicable) for such Forward, which number of days or months shall in no event be less than three months nor more than two years), the “Initial Forward Price” for such Forward, the “Spread” for such Forward (as set forth in the related Placement Notice (as amended by the corresponding Acceptance, if applicable)), the “Volume-Weighted Hedge Price” for such Forward, the “Threshold Price” for such Forward, the “Initial Stock Loan Rate” for such Forward (as set forth in the related Placement Notice (as amended by the corresponding Acceptance, if applicable)), the “Maximum Stock Loan Rate” for such Forward (as set forth in the related Placement Notice (as amended by the corresponding Acceptance, if applicable)), the “Forward Price Reduction Dates” for such Forward (which shall be each of the dates set forth below the caption “Forward Price Reduction Dates” in the Placement Notice (as amended by the corresponding Acceptance, if applicable) for such Forward) and the “Forward Price Reduction Amounts” corresponding to such Forward Price Reduction Dates (which shall be each amount set forth opposite each “Forward Price Reduction Date” and below the caption “Forward Price Reduction Amounts” in the Placement Notice (as amended by the corresponding Acceptance, if applicable) for such Forward) and the “Regular Dividend Amounts” for such Forward (which shall be each of the amount(s) set forth below the caption “Regular Dividend Amounts” in the Placement Notice (as amended by the corresponding Acceptance, if applicable) for such Forward).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anything herein to the contrary, the Forward Purchaser’s obligation to use its commercially reasonable efforts to borrow all or any portion of the Forward Hedge Securities (and the Forward Seller’s obligation to use its commercially reasonable efforts to sell such portion of the Forward Hedge Securities) for any Forward hereunder shall be subject in all respects to the last paragraph of Section 3 of the Master Forward Confirmation.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Securities may be offered and sold by any method permitted by law deemed to be an “at the market” offering as defined in Rule 415, including without limitation sales made directly on the NYSE, on any other existing trading market for the Common Stock or to or through a market maker, or subject to the terms of the Placement Notice (as amended by the corresponding Acceptance, if applicable), by any other method permitted by law, including but not limited to, privately negotiated transactions.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SUSPENSION OF SALES.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the Manager or the Forward Seller or the Forward Purchaser may, upon notice to the other parties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suspend any sale of Securities, and the applicable Selling Period shall immediately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and termination shall not affect or impair any party’s obligations with respect to any Securities sold hereunder prior to the receipt of such notice or any Securities sold under any Alternative Distribution Agreement (including, in the case of any Forward Hedge Securities, the obligation to enter into the resulting Forward Contract). The Company agrees that no such notice under this Section 4 shall be effective against the Manager, the Forward Seller or the Forward Purchaser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Each of the Manager, the Forward Seller and the Forward Purchaser agrees that no such notice shall be effective against the Company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provided that the failure by the Manager, the Forward Seller or the Forward Purchaser to deliver such notice shall in no way effect such party’s right to suspend the sale of Securities hereunder.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Manager as of the date hereof and as of each Representation Date (as defined below) on which certificates are required to be delivered pursuant to Section 7(o) hereof, as of each Applicable Time and as of each Settlement Date,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Company satisfies all of the requirements of the Securities Act for use of Form S-3 for the offering of Securities contemplated hereby and has prepared and filed with the Commission the Registration Statement on Form S-3 (File No. 333-282678). The Registration Statement has been declared effective by the Commission. No stop order suspending the effectiveness of the Registration Statement has been issued by the Commission, and no proceeding for that purpose or pursuant to Section 8A of the Securities Act has been initiated against the Company or, to the knowledge of the Company, threatened by the Commission.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At the time of filing of the Registration Statement, at the time of the most recent amendment thereto for the purposes of complying with Section 10(a)(3) of the Securities Act (whether such amendment was by post-effective amendment, incorporated report filed pursuant to Sections 13 or 15(d) of the Exchange Act or form of prospectus), at the earliest time thereafter that the Company or another offering participant made a bona fide offer (within the meaning of Rule 164(h)(2) under the Securities Act) of the Common Stock, on the date hereof and on each Representation Date, as of each Applicable Time and as of each Settlement Date, the Company was not, is not and will not be (as the case may be) an “ineligible issuer” (as defined in Rule 405).</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The Registration Statement and the Prospectus, when filed and as of their respective dates, complied in all material respects with the Securities Act and, if filed by electronic transmission pursuant to EDGAR (except as may be permitted by Regulation S-T under the Securities Act), was identical to the copies thereof delivered to the Manager and Forward Seller for use in connection with the offer and sale of the Securities. The Registration Statement and any post-effective amendment thereto, at the time it became effective and each deemed effective date with respect to the Manager and Forward Seller pursuant to Rule 430B(f)(2) under the Securities Act and at each Settlement Date, complied and will comply in all material respects with the Securities Act and did not and will not contain any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by or on behalf of the Manager or the Forward Seller specifically for inclusion therein.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Any documents incorporated by reference into the Registration Statement and the Prospectus pursuant to Item 12 of Form S-3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heretofore filed, when they were filed (or, if any amendment with respect to any such document was filed, when such amendment was filed), conformed in all material respects with the requirements of the Exchange Act and the rules and regulations thereunder, and any further Incorporated Documents so filed will, when they are filed, conform in all material respects with the requirements of the Exchange Act and the rules and regulations thereunder; no such Incorporated Document when it was filed (or, if an amendment with respect to any such document was filed, when such amendment was filed), contained an untrue statement of a material fact or omitted to state a material fact necessary to make the statements therein, in light of the circumstances under which they were made, not misleading; and no such further Incorporated Document, when it is filed, will contain an untrue statement of a material fact or will omit to state a material fact required to be stated therein or necessary in order to make the statements therein not misleading.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Prospectus does not and will not, as of its date and on each Representation Date, as of each Applicable Time and as of each Settlement Date, contain an untrue statement of a material fact or omit to state a material fact necessary to make the statements therein, in light of the circumstances under which they were made, not misleading; provided that no representation or warranty is made as to information contained in or omitted from the Prospectus in reliance upon and in conformity with written information furnished to the Company by or on behalf of the Manager or the Forward Seller specifically for inclusion therein.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            Each Issuer Free Writing Prospectus (including, without limitation, any “road show” (as defined in Rule 433) that is a free writing prospectus under Rule 433) did not contain an untrue statement of a material fact or omit to state a material fact necessary to make the statements therein, in light of the circumstances under which they were made, not misleading.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Each Issuer Free Writing Prospectus conformed or will conform in all material respects to the requirements of the Securities Act on the date of first use, and the Company has complied with all of its prospectus delivery and any filing requirements applicable to such Issuer Free Writing Prospectus pursuant to the Securities Act. The Company has not made any offer relating to the Securities that would constitute an Issuer Free Writing Prospectus without the prior written consent of the Manager. The Company has retained in accordance with the Securities Act all Issuer Free Writing Prospectuses that were not required to be filed pursuant to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Company has not distributed and, prior to the later to occur of each Settlement Date and completion of the distribution of the Securities, will not distribute any offering material in connection with the offering or sale of the Securities other than the Registration Statement and the Prospectus and any Issuer Free Writing Prospectus to which the Manager has consented, which consent will not be unreasonably withheld or delayed, or that is required by applicable law or the listing maintenance requirements of the NYSE.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A number of shares of Common Stock equal to the Capped Number (as defined in the Forward Contract) have been duly authorized and reserved for issuance upon settlement of the Forward Contract and, when issued and delivered by the Company to the Forward Purchaser pursuant thereto, against payment of any consideration required to be paid by the Forward Purchaser pursuant to the terms of the Forward Contract, the shares of Common Stock so issued and delivered will be validly issued, fully paid and non-assessable, free and clear of any pledge, lien, encumbrance, security interest or other claim, and the issuance of such shares of Common Stock will not be subject to any preemptive or other similar rights arising by operation of law, under the articles of incorporation, bylaws or other organizational documents of the Company or any one of its subsidiaries or under any agreement to which the Company or any one of its subsidiaries is a party or otherwise, except as set forth in the Registration Statement and the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The Company has been duly incorporated and is validly existing as a corporation in good standing under the laws of the State of Maryland and has the requisite corporate power and authority to own, lease and operate its properties (the “</w:t>
      </w:r>
      <w:r>
        <w:rPr>
          <w:rFonts w:ascii="Times New Roman" w:cs="Times New Roman" w:eastAsia="Times New Roman" w:hAnsi="Times New Roman"/>
          <w:sz w:val="18"/>
          <w:szCs w:val="18"/>
          <w:u w:val="single" w:color="auto"/>
          <w:color w:val="auto"/>
        </w:rPr>
        <w:t>Company 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to enter into and perform its obligations under this Agreement. The Company is duly qualified as a foreign corporation to transact business and is in good standing in each other jurisdiction in which such qualification is required, except where the failure to so qualify or to be in good standing would not, individually or in the aggregate, reasonably be expected to have a material adverse effect on the condition (financial or otherwise), business, properties, assets, net worth, results of operations or prospects of the Company and its subsidiaries, taken as a whole (a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Each subsidiary of the Company has been duly incorporated or formed and is validly existing in good standing under the laws of the jurisdiction of its incorporation or formation, and each such subsidiary has the requisite corporate or similar power and authority to own, lease and operate its properties (collectively, with the Company Properties,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is duly qualified to transact business and is in good standing in each other jurisdiction in which such qualification is required, except where the failure to so qualify or to be in good standing would not, individually or in the aggregate, reasonably be expected to have a Material Adverse Effect. Except as otherwise disclosed in the Registration Statement and the Prospectus, all of the outstanding shares of capital stock or other ownership interests of each subsidiary of the Company have been duly authorized and validly issued, are (as applicable) fully paid and nonassessable and are owned by the Company, directly or indirectly through subsidiaries, free and clear of any security interests, liens, encumbrances, equities or claims. None of the outstanding shares of capital stock or other ownership interests of any subsidiary of the Company was issued in violation of the preemptive or similar rights of the securityholder of such subsidiary.</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The authorized capitalization of the Company is as set forth in the Registration Statement and the Prospectus as of the dates indicated therein. All the outstanding shares of capital stock of the Company have been duly authorized and validly issued and are fully paid and nonassessable. None of the outstanding shares of capital stock of the Company was issued in violation of the preemptive or similar rights of any securityholder of the Company. Except as described in the Registration Statement and the Prospectus, there are no outstanding options, warrants or similar rights to subscribe for, or contractual obligations to issue, sell, transfer or acquire, any shares of capital stock of the Company or any securities convertible into or exercisable or exchangeable for any shares of capital stock of the Company. The Securities to be issued and sold by the Company pursuant to this Agreement have been duly authorized and, when issued and delivered against full payment therefor in accordance with the terms hereof, will be validly issued, fully paid and nonassessable and will not be issued in violation of the preemptive or similar rights of any securityholder of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Except as disclosed in the Registration Statement and the Prospectus, the Company has no outstanding stock options or other equity-based awards of or to purchase shares of Common Stock pursuant to an equity-based compensation plan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This Agreement has been duly authorized, executed and delivered by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This Agreement constitutes a valid and binding agreement of the Company, enforceable against the Company in accordance with its terms, except as may be limited by bankruptcy, insolvency, fraudulent transfer, reorganization, moratorium or similar laws affecting creditors’ rights generally or by general principles of equity, and except to the extent that any indemnification and contribution provisions hereof may be limited by federal or state securities laws or public policy considerations in respect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There are no legal or governmental proceedings pending or, to the knowledge of the Company, threatened, against the Company or any of its subsidiaries or to which the Company or any of its subsidiaries or any of the Properties are subject, that are required to be described in the Registration Statement and the Prospectus (or any amendment or supplement thereto) but are not described as required. Except as described in the Registration Statement and the Prospectus, there are no actions, suits, inquiries, proceedings or investigations by or before any court or governmental or other regulatory or administrative agency or commission pending or, to the knowledge of the Company, threatened against or involving the Company or any of its subsidiaries, which would, individually or in the aggregate, reasonably be expected to have a Material Adverse Effect or prevent or adversely affect the transactions contemplated by this Agreement or the Forward Contract, nor, to the knowledge of the Company, is there any basis for any such action, suit, inquiry, proceeding or investigation. There are no agreements, contracts, indentures, leases or other instruments that are required to be described in the Registration Statement and the Prospectus (or any amendment or supplement thereto) or to be filed as an exhibit to the Registration Statement that are not so described or filed. The Company has not received notice or been made aware that any other party is in breach of or default to the Company or the applicable subsidiary under any of such contracts.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           None of the Company or any of its subsidiaries: is (i) in violation of (A) its articles of incorporation, bylaws, certificate of formation, limited liability company agreement, certificate of limited partnership, partnership agreement or other organizational document, (B) any federal, state or foreign law, ordinance, administrative or governmental rule or regulation applicable to the Company or any of its subsidiaries, or (C) any decree of any federal, state or foreign court or governmental agency or body having jurisdiction over the Company or any of its subsidiaries, except, in the case of</w:t>
      </w:r>
    </w:p>
    <w:p>
      <w:pPr>
        <w:spacing w:after="0" w:line="3" w:lineRule="exact"/>
        <w:rPr>
          <w:sz w:val="20"/>
          <w:szCs w:val="20"/>
          <w:color w:val="auto"/>
        </w:rPr>
      </w:pPr>
    </w:p>
    <w:p>
      <w:pPr>
        <w:jc w:val="both"/>
        <w:ind w:firstLine="8"/>
        <w:spacing w:after="0" w:line="252" w:lineRule="auto"/>
        <w:tabs>
          <w:tab w:leader="none" w:pos="2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for violations that would not, individually or in the aggregate, reasonably be expected to have a Material Adverse Effect; or (ii) in default in the performance of any obligation, agreement or condition contained in (A) any bond, debenture, note or any other evidence of indebtedness or (B) any agreement, contract, indenture, lease or other instrument (each of (A) and (B), an “</w:t>
      </w:r>
      <w:r>
        <w:rPr>
          <w:rFonts w:ascii="Times New Roman" w:cs="Times New Roman" w:eastAsia="Times New Roman" w:hAnsi="Times New Roman"/>
          <w:sz w:val="18"/>
          <w:szCs w:val="18"/>
          <w:u w:val="single" w:color="auto"/>
          <w:color w:val="auto"/>
        </w:rPr>
        <w:t>Existing Instrument</w:t>
      </w:r>
      <w:r>
        <w:rPr>
          <w:rFonts w:ascii="Times New Roman" w:cs="Times New Roman" w:eastAsia="Times New Roman" w:hAnsi="Times New Roman"/>
          <w:sz w:val="18"/>
          <w:szCs w:val="18"/>
          <w:color w:val="auto"/>
        </w:rPr>
        <w:t>”) to which the Company or any of its subsidiaries is a party or by which any of their properties may be bound, except for such defaults which would not, individually or in the aggregate, reasonably be expected to have a Material Adverse Effect; and there does not exist any state of facts that constitutes an event of default on the part of the Company or any of its subsidiaries as defined in such documents or that, with notice or lapse of time or both, would constitute such an event of default.</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(r)            Except as otherwise disclosed in the Registration Statement or the Prospectus, (i) the Company and its subsidiaries and the Properties have been and are in compliance with, and none of the Company or its subsidiaries has any liability under, applicable Environmental Laws (as hereinafter defined), except as would not, individually or in the aggregate, reasonably be expected to have a Material Adverse Effect, (ii) none of the Company, its subsidiaries, or, to the knowledge of the Company, the prior owners or occupants of the Properties has at any time released (as such term is defined in Section 101(22) of the Comprehensive Environmental Response, Compensation and Liability Act of 1980, as amended, 42 U.S.C. §§ 9601-9675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or otherwise disposed of Hazardous Materials (as hereinafter defined) on, to or from the Properties, except for such releases or dispositions which would not, individually or in the aggregate, reasonably be expected to have a Material Adverse Effect, (iii) the Company does not intend to use the Properties other than in compliance with applicable Environmental Laws, except as would not, individually or in the aggregate, reasonably be expected to have a Material Adverse Effect, (iv) the Company does not know of any seepage, leak, discharge, release, emission, spill, or dumping of Hazardous Materials into waters (including, but not limited to, groundwater and surface water) on or beneath the Properties, or onto lands owned by the Company or its subsidiaries from which Hazardous Materials might seep, flow or drain into such waters, except as would not, individually or in the aggregate, reasonably be expected to have a Material Adverse Effect, (v) none of the Company or its subsidiaries has received any notice of, and the Company has no knowledge of any occurrence or circumstance which, with notice or passage of time or both, would give rise to a claim under or pursuant to any Environmental Law with respect to the Properties or arising out of the conduct of the Company or its subsidiaries, except for such claims which would not, individually or in the aggregate, reasonably be expected to have a Material Adverse Effect and which would not require disclosure pursuant to Environmental Laws and (vi) the Properties are not included or, to the knowledge of the Company, proposed for inclusion on the National Priorities List issued pursuant to CERCLA by the United States Environmental Protection Agency or, to the knowledge of the Company proposed for inclusion on any similar list or inventory issued pursuant to any other applicable Environmental Law or issued by any other governmental authority. Except as described in the Registration Statement and the Prospectus, to the knowledge of the Company, there have been no and are no (i) aboveground or underground storage tanks, (ii) polychlorinated biphenyls (“</w:t>
      </w:r>
      <w:r>
        <w:rPr>
          <w:rFonts w:ascii="Times New Roman" w:cs="Times New Roman" w:eastAsia="Times New Roman" w:hAnsi="Times New Roman"/>
          <w:sz w:val="18"/>
          <w:szCs w:val="18"/>
          <w:u w:val="single" w:color="auto"/>
          <w:color w:val="auto"/>
        </w:rPr>
        <w:t>PCBs</w:t>
      </w:r>
      <w:r>
        <w:rPr>
          <w:rFonts w:ascii="Times New Roman" w:cs="Times New Roman" w:eastAsia="Times New Roman" w:hAnsi="Times New Roman"/>
          <w:sz w:val="18"/>
          <w:szCs w:val="18"/>
          <w:color w:val="auto"/>
        </w:rPr>
        <w:t>”) or PCB-containing equipment, (iii) asbestos or asbestos containing materials, (iv) lead based paints, (v) dry-cleaning facilities, or (vi) wet lands, in each case in, on, or under any of the Properties the existence of which has had, or is reasonably expected to have, a Material Adverse Effect.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           As used herein, “</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include, without limitation, any flammable explosives, radioactive materials, hazardous materials, hazardous wastes, toxic substances, including asbestos or any hazardous material as defined by any applicable federal, state or local environmental law, ordinance, statute, rule or regulation including, without limitation, CERCLA, the Hazardous Materials Transportation Act, as amended, 49 U.S.C. §§ 5101-5128, the Solid Waste Disposal Act, as amended, 42 U.S.C. §§ 6901-6992k, the Emergency Planning and Community Right-to-Know Act of 1986, 42 U.S.C. §§ 11001-11050, the Toxic Substances Control Act, 15 U.S.C. §§ 2601-2692, the Federal Insecticide, Fungicide and Rodenticide Act, 7 U.S.C. §§ 136-136y, the Clean Air Act, 42 U.S.C. §§ 7401-7671q, the Clean Water Act (Federal Water Pollution Control Act), 33 U.S.C. §§ 1251-1387, the Safe Drinking Water Act, 42 U.S.C. §§ 300f-300j-26, and the Occupational Safety and Health Act, 29 U.S.C. §§ 651-678, as any of the above statutes may be amended from time to time, and in the regulations promulgated pursuant to any of the foregoing (including environmental statutes not specifically defined herein) (individually, an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or by any federal, state or local governmental authority having or claiming jurisdiction over the Properties and other assets described in the Registration Statement and the Prospectus.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            Except as would not, individually or in the aggregate, reasonably be expected to result in a Material Adverse Effect, (i) to the knowledge of the Company, there has been no security breach or other security compromise of or relating to the Company’s information technology and computer systems, networks, hardware, software, data, trade secrets, or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(ii) the Company’s IT Systems are adequate for, and operate and perform as required in connection with, the operation of the business of the Company as currently conducted and are free and clear of all bugs, errors, defects, Trojan horses, time bombs, malware and other corruptants; and (iii) the Company is presently in compliance with all applicable laws, regulations, contractual obligations and internal policies relating to data privacy and security or personally identifiable information.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Neither the issuance and sale of the Securities by the Company nor the execution, delivery and performance of this Agreement and the Forward Contract by the Company (i) requires any consent, approval, authorization or other order of or registration or filing with, any court, regulatory body, administrative agency or other governmental body, agency or official, except such as have been already obtained or may be required under the Securities Act, the Exchange Act, the rules of the NYSE, state securities or Blue Sky laws and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(ii) conflicts with or will conflict with or constitutes or will constitute a breach of, or a default under, the organizational documents of the Company or any of its subsidiaries, (iii) constitutes or will constitute a breach of, or a default under, any Existing Instrument to which the Company or any of its subsidiaries is a party or by which any of their properties may be bound, (iv) violates any statute, law, regulation, ruling, filing, judgment, injunction, order or decree applicable to the Company or any of its subsidiaries or any of their properties, or (v) results in a breach of, or default or Debt Repayment Triggering Event (as defined below) under, or results in the creation or imposition of any lien, charge or encumbrance upon any property or assets of the Company or any of its subsidiaries pursuant to, or requires the consent of any other party to, any Existing Instrument, except, (A) with respect to the sale of any Securities offered hereunder, such approvals as have been obtained, or will have been obtained before the first Settlement Date under the Securities Act and the Exchange Act, (B) such approvals as may be required in connection with the approval of the listing of the Securities on the NYSE, (C) such consents, approvals, authorizations, orders, registrations or qualifications, if any, as may be required by FINRA and (D) any necessary qualification under the securities or blue sky laws of the various jurisdictions in which the Securities are being offered by the Manager, the Forward Seller or Forward Purchaser, as applicable, and, with respect to clauses (ii), (iii), (iv) and (v), such conflicts, breaches, defaults, violations, liens, charges or encumbrances that would not, individually or in the aggregate, reasonably be expected to have a Material Adverse Effect. As used herein, a “</w:t>
      </w:r>
      <w:r>
        <w:rPr>
          <w:rFonts w:ascii="Times New Roman" w:cs="Times New Roman" w:eastAsia="Times New Roman" w:hAnsi="Times New Roman"/>
          <w:sz w:val="18"/>
          <w:szCs w:val="18"/>
          <w:u w:val="single" w:color="auto"/>
          <w:color w:val="auto"/>
        </w:rPr>
        <w:t>Debt Repayment Triggering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Grant Thornton LLP, who has certified certain financial statements and supporting schedules filed as part of the Registration Statement and the Prospectus, is an independent registered public accounting firm as required by the Securities Act and the applicable rules and regulations adopted by the Commission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           The financial statements included in the Registration Statement and the Prospectus, together with the related schedules and notes, present fairly in all material respects the financial position of the Company at the dates indicated and the results of operations, changes in equity and cash flows of the Company for the periods specified, and such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presented. Except as included or incorporated by reference in the Registration Statement and the Prospectus, no historical or pro forma financial statements or supporting schedules are required to be included in the Registration Statement or the Prospectus under the Securities Act. All disclosures contained or incorporated by reference in the Registration Statement or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w:t>
      </w:r>
    </w:p>
    <w:p>
      <w:pPr>
        <w:spacing w:after="0" w:line="19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(x)            Except as disclosed in the Registration Statement and the Prospectus, since the date of the most recent audited financial statements included in the Registration Statement and the Prospectus (or any amendment or supplement thereto), (i) none of the Company or any of its subsidiaries has incurred any material liabilities or obligations, indirect, direct or contingent, or entered into any material transaction that is not in the ordinary course of business;</w:t>
      </w:r>
    </w:p>
    <w:p>
      <w:pPr>
        <w:spacing w:after="0" w:line="2" w:lineRule="exact"/>
        <w:rPr>
          <w:sz w:val="20"/>
          <w:szCs w:val="20"/>
          <w:color w:val="auto"/>
        </w:rPr>
      </w:pPr>
    </w:p>
    <w:p>
      <w:pPr>
        <w:jc w:val="both"/>
        <w:ind w:firstLine="8"/>
        <w:spacing w:after="0" w:line="253"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sustained any material loss or interference with its business or properties from fire, flood, windstorm, accident or other calamity, whether or not covered by insurance; (iii) none of the Company or any of its subsidiaries is in default under the terms of any class of capital stock or other equity interests or any outstanding debt obligations, (iv) there has not been any material change in the indebtedness of the Company or its subsidiaries (other than in the ordinary course of business) and (v) there has not been any change, or any development or event involving a prospective change that would, individually or in the aggregate, reasonably be expected to have a Material Adverse Effect.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           The Company has filed with the Commission a registration statement on Form 8-A providing for the registration under the Exchange Act of the Common Stock, which registration is effective. The Securities have been, or prior to the first Settlement Date will be, approved for listing on the NYSE. The Company has taken no action designed to, or which is likely to have the effect of, terminating the registration of the Common Stock under the Exchange Act or delisting the Securities from the NYSE, nor has the Company received any notification that the Commission or the NYSE is contemplating terminating such registration or listing.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           Other than excepted activity pursuant to Regulation M under the Exchange Act, the Company has not taken, directly or indirectly, any action that constituted, or any action designed to, or that might reasonably be expected to cause or result in or constitute, under the Securities Act or otherwise, stabilization or manipulation of the price of any securities of the Company to facilitate the sale or resale of the Securities or for any other purpose.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(aa)         The Company and each of its subsidiaries (A) have paid all federal and material state, local and foreign taxes (whether imposed directly,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withholding or otherwise and including any interest, additions to tax or penalties applicable thereto) required to be paid through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being contested in good faith by appropriate proceedings and for which adequate reserves have been provided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entity, (B) have timely filed all federal and other material tax returns required to be filed through the date hereof, and all such tax returns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true, correct and complete in all material respects, and (C) have established adequate reserves for all taxes that have accrued but are not yet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The charges, accruals and reserves on the books of the Company and each of its subsidiaries in respect of any income and corporation tax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years not finally determined are adequate to meet any assessments or re-assessments for additional income tax for any years not finally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of any inadequacy that would not reasonably be expected to result in a Material Adverse Effect. No tax deficiency has been asserted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Company or its subsidiaries, nor does the Company know of any tax deficiency that could reasonably be asserted and, if determined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entity, could have a Material Adverse Effect.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(bb)         Except as set forth in the Registration Statement and the Prospectus, there are no transactions with “affiliates” (as defined in Rule 405) or any officer, director or securityholder of the Company (whether or not an affiliate) that are required by the Securities Act to be disclosed in the Registration Statement. Additionally, no relationship, direct or indirect, exists between the Company or any of its subsidiaries on the one hand, and the directors, officers, stockholders, borrowers, customers or suppliers of the Company or any of its subsidiaries on the other hand that is required by the Securities Act to be disclosed in the Registration Statement and the Prospectus that is not so disclosed.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         The Company is not, and, after giving effect to the offering and sale of the Securities and the application of the proceeds thereof as described under the caption “Use of Proceeds” in the Prospectus, will not be, required to register as an “investment company” within the meaning of the Investment Company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(dd)         The Company and its subsidiaries have good and marketable title to the Properties, in each case, free and clear of all security interests, mortgages, pledges, liens, encumbrances, claims or equities of any kind other than those that (A) are described in the Registration Statement and the Prospectus or (B) do not, individually or in the aggregate, materially affect the value of such Property and do not materially interfere with the use made and proposed to be made of such Property by the Company and its subsidiaries. Except as described in the Registration Statement and the Prospectus or as would not, individually or in the aggregate, reasonably be expected to have a Material Adverse Effect, (i) the Company and its subsidiaries have valid, subsisting and enforceable leases with the tenants of the Properties, (ii) no third party has an option or right of first refusal to purchase any of the Properties other than those that have been properly waived, (iii) the use and occupancy of each of the Properties complies with all applicable codes, zoning laws and regulations, and (iv) the Company has no knowledge of any pending or threatened condemnation or zoning change that will in any material respect affect the size of, use of, improvements of, construction on, or access to any of the Properties.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(ee)         Except as disclosed in the Registration Statement and the Prospectus, the mortgages and deeds of trust encumbering the Properties are not convertible nor will the Company or any of its subsidiaries hold a participating interest therein and such mortgages and deeds of trust are not cross-defaulted or cross-collateralized to any property not owned directly or indirectly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(ff)           The Company and its subsidiaries have all permits, licenses, franchises, approvals, consents and authorizations of governmental or regulatory authorities (hereinafter “</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as are necessary to own the Properties and to conduct their business in the manner described in the Registration Statement and the Prospectus, subject to such qualifications as may be set forth in the Registration Statement and the Prospectus, except where the failure to have obtained any such permits would not, individually or in the aggregate, reasonably be expected to have a Material Adverse Effect; the Company and each of its subsidiaries has operated and is operating its business in material compliance with and not in material violation of its obligations with respect to each such permit and, to the knowledge of the Company, no event has occurred that allows, or after notice or lapse of time would allow, revocation or termination of any such permit or result in any other material impairment of the rights of any such permit.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(gg)         The Company and its subsidiaries maintain systems of “internal control over financial reporting” (as defined in Rule 13a-15 and Rule 15d-15 under the Exchange Act) and a system of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authorizations and (iv) the recorded accountability for assets is compared with existing assets at reasonable intervals and appropriate action is taken with respect to any differences. Except as described in the Registration Statement and the Prospectus, there has been no (1)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maintains “disclosure controls and procedures” (as defined in Rule 13a-15(e) under the Exchange Act) to the extent required by such rule.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(hh)         No material labor disturbance by or dispute with employees of the Company or any of its subsidiaries exists or, to the knowledge of the Company, is threatened, and none of the Company or any of its subsidiaries is aware of any existing or imminent labor disturbance by, or dispute with, the employees of any of the Company’s or subsidiary’s principal suppliers, contractors or customers, except as would not reasonably be expected, individually or in the aggregate, to have a Material Adverse Effect; neither the Company nor any of its subsidiaries has received written notice of any violation, or, to the Company’s knowledge, is in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individually or in the aggregate, would reasonably be expected to have a Material Adverse Effect.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The principal executive officer and principal financial officer of the Company have made all certifications required by the Sarbanes-Oxley Act and any related rules and regulations promulgated by the Commission of which the Company is required to comply, and the statements contained in each such certification were complete and correct as of the date of their execution. The Company and its subsidiaries are, and the Company has taken all necessary actions to ensure that the Company’s directors and officers in their capacities as such are, each in compliance in all material respects with all applicable provisions of the Sarbanes-Oxley Act and the rules and regulations of the Commission and the NYSE promulgated thereunder.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(jj)           None of the Company or any of its subsidiaries or, to the knowledge of the Company, any director, officer, agent, employee or affiliate of the Company or any of its subsidiaries, has taken any action, directly or indirectly, that would result in a violation by such persons of the Foreign Corrupt Practices Act of 1977, as amended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the rules and regulations thereunder or any similar anti-corruption law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taking any action in furtherance of an offer, payment, promise to pay or authorization of the payment of any money, or other property, gift, promise to give, or authorization of the giving of anything of value to any “foreign official” (as such term is defined in the Foreign Corrupt Practices Act) or any foreign political party or official thereof or any candidate for foreign political office, in contravention of the Anti-Corruption Laws; the Company and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(kk)         None of the Company or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or lend, contribute or otherwise make available such proceeds to any subsidiary, joint venture partner or other person or entity, for the purpose of financing the activities of any person currently subject to any U.S. sanctions administered by OFAC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In addition, none of the Company or any of its subsidiaries or, to the knowledge of the Company, any director, officer, employee, agent or affiliate of the Company, is an individual or entity currently the subject of any sanctions administered or enforced by OFAC, the United Nations Security Council, the European Union or His Majesty’s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comprehensive Sanctions, including, without limitation, Crimea, Cuba, the so-called Donetsk People’s Republic, Iran, the so-called Luhansk People’s Republic and North Korea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The Company will not, directly or indirectly, use the proceeds of the sale of the Securities,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manager, underwriter, advisor, investor or otherwise) of Sanctions. Since their inception, none of the Company or any of its subsidiaries has knowingly engaged in, or is now knowingly engaged in, any dealings or transactions with any person that at the time of the dealing or transaction is or was a Sanctioned Person or with any Sanctioned Country.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(ll)           The operations of the Company and its subsidiaries are and have been conducted at all times in compliance in all material respects with applicable financial recordkeeping and reporting requirements of the Currency and Foreign Transactions Reporting Act of 1970, as amended, the USA PATRIOT Act of 2001, as amended, or the money laundering statutes of all jurisdictions where the Company conducts business (the “</w:t>
      </w:r>
      <w:r>
        <w:rPr>
          <w:rFonts w:ascii="Times New Roman" w:cs="Times New Roman" w:eastAsia="Times New Roman" w:hAnsi="Times New Roman"/>
          <w:sz w:val="18"/>
          <w:szCs w:val="18"/>
          <w:u w:val="single" w:color="auto"/>
          <w:color w:val="auto"/>
        </w:rPr>
        <w:t>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the rules and regulations thereunder and any related or similar rules, regulations or guidelines, issued, administered or enforced by any governmental agency.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(mm)       The Company, prior to the date hereof, has not made any offer or sale of securities, which could be “integrated” for purposes of the Securities Act with the offer and sale of the Securities pursuant to the Registration Statement and the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(nn)         Except as otherwise disclosed in the Registration Statement and the Prospectus, there are no pending or, to the knowledge of the Company, threatened costs or liabilities associated with Environmental Laws (including, without limitation, any capital or operating expenditures required for investigation, clean up, closure of the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(oo)           The Company and its subsidiaries maintain insurance of the types and in the amounts generally deemed adequate by the Company for the business of the Company and its subsidiaries, all of which insurance is in full force and effect in all material respects. Without limiting the generality of the foregoing, except as would not, individually or in the aggregate, reasonably be expected to have a Material Adverse Effect, each of the Company and its subsidiaries carries or is entitled to the benefits of title insurance on the fee interests with respect to each Property with insurers of nationally recognized reputability, in an amount not less than such entity’s purchase price for the real property comprising such Property and as of the date that such entity first acquired the real property comprising such Property, insuring that such party is vested with good and insurable fee to each such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(pp)         Each of the Company and its subsidiaries owns or has the valid right, title and interest in and to, or has valid licenses to use, each material trade name, trade and service marks, trade and service mark registrations, patent, patent applications copyright, licenses, inventions, technology, know-how, approval, trade secret and other similar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business of the Company and its subsidiaries as now conducted or as proposed in the Prospectus to be conducted. There is no claim pending against the Company or any of its subsidiaries with respect to any Intellectual Property and none of the Company or its subsidiaries have received notice or otherwise become aware that any Intellectual Property that such entities use or have used in the conduct of their business infringes upon or conflicts with the rights of any third party. None of the Company or any of its subsidiaries has become aware that any Intellectual Property that it uses or has used in the conduct of its business infringes upon or conflicts with the rights of any third party.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         The Company meets the definition of the term “experienced issuer” specified in FINRA Conduct Rule 5110(j)(6).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(rr)           Except as would not, individually or in the aggregate, reasonably be expected to have a Material Adverse Effect: (i)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established or maintained by the Company and its subsidiaries (each, a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are in compliance with ERISA and all other applicable state and federal laws; (ii) no “reportable event” (as defined in Section 4043(c) of ERISA) has occurred or is reasonably expected to occur with respect to each Plan; (iii) no “employee benefit plan” established or maintained by the Company or its subsidiaries, if such “employee benefit plan” were terminated, would have any “amount of unfunded benefit liabilities” (as defined in ERISA); (iv) none of the Company or any of its subsidiaries has incurred or reasonably expects to incur, any liability under (A) Title IV of ERISA with respect to termination of, or withdrawal from, any Plan or</w:t>
      </w:r>
    </w:p>
    <w:p>
      <w:pPr>
        <w:spacing w:after="0" w:line="2" w:lineRule="exact"/>
        <w:rPr>
          <w:sz w:val="20"/>
          <w:szCs w:val="20"/>
          <w:color w:val="auto"/>
        </w:rPr>
      </w:pPr>
    </w:p>
    <w:p>
      <w:pPr>
        <w:jc w:val="both"/>
        <w:ind w:firstLine="8"/>
        <w:spacing w:after="0" w:line="255" w:lineRule="auto"/>
        <w:tabs>
          <w:tab w:leader="none" w:pos="3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412, 4971, 4975 or 4980B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in respect of a Plan; and (v) each Plan that is intended to be qualified under Section 401(a) of the Code is so qualified and nothing has occurred, whether by action or failure to act, that could reasonably be expected to cause the loss of such qualification.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(ss)         The Company and its subsidiaries have good and marketable title to all personal property owned by them, in each case free and clear of all liens, encumbrances, claims and defects and imperfections of title except those that (i) do not materially interfere with the use made and proposed to be made of such personal property by the Company and its subsidiaries or (ii) would not, individually or in the aggregate,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(tt)           Except as described in the Registration Statement and the Prospectus, none of the Company or any of its subsidiaries is a party to any contract, agreement or understanding with any person (other than this Agreement) that would give rise to a valid claim against the Company or any of its subsidiaries or the Manager for a brokerage commission, finder’s fee or like payment in connection with the offering and sale of the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(uu)         Other than as disclosed in the Registration Statement and the Prospectus, no person has the right to require the Company or any of its subsidiaries to register any securities for sale under the Securities Act by reason of the filing of the Registration Statement with the Commission or the issuance and sale of the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(vv)         Nothing has come to the attention of the Company that has caused the Company to believe that the statistical and market-related data included in the Registration Statement and the Prospectus are not based on or derived from sources that are reliable and accurate in all material respects and, to the extent required, the Company has obtained the written consent to the use of such data from such sources.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(ww)       Commencing with its taxable year ended December 31, 2020, the Company has been organized and operated in conformity with the requirements for qualification and taxation as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under the Code, and the Company’s current and proposed method of operation will enable it to continue to meet the requirements for qualification and taxation as a REIT under the Code for its taxable year ending December 31, 2026 and thereafter. All statements regarding the Company’s qualification and taxation as a REIT and descriptions of the Company’s organization and method of operation set forth in the Registration Statement and the Prospectus are true, complete and correct in all material respects.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          Except as disclosed in the Registration Statement and the Prospectus, the Company is not a party to or otherwise bound by any instrument or agreement that limits or prohibits (whether with or without the giving of notice or the passage of time or both), directly or indirectly, the Company from paying any dividends or making other distributions on its capital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(yy)         No subsidiary of the Company is currently prohibited, directly or indirectly, under any agreement or other instrument to which it is a party or is subject, from paying any dividends to the Company or from making any other distribution on such subsidiary’s capital stock or similar ownership interest, except as would not, individually or in the aggregate, reasonably be expected to have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(zz)          The Shares of Common Stock are “actively traded securities” excepted from the requirements of Rule 101 of Regulation M under the Exchange Act by subsection (c)(1) of such rule.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(aaa)       Except as described in the Registration Statement and the Prospectus, the Company does not (i) have any material lending or other relationship with the Manager or any affiliate of the Manager or (ii) intend to use any of the proceeds from the sale of the Securities to repay any outstanding debt owed to the Manager or any affiliate of the Manager.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(bbb)      The statements included in the Registration Statement and the Prospectus under the headings “Description of Capital Stock,” “Certain Provisions of Maryland Law and of Our Charter and Bylaws,” “Material U.S. Federal Income Tax Considerations,” and “Plan of Distribution,” insofar as such statements summarize legal matters, agreements, documents or proceedings discussed therein, are accurate and fair summaries of such legal matters, agreements, documents or proceedings in all material respects.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(ccc)       No securities issued by the Company or any of its subsidiaries are rated by a “nationally recognized statistical rating organization,” as such term is defined under Section 3(a)(62) of the Exchange Act; provided, however, that the foregoing shall not apply to any rating assigned to any loan investment (or any participation interest therein) held, originated or sold by the Company or any of its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certificate signed by any officer or any authorized representative of the Company and delivered to the Manager, Forward Seller or Forward Purchaser or to counsel for the Manager, Forward Seller or Forward Purchaser pursuant to or in connection with this Agreement shall be deemed a representation and warranty by the Company, as the case may be, to the Manager, Forward Seller or Forward Purchaser as to the matters covered thereby as of the date or dates indicated on such certificate.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SALE AND DELIVERY; SETTLEMENT.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Sale of Issuance Securities.</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Manager’s acceptance of the terms of a Placement Notice specifying that it relates to an “Issuance” or upon receipt by the Manager of an Acceptance, as the case may be, and unless the sale of the Issuance Securities described therein has been declined, suspended, or otherwise terminated in accordance with the terms of this Agreement, the Manager will use its commercially reasonable efforts consistent with its normal trading and sales practices to sell such Issuance Securities at market prevailing prices up to the amount specified, and otherwise in accordance with the terms of such Placement Notice (as amended by the corresponding Acceptance, if applicable). The Company acknowledges and agrees that (i) there can be no assurance that the Manager will be successful in selling Issuance Securities, (ii) the Manager will incur no liability or obligation to the Company or any other person or entity if it does not sell Issuance Securities for any reason other than a failure by the Manager to use its commercially reasonable efforts consistent with its normal trading and sales practices to sell such Issuance Securities as required under this Section 6 and (iii) the Manager shall be under no obligation to purchase Issuance Securities on a principal basis pursuant to this Agreement, except as otherwise agreed by the Manager in the Placement Notice (as amended by the corresponding Acceptance, if applicable).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Settlement of Issuance Securities.</w:t>
      </w:r>
      <w:r>
        <w:rPr>
          <w:rFonts w:ascii="Times New Roman" w:cs="Times New Roman" w:eastAsia="Times New Roman" w:hAnsi="Times New Roman"/>
          <w:sz w:val="18"/>
          <w:szCs w:val="18"/>
          <w:color w:val="auto"/>
        </w:rPr>
        <w:t xml:space="preserve"> Unless otherwise specified in the applicable Placement Notice (as amended by the corresponding Acceptance, if applicable), settlement for sales of Issuance Securities will occur on the first (1st) Trading Day (or such earlier day as is industry practice for regular-way trading) following the date on which such sales are made (each, an “</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The amount of proceeds to be delivered to the Company on an Issuance Settlement Date against receipt of the Issuance Securities sold will be equal to the aggregate offering price received by the Manager at which such Issuance Securities were sold, after deduction for (i) the Manager’s commission, discount or other compensation for such sales payable by the Company pursuant to Section 3 hereof, (ii) any other amounts due and payable by the Company to the Manager hereunder pursuant to Section 8(a) hereof, and (iii)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Issuance Securities</w:t>
      </w:r>
      <w:r>
        <w:rPr>
          <w:rFonts w:ascii="Times New Roman" w:cs="Times New Roman" w:eastAsia="Times New Roman" w:hAnsi="Times New Roman"/>
          <w:sz w:val="18"/>
          <w:szCs w:val="18"/>
          <w:color w:val="auto"/>
        </w:rPr>
        <w:t>. On or before each Issuance Settlement Date, the Company will, or will cause its transfer agent to, electronically transfer the Issuance Securities being sold by crediting the Manager’s or its designee’s account (provided the Manager shall have given the Company written notice of such designee prior to the Issuance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Issuance Settlement Date, the Manager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the Manager harmless against any loss, liability, claim, damage, or expense whatsoever (including reasonable legal fees and expenses), as incurred, arising out of or in connection with such default by the Company or its transfer agent (if applicable) and (ii) pay to the Manager any commission, discount, or other compensation to which it would otherwise have been entitled absent such default. If the Manager breaches this Agreement by failing to deliver the applicable Net Proceeds on any Settlement Date for Issuance Securities delivered by the Company, the Manager will pay the Company interest based on the effective overnight federal funds rate until such proceeds, together with interest, have been fully paid.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Sale of Forward Hedge Securities</w:t>
      </w:r>
      <w:r>
        <w:rPr>
          <w:rFonts w:ascii="Times New Roman" w:cs="Times New Roman" w:eastAsia="Times New Roman" w:hAnsi="Times New Roman"/>
          <w:sz w:val="18"/>
          <w:szCs w:val="18"/>
          <w:color w:val="auto"/>
        </w:rPr>
        <w:t>. On the basis of the representations and warranties herein contained and subject to the terms and conditions in this Agreement and the Master Forward Confirmation, upon the Forward Purchaser’s and the Forward Seller’s acceptance of the terms of a Placement Notice specifying that it relates to a “Forward” or upon receipt by the Forward Purchaser and Forward Seller of an Acceptance, as the case may be, and unless the sale of the Forward Hedge Securities described therein has been declined, suspended, or otherwise terminated in accordance with the terms of this Agreement or the Master Forward Confirmation (including without limitation as a result of any event described in clause (x) or (y) of the proviso contained in the definition of Forward Hedge Selling Period), the Forward Purchaser will use its commercially reasonable efforts to borrow a number of Forward Hedge Securities sufficient to have an Aggregate Sales Price as close as reasonably practicable to the Forward Hedge Amount specified in the Placement Notice (as amended by the corresponding Acceptance, if applicable) and the Forward Seller will use its commercially reasonable efforts consistent with its normal trading and sales practices to sell such Forward Hedge Securities at market prevailing prices, and otherwise in accordance with the terms of such Placement Notice (as amended by the corresponding Acceptance, if applicable). Each of the Company and the Forward Purchaser acknowledges and agrees that (i) there can be no assurance that the Forward Purchaser will be successful in borrowing or that the Forward Seller will be successful in selling Forward Hedge Securities, (ii) the Forward Seller will incur no liability or obligation to the Company, the Forward Purchaser, or any other person or entity if it does not sell Forward Hedge Securities borrowed by the Forward Purchaser for any reason other than a failure by the Forward Seller to use its commercially reasonable efforts consistent with its normal trading and sales practices to sell such Forward Hedge Securities as required under this Section 6, and (iii) the Forward Purchaser will incur no liability or obligation to the Company, the Forward Seller, or any other person or entity if it does not borrow Forward Hedge Securities for any reason other than a failure by the Forward Purchaser to use its commercially reasonable efforts to borrow such Forward Hedge Securities as required under this Section 6. In acting hereunder, the Forward Seller will be acting as agent for the Forward Purchaser and not as principal.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Delivery of Forward Hedge Securities</w:t>
      </w:r>
      <w:r>
        <w:rPr>
          <w:rFonts w:ascii="Times New Roman" w:cs="Times New Roman" w:eastAsia="Times New Roman" w:hAnsi="Times New Roman"/>
          <w:sz w:val="18"/>
          <w:szCs w:val="18"/>
          <w:color w:val="auto"/>
        </w:rPr>
        <w:t>. Unless otherwise specified in the applicable Placement Notice (as amended by the corresponding Acceptance, if applicable), settlement for sales of Forward Hedge Securities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u w:val="single" w:color="auto"/>
          <w:color w:val="auto"/>
        </w:rPr>
        <w:t>Forward Hedge Settlement Date</w:t>
      </w:r>
      <w:r>
        <w:rPr>
          <w:rFonts w:ascii="Times New Roman" w:cs="Times New Roman" w:eastAsia="Times New Roman" w:hAnsi="Times New Roman"/>
          <w:sz w:val="18"/>
          <w:szCs w:val="18"/>
          <w:color w:val="auto"/>
        </w:rPr>
        <w:t>”). On or before each Forward Hedge Settlement Date, the Forward Purchaser will, or will cause its transfer agent to, electronically transfer the Forward Hedge Securities being sold by crediting the Forward Seller or its designee’s account (provided Forward Seller shall have given the Forward Purchaser written notice of such designee prior to the Forward Hedge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Forward Hedge Settlement Date, the Forward Seller will deliver the related Aggregate Forward Hedge Price to the Forward Purchaser in same day funds to an account designated by the Forward Purchaser prior to the relevant Forward Hedge Settlement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xml:space="preserve"> The Securities shall be in such denominations and registered in such names as the Manager or the Forward Seller, as applicable, may request in writing at least one full business day before the Settlement Date. The Company or the Forward Purchaser, as the case may be, shall deliver the Securities, if any, through the facilities of The Depository Trust Company as described in the preceding paragraphs unless the Manager or the Forward Seller, as applicable, shall otherwise instruct.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 effect to the sale of such Securities, the aggregate offering price of the Securities sold pursuant to this Agreement would exceed the lesser of (A) together with (i) all sales of Issuance Securities under this Agreement and each of the Alternative Distribution Agreements and (ii) all Forward Hedge Securities sold under this Agreement and each of the Alternative Distribution Agreements, the Maximum Amount, (B) the amount available for offer and sale under the currently effective Registration Statement, and (C) the amount authorized from time to time to be issued and sold under this Agreement by the Company and notified to the Manager, the Forward Seller and the Forward Purchaser in writing. Under no circumstances shall the Company cause or request the offer or sale of any Securities pursuant to this Agreement at a price lower than the minimum price authorized from time to time by the Company and notified to the Manager in writing. Further, under no circumstances shall the aggregate offering price of Securities sold pursuant to this Agreement and the Alternative Distribution Agreements, including any separate underwriting or similar agreement covering principal transactions described in Section 1 of this Agreement and the Alternative Distribution Agreements, exceed the Maximum Amount.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Limitation on Managers.</w:t>
      </w:r>
      <w:r>
        <w:rPr>
          <w:rFonts w:ascii="Times New Roman" w:cs="Times New Roman" w:eastAsia="Times New Roman" w:hAnsi="Times New Roman"/>
          <w:sz w:val="18"/>
          <w:szCs w:val="18"/>
          <w:color w:val="auto"/>
        </w:rPr>
        <w:t xml:space="preserve"> The Company agrees that any offer to sell, any solicitation of an offer to buy or any sales of Securities shall only be effected by or through only one of the Manager or the Forward Seller, as the case may be, or the respective Alternative Manager on any single given day, but in no event more than one (the “</w:t>
      </w:r>
      <w:r>
        <w:rPr>
          <w:rFonts w:ascii="Times New Roman" w:cs="Times New Roman" w:eastAsia="Times New Roman" w:hAnsi="Times New Roman"/>
          <w:sz w:val="18"/>
          <w:szCs w:val="18"/>
          <w:u w:val="single" w:color="auto"/>
          <w:color w:val="auto"/>
        </w:rPr>
        <w:t>Current Manager</w:t>
      </w:r>
      <w:r>
        <w:rPr>
          <w:rFonts w:ascii="Times New Roman" w:cs="Times New Roman" w:eastAsia="Times New Roman" w:hAnsi="Times New Roman"/>
          <w:sz w:val="18"/>
          <w:szCs w:val="18"/>
          <w:color w:val="auto"/>
        </w:rPr>
        <w:t xml:space="preserve">”), and the Company shall in no event request that the Manager or the Forward Seller, as the case may be, or one or more of the Alternative Managers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w:t>
      </w:r>
    </w:p>
    <w:p>
      <w:pPr>
        <w:spacing w:after="0" w:line="1" w:lineRule="exact"/>
        <w:rPr>
          <w:sz w:val="20"/>
          <w:szCs w:val="20"/>
          <w:color w:val="auto"/>
        </w:rPr>
      </w:pPr>
    </w:p>
    <w:p>
      <w:pPr>
        <w:jc w:val="both"/>
        <w:ind w:firstLine="8"/>
        <w:spacing w:after="0" w:line="251" w:lineRule="auto"/>
        <w:tabs>
          <w:tab w:leader="none" w:pos="2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(b) such limitation shall not apply on any day during which no sales are made pursuant to this Agreement and (c) such limitation shall not apply if, prior to any such request to sell Securities, all Securities the Company has previously requested the Manager, the Forward Seller or any Alternative Managers to sell have been sold or the applicable Placement Notice has been terminated or superseded. Notwithstanding the foregoing, a sale may be effected by a second Manager (the “</w:t>
      </w:r>
      <w:r>
        <w:rPr>
          <w:rFonts w:ascii="Times New Roman" w:cs="Times New Roman" w:eastAsia="Times New Roman" w:hAnsi="Times New Roman"/>
          <w:sz w:val="18"/>
          <w:szCs w:val="18"/>
          <w:u w:val="single" w:color="auto"/>
          <w:color w:val="auto"/>
        </w:rPr>
        <w:t>Second Manager</w:t>
      </w:r>
      <w:r>
        <w:rPr>
          <w:rFonts w:ascii="Times New Roman" w:cs="Times New Roman" w:eastAsia="Times New Roman" w:hAnsi="Times New Roman"/>
          <w:sz w:val="18"/>
          <w:szCs w:val="18"/>
          <w:color w:val="auto"/>
        </w:rPr>
        <w:t>”) on a single given day if (i) such sale is executed pursuant to a single privately negotiated transaction, which may include a block trade (a “</w:t>
      </w:r>
      <w:r>
        <w:rPr>
          <w:rFonts w:ascii="Times New Roman" w:cs="Times New Roman" w:eastAsia="Times New Roman" w:hAnsi="Times New Roman"/>
          <w:sz w:val="18"/>
          <w:szCs w:val="18"/>
          <w:u w:val="single" w:color="auto"/>
          <w:color w:val="auto"/>
        </w:rPr>
        <w:t>Single Negotiated Transaction</w:t>
      </w:r>
      <w:r>
        <w:rPr>
          <w:rFonts w:ascii="Times New Roman" w:cs="Times New Roman" w:eastAsia="Times New Roman" w:hAnsi="Times New Roman"/>
          <w:sz w:val="18"/>
          <w:szCs w:val="18"/>
          <w:color w:val="auto"/>
        </w:rPr>
        <w:t>”), and (ii) the Company notifies the applicable Current Manager that a Second Manager was appointed to execute such Single Negotiated Transaction.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Notwithstanding any other provision of this Agreement, the Company shall not offer, sell or deliver, or request the offer or sale of, any Securities and, by notice to the Manager (in the case of an Issuance) or the Forward Seller and the Forward Purchaser (in the case of a Forward) given by telephone (confirmed promptly by facsimile transmission or email), shall cancel any instructions for the offer or sale of any Securities, and the Manager, the Forward Seller and the Forward Purchaser, as the case may be, shall not be obligated to offer or sell any Securities, (i) during any period in which the Company is, or reasonably could be deemed to be, in possession of material non-public information, (ii) at any time during the period commencing on the 10th business day prior to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issues a press release containing, or shall otherwise publicly announce, its earnings, revenues or other results of 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(iii) except as provided in Section 6(j) below, at any time from and including an Announcement Date through and including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 provided that, unless otherwise agreed between the Company and the Manager, the Forward Seller or the Forward Purchaser, as the case may be, for purposes of (i) and (ii) above, such period shall be deemed to end at the relevant Filing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If the Company wishes to offer, sell or deliver Securities at any time during the period from and including an Announcement Date through and including time that is 24 hours after the corresponding Filing Time, the Company shall (i) prepare and deliver to the Manager (in the case of an Issuance) or the Forward Seller and the Forward Purchaser (in the case of a Forward) (with a copy to their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8"/>
          <w:szCs w:val="18"/>
          <w:u w:val="single" w:color="auto"/>
          <w:color w:val="auto"/>
        </w:rPr>
        <w:t>Earnings 8-K</w:t>
      </w:r>
      <w:r>
        <w:rPr>
          <w:rFonts w:ascii="Times New Roman" w:cs="Times New Roman" w:eastAsia="Times New Roman" w:hAnsi="Times New Roman"/>
          <w:sz w:val="18"/>
          <w:szCs w:val="18"/>
          <w:color w:val="auto"/>
        </w:rPr>
        <w:t>”), in form and substance reasonably satisfactory to the Manager or the Forward Seller and the Forward Purchaser, as the case may be, (ii) provide the Manager or the Forward Seller and the Forward Purchaser, as the case may be, with the officers’ certificate, opinions/letters of counsel and accountants’ letter called for by Sections 7(o), (p), (q), (r), and (s) hereof; respectively,</w:t>
      </w:r>
    </w:p>
    <w:p>
      <w:pPr>
        <w:spacing w:after="0" w:line="3" w:lineRule="exact"/>
        <w:rPr>
          <w:sz w:val="20"/>
          <w:szCs w:val="20"/>
          <w:color w:val="auto"/>
        </w:rPr>
      </w:pPr>
    </w:p>
    <w:p>
      <w:pPr>
        <w:jc w:val="both"/>
        <w:ind w:firstLine="8"/>
        <w:spacing w:after="0" w:line="250" w:lineRule="auto"/>
        <w:tabs>
          <w:tab w:leader="none" w:pos="3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the Manager or the Forward Seller and the Forward Purchaser, as the case may be, the opportunity to conduct a due diligence review in accordance with Section 7(m) hereof and (iv) file such Earnings 8-K with the Commission. The provisions of clause (ii)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 7 hereof and</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other than as set forth in this Section 6(j), this Section 6(j) shall in no way affect or limit the operation of the provisions of clauses (i) and (iii) of Section 6(j), which shall have independent application.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COVENANTS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with the Manager, the Forward Seller and the Forward Purchaser as follows: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 any Securities is required to be delivered by the Manager under the Securities Act (including in circumstances where such requirement may be satisfied pursuant to Rule 172), (i) the Company will promptly notify the Manager, the Forward Seller and the Forward Purchaser of the time when any subsequent amendment to the Registration Statement, other than documents incorporated by reference therein,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the request of the Manager or the Forward Seller and the Forward Purchaser, as the case may be, any amendments or supplements to the Registration Statement or Prospectus that, in the reasonable opinion of the Manager or the Forward Seller and the Forward Purchaser, as the case may be, may be necessary or advisable in connection with the distribution of the Securities by the Manager, the Forward Seller or the Forward Purchaser,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the Forward Seller or the Forward Purchaser to make such request shall not relieve the Company of any obligation or liability hereunder, or affect the Manager’s, the Forward Seller’s or the Forward Purchaser’s right to rely on the representations and warranties made by the Company in this Agreement); (iii) the Company will not file any amendment or supplement to the Registration Statement or Prospectus, other than documents incorporated by reference into the Registration Statement, relating to the Securities or a security convertible into the Securities unless a copy thereof has been submitted to the Manager, the Forward Seller and the Forward Purchaser within a reasonable period of time before the filing and the Manager, the Forward Seller and the Forward Purchaser have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the Forward Seller or the Forward Purchaser to make such objection shall not relieve the Company of any obligation or liability hereunder, or affect the Manager’s, the Forward Seller’s or the Forward Purchaser’s right to rely on the representations and warranties made by the Company in this Agreement); and (iv) the Company will cause each amendment or supplement to the Prospectus, other than documents incorporated by reference into the Registration Statement, to be filed with the Commission as required pursuant to the applicable paragraph of Rule 424(b)(without reliance on Rule 424(b)(8)).</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Commission Stop Orders</w:t>
      </w:r>
      <w:r>
        <w:rPr>
          <w:rFonts w:ascii="Times New Roman" w:cs="Times New Roman" w:eastAsia="Times New Roman" w:hAnsi="Times New Roman"/>
          <w:sz w:val="18"/>
          <w:szCs w:val="18"/>
          <w:color w:val="auto"/>
        </w:rPr>
        <w:t>. The Company will advise the Manager, the Forward Seller and the Forward Purchaser, promptly after 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use its commercially reasonable efforts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Manager, the Forward Seller, the Forward Purchaser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 such quantities and at such locations as the Manager, the Forward Seller or the Forward Purchaser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Manager, the Forward Seller and the Forward Purchaser to the extent such document is available on EDGAR. The copies of the Registration Statement and the Prospectus and any supplements or amendments thereto furnished to the Manager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xml:space="preserve"> If at any time during any Selling Period or period when a Prospectus is required by the Securities Act or the Exchange Act to be delivered in connection with a pending sale of the Securities (including, without limitation, pursuant to Rule 172), any event shall occur or condition shall exist as a result of which it is necessary, in the opinion of counsel for the Manager, the Forward Seller or the Forward Purchaser or for the Company,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1" w:lineRule="exact"/>
        <w:rPr>
          <w:sz w:val="20"/>
          <w:szCs w:val="20"/>
          <w:color w:val="auto"/>
        </w:rPr>
      </w:pPr>
    </w:p>
    <w:p>
      <w:pPr>
        <w:jc w:val="both"/>
        <w:ind w:firstLine="8"/>
        <w:spacing w:after="0" w:line="250"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w:t>
      </w:r>
    </w:p>
    <w:p>
      <w:pPr>
        <w:jc w:val="both"/>
        <w:ind w:firstLine="8"/>
        <w:spacing w:after="0" w:line="251" w:lineRule="auto"/>
        <w:tabs>
          <w:tab w:leader="none" w:pos="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Registration Statement or amend or supplement the Prospectus in order to comply with the requirements of the Securities Act, the Company will promptly notify the Manager or the Forward Seller and the Forward Purchaser, as applicable, to suspend the offering of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the Manager or the Forward Seller and the Forward Purchaser, as applicable, such number of copies of such amendment or supplement as the Manager or the Forward Seller and the Forward Purchaser, as applicable,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under which they were made, prevailing at that subsequent time, not misleading, the Company will promptly notify the Manager or the Forward Seller and the Forward Purchaser,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Blue Sky and Other Qualifications.</w:t>
      </w:r>
      <w:r>
        <w:rPr>
          <w:rFonts w:ascii="Times New Roman" w:cs="Times New Roman" w:eastAsia="Times New Roman" w:hAnsi="Times New Roman"/>
          <w:sz w:val="18"/>
          <w:szCs w:val="18"/>
          <w:color w:val="auto"/>
        </w:rPr>
        <w:t xml:space="preserve"> The Company will use its best efforts, in cooperation with the Manager and the Forward Seller, to qualify the Securities for offering and sale, or to obtain an exemption for the Securities to be offered and sold, under the applicable securities laws of such states and other jurisdictions (domestic or foreign) as the Manager and the Forward Seller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88"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i w:val="1"/>
          <w:iCs w:val="1"/>
          <w:color w:val="auto"/>
        </w:rPr>
        <w:t>Rule 158.</w:t>
      </w:r>
      <w:r>
        <w:rPr>
          <w:rFonts w:ascii="Times New Roman" w:cs="Times New Roman" w:eastAsia="Times New Roman" w:hAnsi="Times New Roman"/>
          <w:sz w:val="17"/>
          <w:szCs w:val="17"/>
          <w:color w:val="auto"/>
        </w:rPr>
        <w:t xml:space="preserve"> The Company will make generally available to its securityholders as soon as practicable an earnings statement for the purposes of, and to provide to the Manager and the Forward Seller the benefits contemplated by, the last paragraph of Section 11(a) of the Securities Act and Rule 158.</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them from the sale of the Securities and the net proceeds received under each Forward Contract in the manner specified in the Prospectus under “Use of Proceeds.”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During any Selling Period or any period in which the Prospectus relating to the Securities is required to be delivered by the Manager or the Forward Seller under the Securities Act with respect to a pending sale of the Securities (including in circumstances where such requirement may be satisfied pursuant to Rule 172), the Company will use its commercially reasonable efforts to cause the Securities to be listed on the NYSE. The Company will use its commercially reasonable efforts to cause all Securities delivered to the Forward Purchaser in settlement of any Forward Contract to be listed on the NYSE.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 that have or will issue securities that are traded on the NYSE.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xml:space="preserve"> The Company, during any Selling Period or period when the Prospectus is required to be delivered under the Securities Act and the Exchange Act (including in circumstances where such requirement may be satisfied pursuant to Rule 172), will file all documents required to be filed with the Commission pursuant to the Exchange Act within the time periods required by the Exchange Act.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xml:space="preserve">. During any Selling Period, the Company shall provide the Manager, the Forward Seller and the Forward Purchaser notice as promptly as reasonably possible (and, in any event, at least two (2) business days) before it offers to sell, contracts to sell, sells, grants any option to sell or otherwise disposes of any shares of Common Stock (other than Securities offered pursuant to the provisions of this Agreement or the Alternative Distribution Agreements) or securities convertible into or exchangeable for Common Stock, warrants or any rights to purchase or acquire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Common Stock, options to purchase shares of Common Stock or shares of Common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or (iii) the issuance or sale of shares of Common Stock pursuant to any dividend reinvestment plan that the Company may adopt from time to time, provided the implementation of such dividend reinvestment plan is disclosed to the Manager, the Forward Seller and the Forward Purchaser in advance.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Securities, advise the Manager or Forward Seller, as applicable, promptly after it shall have received notice or obtained knowledge thereof, of any information or fact that would alter or affect in any material respect any opinion, certificate, letter or other document provided to the Manager or Forward Seller, as applicable, pursuant to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Manager or the Forward Seller and the Forward Purchaser or their respective agents in connection with the transactions contemplated hereby, including, without limitation, providing information and making available documents and senior officers, during regular business hours and at the Company’s principal offices, as the Manager or the Forward Seller and the Forward Purchaser may reasonably request.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Disclosure of Sales.</w:t>
      </w:r>
      <w:r>
        <w:rPr>
          <w:rFonts w:ascii="Times New Roman" w:cs="Times New Roman" w:eastAsia="Times New Roman" w:hAnsi="Times New Roman"/>
          <w:sz w:val="18"/>
          <w:szCs w:val="18"/>
          <w:color w:val="auto"/>
        </w:rPr>
        <w:t xml:space="preserve"> The Company will disclose in its Quarterly Reports on Form 10-Q and in its Annual Report on Form 10-K in respect of any quarter in which sales of Securities were made under this Agreement, and/or, at the Company’s option, in a Current Report on Form 8-K, the number of Securities sold under this Agreement and any Alternative Distribution Agreement, the Net Proceeds to the Company and the compensation payable by the Company with respect to such sales.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 Securities are delivered to the Manager as principal on a Settlement Date and each time the Company:</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files an Annual Report on Form 10-K under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files a Quarterly Report on Form 10-Q under the Exchange Act;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(iv)          files a Current Report on Form 8-K containing amended financial information (other than an Earnings Announcement, to “furnish” information pursuant to Item 2.02 or 7.01 of Form 8-K or to provide disclosure pursuant to Item 8.01 of Form 8-K relating to the reclassifications of certain properties as discontinued operations in accordance with Statement of Financial Accounting Standards No. 144) under the Exchange Act (each such date of filing of one or more of the documents referred to in clauses (1)(i)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xml:space="preserve">”), the Company shall furnish the Manager, the Forward Seller and the Forward Purchaser with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as promptly as possible and in no event later than three (3) Trading Days after any Representation Date. The requirement to provide certificates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Securities following a Representation Date when the Company relied on such waiver and did not provide the Manager with a certificate under this Section 7(o), then before the Company delivers the Placement Notice or the Manager or the Forward Seller sells any Securities, the Company shall provide the Manager, the Forward Seller and the Forward Purchaser with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dated the date of the Placement Notice.</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the Forward Seller and the Forward Purchaser a written opinion and to the Manager and the Forward Seller a 10b-5 statement of Vinson &amp; Elkins L.L.P., counsel for the Company, in form and substance satisfactory to the Manager, the Forward Seller and the Forward Purchaser and its counsel, dated the date that the opinion and 10b-5 statement is required to be delivered, substantially similar to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Opinion of Tax Counsel</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the Forward Seller and the Forward Purchaser a written opinion of Vinson &amp; Elkins L.L.P., tax counsel for the Company, in form and substance satisfactory to the Manager, the Forward Seller and the Forward Purchaser and its counsel,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Maryland Counsel Legal Opinion</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Manager, the Forward Seller and the Forward Purchaser shall have received the favorable opinion of Venable LLP, Maryland counsel for the Company,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Manager, the Forward Seller and the Forward Purchaser with a letter to the effect that the Manager, the Forward Seller and the Forward Purchaser may rely on a prior opinion delivered under this Section 7(r) to the same extent as if it were dated the date of such letter (except that statements in such prior opinion shall be deemed to relate to the Registration Statement and the Prospectus as amended or supplemented at such Representation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its independent accountants to furnish the Manager and the Forward Seller a letter (a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Manager and the Forward Seller,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the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bid for and purchase shares of its Common Stock in accordance with Rule 10b-18 under the Exchange Act. In connection with entering into any Forward Contract, the Company will not acquire any long position (either directly or indirectly, including through an Affiliate or through a derivative transaction) with respect to shares of Common Stock.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Securities as contemplated by the provisions hereof and the Prospectus.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Offer to Sell</w:t>
      </w:r>
      <w:r>
        <w:rPr>
          <w:rFonts w:ascii="Times New Roman" w:cs="Times New Roman" w:eastAsia="Times New Roman" w:hAnsi="Times New Roman"/>
          <w:sz w:val="18"/>
          <w:szCs w:val="18"/>
          <w:color w:val="auto"/>
        </w:rPr>
        <w:t>. Other than a free writing prospectus (as defined in Rule 405) approved in advance in writing by the Company and the Manager in its capacity as principal or agent hereunder or the Forward Seller as agent hereunder, as applicable, the Company (including its agents and representatives, other than the Manager or the Forward Seller, in their respective capacities as such) will not, directly or indirectly, make, use, prepare, authorize, approve or refer to any free writing prospectus relating to the Securities to be sold by the Manager as principal or agent hereunder or by the Forward Seller as agent hereunder.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(x)            [Reserved]</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Qualification and Taxation as a REIT</w:t>
      </w:r>
      <w:r>
        <w:rPr>
          <w:rFonts w:ascii="Times New Roman" w:cs="Times New Roman" w:eastAsia="Times New Roman" w:hAnsi="Times New Roman"/>
          <w:sz w:val="18"/>
          <w:szCs w:val="18"/>
          <w:color w:val="auto"/>
        </w:rPr>
        <w:t>. The Company will use its best efforts to continue to qualify for taxation as a REIT under the Code for its taxable year ending December 31, 2026, and thereafter, and will not take any action to revoke or otherwise terminate the Company’s REIT election, unless the Company’s board of directors determines in good faith that it is no longer in the best interests of the Company and its stockholders to be so qualified.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Renewal of Registration Statement.</w:t>
      </w:r>
      <w:r>
        <w:rPr>
          <w:rFonts w:ascii="Times New Roman" w:cs="Times New Roman" w:eastAsia="Times New Roman" w:hAnsi="Times New Roman"/>
          <w:sz w:val="18"/>
          <w:szCs w:val="18"/>
          <w:color w:val="auto"/>
        </w:rPr>
        <w:t xml:space="preserve"> The date of this Agreement is not more than three years subsequent to the initial effective date of the 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Renewal Date, this Agreement has not terminated and a prospectus is required to be delivered or made available by the Manager or the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Rights to Refuse Purchase.</w:t>
      </w:r>
      <w:r>
        <w:rPr>
          <w:rFonts w:ascii="Times New Roman" w:cs="Times New Roman" w:eastAsia="Times New Roman" w:hAnsi="Times New Roman"/>
          <w:sz w:val="18"/>
          <w:szCs w:val="18"/>
          <w:color w:val="auto"/>
        </w:rPr>
        <w:t xml:space="preserve"> If, to the knowledge of the Company, all filings required by Rule 424 under the Securities Act in connection with the offering of the 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the Manager the right to refuse to purchase and pay for such Securities.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i w:val="1"/>
          <w:iCs w:val="1"/>
          <w:color w:val="auto"/>
        </w:rPr>
        <w:t>Reservation of Shares</w:t>
      </w:r>
      <w:r>
        <w:rPr>
          <w:rFonts w:ascii="Times New Roman" w:cs="Times New Roman" w:eastAsia="Times New Roman" w:hAnsi="Times New Roman"/>
          <w:sz w:val="18"/>
          <w:szCs w:val="18"/>
          <w:color w:val="auto"/>
        </w:rPr>
        <w:t>. In respect of any Forward, a number of shares of Common Stock at least equal to the Capped Number will be reserved for issuance by the Company’s board of directors.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PAYMENT OF EXPENSES.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printing and filing of the Registration Statement (including financial statements and exhibits) as originally filed and of each amendment and supplement thereto, (ii) the preparation, issuance and delivery of the certificates for the Securities to the Manager, including any stock or other transfer taxes and any capital duties, stamp duties or other duties or taxes payable upon the sale, issuance or delivery of the Securities to the Manager, (iii) the fees and disbursements of the counsel, accountants and other advisors to the Company, (iv) the qualification or exemption of the Securities under securities laws in accordance with the provisions of Section 7(e) hereof, (v) the printing and delivery to the Manager, the Forward Seller and the Forward Purchaser of copies of any Permitted Free Writing Prospectus and the Prospectus and any amendments or supplements thereto and any costs associated with electronic delivery of any of the foregoing by the Manager or the Forward Seller to investors, (vi) the fees and expenses of the custodian and the transfer agent and registrar for the Securities, (vii) the filing fees incident to, and the reasonable fees and disbursements of counsel to the Manager in connection with, the review by FINRA of the terms of the sale of the Securities up to an aggregate amount not to exceed $1,000 and (viii) the fees and expenses incurred in connection with the listing of the Securities on the NYSE.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Termination of Agreement</w:t>
      </w:r>
      <w:r>
        <w:rPr>
          <w:rFonts w:ascii="Times New Roman" w:cs="Times New Roman" w:eastAsia="Times New Roman" w:hAnsi="Times New Roman"/>
          <w:sz w:val="17"/>
          <w:szCs w:val="17"/>
          <w:color w:val="auto"/>
        </w:rPr>
        <w:t>. If this Agreement is terminated by the Manager in accordance with the provisions of Section 9 or Section 13(a)</w:t>
      </w:r>
    </w:p>
    <w:p>
      <w:pPr>
        <w:spacing w:after="0" w:line="41" w:lineRule="exact"/>
        <w:rPr>
          <w:sz w:val="20"/>
          <w:szCs w:val="20"/>
          <w:color w:val="auto"/>
        </w:rPr>
      </w:pPr>
    </w:p>
    <w:p>
      <w:pPr>
        <w:jc w:val="both"/>
        <w:ind w:firstLine="8"/>
        <w:spacing w:after="0" w:line="252" w:lineRule="auto"/>
        <w:tabs>
          <w:tab w:leader="none" w:pos="2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(iii) (with respect to the first clause only) hereof, the Company shall reimburse the Manager, the Forward Seller, the Forward Purchasers and the Alternative Managers for all reasonable, accountable out of pocket expenses, including reasonable fees and disbursements of counsel actually incurred by the Manager, the Forward Seller, the Forward Purchasers and the Alternative Managers in connection with the transactions contemplated by this Agreement and the Alternative Distribution Agreements, unless Securities having an aggregate offering price of $10,000,000 or more have previously been offered and sold under this Agreement and/or the Alternative Distribution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Expenses shall not exceed an aggregate amount under this Agreement and the Alternative Distribution Agreements of $25,000.</w:t>
      </w:r>
    </w:p>
    <w:p>
      <w:pPr>
        <w:spacing w:after="0" w:line="190" w:lineRule="exact"/>
        <w:rPr>
          <w:sz w:val="20"/>
          <w:szCs w:val="20"/>
          <w:color w:val="auto"/>
        </w:rPr>
      </w:pPr>
    </w:p>
    <w:p>
      <w:pPr>
        <w:ind w:left="1960" w:hanging="1295"/>
        <w:spacing w:after="0" w:line="282"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CONDITIONS OF THE OBLIGATIONS OF THE MANAGER, THE FORWARD SELLER AND THE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each of the Manager, the Forward Seller and the Forward Purchaser hereunder with respect to a Placement will be subject to the continuing accuracy and completeness of the representations and warranties of the Company contained in this Agreement or in certificates of any officer of the Company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and shall be available for (i) all sales of Securities issued pursuant to all prior Placement Notices (each as amended by a corresponding Acceptance, if applicable) and (ii) the sale of all Securities contemplated to be issued by any Placement Notice (as amended by the corresponding Acceptance, if applicable).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and any Issuer Free Writing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i w:val="1"/>
          <w:iCs w:val="1"/>
          <w:color w:val="auto"/>
        </w:rPr>
        <w:t>No Misstatement or Material Omission</w:t>
      </w:r>
      <w:r>
        <w:rPr>
          <w:rFonts w:ascii="Times New Roman" w:cs="Times New Roman" w:eastAsia="Times New Roman" w:hAnsi="Times New Roman"/>
          <w:sz w:val="17"/>
          <w:szCs w:val="17"/>
          <w:color w:val="auto"/>
        </w:rPr>
        <w:t>. None of the Manager, the Forward Seller or the Forward Purchaser shall have advised the Company that the Registration Statement or Prospectus, or any Issuer Free Writing Prospectus, or any amendment or supplement thereto, contains a material untrue statement of fact or omits to state a material fact that is required to be stated therein or is necessary to make the statements therein not misleading.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1" w:name="page92"/>
    <w:bookmarkEnd w:id="9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to the condition, financial or otherwise, or in the properties, earnings, business affairs or business prospects of the Company and each of its subsidiaries considered as one enterprise.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The Manager, the Forward Seller and the Forward Purchaser shall have received the favorable opinions of Vinson &amp; Elkins L.L.P., required to be delivered pursuant to Section 7(p) on the date on which such delivery of such opinion is required pursuant to Section 7(p).</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Opinion of Tax Counsel for Company.</w:t>
      </w:r>
      <w:r>
        <w:rPr>
          <w:rFonts w:ascii="Times New Roman" w:cs="Times New Roman" w:eastAsia="Times New Roman" w:hAnsi="Times New Roman"/>
          <w:sz w:val="18"/>
          <w:szCs w:val="18"/>
          <w:color w:val="auto"/>
        </w:rPr>
        <w:t xml:space="preserve"> The Manager, the Forward Seller and the Forward Purchaser shall have received the favorable opinions of Vinson &amp; Elkins L.L.P., required to be delivered pursuant to Section 7(q) on the date on which such delivery of such opinion is required pursuant to Section 7(q).</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Opinion of Maryland Counsel for the Company</w:t>
      </w:r>
      <w:r>
        <w:rPr>
          <w:rFonts w:ascii="Times New Roman" w:cs="Times New Roman" w:eastAsia="Times New Roman" w:hAnsi="Times New Roman"/>
          <w:sz w:val="18"/>
          <w:szCs w:val="18"/>
          <w:color w:val="auto"/>
        </w:rPr>
        <w:t>. The Manager, the Forward Seller and the Forward Purchaser shall have received the favorable opinions of Venable LLP, required to be delivered pursuant to Section 7(r) on the date on which such delivery of such opinion is required pursuant to Section 7(r).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Opinion of Counsel for the Manager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 delivered to the Manager as principal on the Settlement Date, as promptly as possible and in no event later than three (3) Trading Days after each Representation Date with respect to which no waiver is applicable, the Manager, the Forward Seller and the Forward Purchaser shall have received the favorable opinion of Hunton Andrews Kurth LLP, counsel for the Manager, dated the date the opinion is required to be delivered, in customary form and substance satisfactory to the Manager, the Forward Seller and the Forward Purchaser, and the Company shall have furnished to such counsel such documents as they reasonably request for the purpose of enabling them to pass upon such matters. In rendering such opinion, Hunton Andrews Kurth LLP may rely as to matters involving the laws of the State of Maryland upon the opinion of Venable LLP referred to in Section 7(r).</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xml:space="preserve"> The Manager, the Forward Seller and the Forward Purchaser shall have received the certificate required to be delivered pursuant to Section 7(o) on the date on which delivery of such certificate is required pursuant to Section 7(o).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xml:space="preserve"> The Manager and the Forward Seller shall have received the Comfort Letter required to be delivered pursuant to Section 7(s) on the date on which such delivery of such Comfort Letter is required pursuant to Section 7(s).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The Securities shall have been approved for listing on the NYSE, subject only to official notice of issuance.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Securities shall not have been suspended on the NYSE.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xml:space="preserve"> On each date on which the Company is required to deliver a certificate pursuant to Section 7(o), counsel for the Manager, the Forward Seller and the Forward Purchaser,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Effectiveness of Master Forward Confirmation</w:t>
      </w:r>
      <w:r>
        <w:rPr>
          <w:rFonts w:ascii="Times New Roman" w:cs="Times New Roman" w:eastAsia="Times New Roman" w:hAnsi="Times New Roman"/>
          <w:sz w:val="18"/>
          <w:szCs w:val="18"/>
          <w:color w:val="auto"/>
        </w:rPr>
        <w:t>. In respect of any Placement Notice delivered in respect of any Forward, the Master Forward Confirmation shall be in full force and effect.</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xml:space="preserve"> If any condition specified in this Section 9 shall not have been fulfilled when and as required to be fulfilled, this Agreement may be terminated by the Manager, the Forward Seller or the Forward Purchaser, as applicable, by notice to the Company, and such termination shall be without liability of any party to any other party except as provided in Section 8 hereof and except that, in the case of any termination of this Agreement, Sections 5, 10, 11, 12 and 22 hereof, as well as the obligation to enter into any Forward Contract pursuant to Section 2(c) hereof as a result of sales of Forward Hedge Securities occurring prior to such termination, shall survive such termination and remain in full force and effect. For the avoidance of doubt, any such termination shall not affect or impair any party’s obligations with respect to any Securities sold hereunder prior to the occurrence thereof or any Securities sold under any Alternative Distribution Agreement (including, in the case of any Forward Hedge Securities, the obligation to enter into the resulting Forward Contract).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INDEMNIFICATION.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by the Company.</w:t>
      </w:r>
    </w:p>
    <w:p>
      <w:pPr>
        <w:spacing w:after="0" w:line="2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(1)           Subject to the limitations in this paragraph below, the Company agrees to indemnify and hold harmless each of the Manager, the Forward Seller and the Forward Purchaser, each of their respective directors, officers, employees, affiliates and agents, and each person, if any, who controls the Manager, the Forward Seller or the Forward Purchaser within the meaning of Section 15 of the Securities Act or Section 20 of the Exchange Act from and against any and all losses, claims, damages, liabilities and expenses, including reasonable costs of investigation and attorneys’ fees and expenses (collectively,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arising out of or based upon (i) any untrue statement or alleged untrue statement of a material fact contained in the Registration Statement, any Issuer Free Writing Prospectus, the Prospectus or in any amendment or supplement thereto, any “issuer information” filed or required to be filed pursuant to Rule 433(d), or (ii) any omission or alleged omission to state therein a material fact required to be stated therein or necessary to make the statements therein (in the case of the Prospectus, in the light of the circumstances under which they were made) not misleading; except with respect to (i) or (ii) to the extent that any such Damages arise out of or are based upon an untrue statement or omission or alleged untrue statement or omission that has been made therein or omitted therefrom in reliance upon and in conformity with the information furnished in writing to the Company by or on behalf of the Manager, the Forward Seller or the Forward Purchaser, expressly for use in connection therewith. This indemnification shall be in addition to any liability that the Company may otherwise have.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both"/>
        <w:ind w:left="660" w:firstLine="648"/>
        <w:spacing w:after="0" w:line="268" w:lineRule="auto"/>
        <w:rPr>
          <w:sz w:val="20"/>
          <w:szCs w:val="20"/>
          <w:color w:val="auto"/>
        </w:rPr>
      </w:pPr>
      <w:r>
        <w:rPr>
          <w:rFonts w:ascii="Times New Roman" w:cs="Times New Roman" w:eastAsia="Times New Roman" w:hAnsi="Times New Roman"/>
          <w:sz w:val="17"/>
          <w:szCs w:val="17"/>
          <w:color w:val="auto"/>
        </w:rPr>
        <w:t>(2)            If any action or claim shall be brought against the Manager, the Forward Seller or the Forward Purchaser or any person controlling the Manager, the Forward Seller or the Forward Purchaser in respect of which indemnity may be sought against the Company, the Manager, the Forward Seller, the Forward Purchaser or such controlling person shall promptly notify in writing the party(s) against whom indemnification is being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indemnifying parties</w:t>
      </w:r>
      <w:r>
        <w:rPr>
          <w:rFonts w:ascii="Times New Roman" w:cs="Times New Roman" w:eastAsia="Times New Roman" w:hAnsi="Times New Roman"/>
          <w:sz w:val="17"/>
          <w:szCs w:val="17"/>
          <w:color w:val="auto"/>
        </w:rPr>
        <w:t>”), and such indemnifying party or parties shall assume the defense thereof, including the employment of counsel reasonably acceptable to the Manager, the Forward Seller, the Forward Purchaser or such controlling person and the payment of all reasonable fees of and expenses incurred by such counsel. The Manager, the Forward Seller, the Forward Purchaser or any such controlling person shall have the right to employ separate counsel in any such action and participate in the defense thereof, but the fees and expenses of such counsel shall be at the expense of the Manager, the Forward Seller, the Forward Purchaser or such controlling person, unless</w:t>
      </w:r>
    </w:p>
    <w:p>
      <w:pPr>
        <w:jc w:val="both"/>
        <w:ind w:left="660" w:hanging="4"/>
        <w:spacing w:after="0" w:line="250" w:lineRule="auto"/>
        <w:tabs>
          <w:tab w:leader="none" w:pos="8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party(s) has (have) agreed in writing to pay such fees and expenses, (ii) the indemnifying party(s) has (have) failed to assume the defense and employ counsel reasonably acceptable to the Manager, the Forward Seller, the Forward Purchaser or such controlling person or</w:t>
      </w:r>
    </w:p>
    <w:p>
      <w:pPr>
        <w:jc w:val="both"/>
        <w:ind w:left="660" w:hanging="4"/>
        <w:spacing w:after="0" w:line="251" w:lineRule="auto"/>
        <w:tabs>
          <w:tab w:leader="none" w:pos="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action (including any impleaded parties) include both the Manager, the Forward Seller, the Forward Purchaser or such controlling person and the indemnifying party(s), and the Manager, the Forward Seller, the Forward Purchaser or such controlling person shall have been advised by its counsel that one or more legal defenses may be available to the Manager, the Forward Seller or the Forward Purchaser that may not be available to the Company, or that representation of such indemnified party and any indemnifying party(s) by the same counsel would be inappropriate under applicable standards of professional conduct (whether or not such representation by the same counsel has been proposed) due to actual or potential differing interests between them (in which case the indemnifying party(s) shall not have the right to assume the defense of such action on behalf of the Manager, the Forward Seller, the Forward Purchaser or such controlling person (but the Company shall not be liable for the fees and expenses of more than one counsel for the Manager, the Forward Seller, the Forward Purchaser and such controlling persons)). The indemnifying party(s) shall not be liable for any settlement of any such action effected without its (their several) written consent, but if settled with such written consent, or if there be a final judgment for the plaintiff in any such action, the indemnifying party(s) agree(s) to indemnify and hold harmless the Manager, the Forward Seller, the Forward Purchaser and any such controlling person from and against any loss, claim, damage, liability or expense by reason of such settlement or judgment, but in the case of a judgment only to the extent stated in the first paragraph of this Section 10.</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by the Manager, the Forward Seller or the Forward Purchaser</w:t>
      </w:r>
      <w:r>
        <w:rPr>
          <w:rFonts w:ascii="Times New Roman" w:cs="Times New Roman" w:eastAsia="Times New Roman" w:hAnsi="Times New Roman"/>
          <w:sz w:val="18"/>
          <w:szCs w:val="18"/>
          <w:color w:val="auto"/>
        </w:rPr>
        <w:t>. Each of the Manager, the Forward Seller and the Forward Purchaser agrees to indemnify and hold harmless each of the Company, its directors and its officers who sign the Registration Statement and any person who controls the Company within the meaning of Section 15 of the Securities Act or Section 20 of the Exchange Act, to the same extent as the foregoing indemnity from the Company to the Manager, the Forward Seller and the Forward Purchaser, but only with respect to information furnished in writing by or on behalf of the Manager, the Forward Seller or the Forward Purchaser expressly for use in the Registration Statement, the Prospectus, any Issuer Free Writing Prospectus, or any amendment or supplement thereto. If any action or claim shall be brought or asserted against the Company or any of its directors, any of its officers or any such controlling person based on the Registration Statement, the Prospectus or any amendment or supplement thereto, and in respect of which indemnity may be sought against the Manager, the Forward Seller or the Forward Purchaser pursuant to this Section 10(b), the Manager, the Forward Seller and the Forward Purchaser shall have the rights and duties given to the Company by Section 10(a)(2) (except that if the Company shall have assumed the defense thereof the Manager, the Forward Seller and the Forward Purchaser shall not be required to do so, but may employ separate counsel therein and participate in the defense thereof, but the fees and expenses of such counsel shall be at the expense of the Manager, the Forward Seller and the Forward Purchaser), and the Company, its directors, its officers and any such controlling persons, shall have the rights and duties given to the Manager, the Forward Seller and the Forward Purchaser by Section 10(a)(2).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xml:space="preserve"> In any event, (i) the Company will not, without the prior written consent of the Manager, the Forward Seller and the Forward Purchaser, as the case may be, settle or compromise or consent to the entry of any judgment in any proceeding or threatened claim, action, suit or proceeding in respect of which indemnification may be sought hereunder (whether or not the Manager, the Forward Seller or the Forward Purchaser, as the case may be, or any person who controls the Manager, the Forward Seller or the Forward Purchaser, as the case may be, within the meaning of Section 15 of the Securities Act or Section 20 of the Exchange Act is a party to such claim, action, suit or proceeding) unless such settlement, compromise or consent includes an unconditional release of the Manager, the Forward Seller, the Forward Purchaser, as the case may be, and such controlling persons from all liability arising out of such claim, action, suit or proceeding and (ii) the Manager, the Forward Seller and the Forward Purchaser will not, without the prior written consent of the Company, settle or compromise or consent to the entry of any judgment in any proceeding or threatened claim, action, suit or proceeding in respect of which the indemnification may be sought hereunder unless such settlement, compromise or consent includes an unconditional release of the Company from all liability arising out of such claim, action, suit or proceeding.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fees and expenses of counsel as contemplated by this Section 10, such indemnifying party agrees that it shall be liable for any settlement of the nature contemplated by this Section 10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CONTRIBUTION.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If the indemnification provided for in Section 10 is unavailable or insufficient for any reason whatsoever to an indemnified party in respect of any Damages referred to therein, then an indemnifying party, in lieu of indemnifying such indemnified party, shall contribute to the amount paid or payable by such indemnified party as a result of such Damages (i) in such proportion as is appropriate to reflect the relative benefits received by the Company on the one hand, and the Manager, the Forward Seller and the Forward Purchaser on the other hand, from the offering and sale of the Securities or (ii) if the allocation provided by clause (i) above is not permitted by applicable law, in such proportion as is appropriate to reflect not only the relative benefits referred to in clause (i) above but also the relative and several fault of the Company on the one hand, and the Manager, the Forward Seller and the Forward Purchaser on the other hand, in connection with the statements or omissions that resulted in such Damages as well as any other relevant equitable considerations. The relative benefits received by the Company, on the one hand, and the Manager, the Forward Seller and the Forward Purchaser, on the other hand, in connection with the offering of the Securities pursuant to this Agreement shall be deemed to be in the same respective proportions as (a) in the case of the Company, (x) the total net proceeds from the offering of the Issuance Securities for each Issuance under this Agreement (before deducting expenses) received by the Company bear to the Aggregate Sales Price of the Issuance Securities, or (y) the Actual Sold Forward Amount for each Forward under this Agreement, multiplied by the Forward Hedge Price for such Forward (the “</w:t>
      </w:r>
      <w:r>
        <w:rPr>
          <w:rFonts w:ascii="Times New Roman" w:cs="Times New Roman" w:eastAsia="Times New Roman" w:hAnsi="Times New Roman"/>
          <w:sz w:val="18"/>
          <w:szCs w:val="18"/>
          <w:u w:val="single" w:color="auto"/>
          <w:color w:val="auto"/>
        </w:rPr>
        <w:t>Net Forward Proceeds</w:t>
      </w:r>
      <w:r>
        <w:rPr>
          <w:rFonts w:ascii="Times New Roman" w:cs="Times New Roman" w:eastAsia="Times New Roman" w:hAnsi="Times New Roman"/>
          <w:sz w:val="18"/>
          <w:szCs w:val="18"/>
          <w:color w:val="auto"/>
        </w:rPr>
        <w:t>”), bear to the sum of the Net Forward Proceeds and the Actual Forward Commission (as defined below) (such sum, the “</w:t>
      </w:r>
      <w:r>
        <w:rPr>
          <w:rFonts w:ascii="Times New Roman" w:cs="Times New Roman" w:eastAsia="Times New Roman" w:hAnsi="Times New Roman"/>
          <w:sz w:val="18"/>
          <w:szCs w:val="18"/>
          <w:u w:val="single" w:color="auto"/>
          <w:color w:val="auto"/>
        </w:rPr>
        <w:t>Gross Forward Amount</w:t>
      </w:r>
      <w:r>
        <w:rPr>
          <w:rFonts w:ascii="Times New Roman" w:cs="Times New Roman" w:eastAsia="Times New Roman" w:hAnsi="Times New Roman"/>
          <w:sz w:val="18"/>
          <w:szCs w:val="18"/>
          <w:color w:val="auto"/>
        </w:rPr>
        <w:t>”), (b) in the case of the Manager, the total commissions received by the Manager bear to the aggregate public offering price of the Issuance Securities, (c) in the case of the Forward Seller, the Actual Sold Forward Amount for each Forward under this Agreement, multiplied by the Forward Hedge Selling Commission for such Forward (the “</w:t>
      </w:r>
      <w:r>
        <w:rPr>
          <w:rFonts w:ascii="Times New Roman" w:cs="Times New Roman" w:eastAsia="Times New Roman" w:hAnsi="Times New Roman"/>
          <w:sz w:val="18"/>
          <w:szCs w:val="18"/>
          <w:u w:val="single" w:color="auto"/>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Forward Commission</w:t>
      </w:r>
      <w:r>
        <w:rPr>
          <w:rFonts w:ascii="Times New Roman" w:cs="Times New Roman" w:eastAsia="Times New Roman" w:hAnsi="Times New Roman"/>
          <w:sz w:val="18"/>
          <w:szCs w:val="18"/>
          <w:color w:val="auto"/>
        </w:rPr>
        <w:t>”), bear to the Gross Forward Amount, and (d) in the case of the Forward Purchaser, the net Spread (as such term is defined in the Master Forward Confirmation and net of any related stock borrow costs or other costs or expenses actually incurred) for all Forward Contracts executed in connection with this Agreement, bear to the Gross Forward Amount. The relative fault of the Company on the one hand, and the Manager, the Forward Seller and the Forward Purchaser, on the other hand, shall be determined by reference to, among other things, whether the untrue or alleged untrue statement of a material fact or the omission or alleged omission to state a material fact relates to information supplied by the Company on the one hand, or by the Manager, the Forward Seller and the Forward Purchaser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Company, the Manager, the Forward Seller and the Forward Purchaser agrees that it would not be just and equitable if contribution pursuant to this Section 11 was determined by a pro rata allocation or by any other method of allocation that does not take into account the equitable considerations referred to in the immediately preceding paragraph. The amount paid or payable by an indemnified party as a result of the Damages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11, the Manager, the Forward Purchaser and the Forward Seller shall not be required to contribute any amount in excess of the amount by which, in the case of the Manager, the total price at which the Issuance Securities sold by such Manager, or in the case of the Forward Seller and the Forward Purchaser, as applicable, the total price of the Forward Hedge Securities sold by the Forward Seller, in each case pursuant to this Agreement, exceeds the amount of any damages which the Manager, the Forward Seller or the Forward Purchaser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Damages for which an indemnified party is entitled to indemnification or contribution under Section 10 or this Section 11 shall be paid by the indemnifying party to the indemnified party as Damages are incurred after receipt of reasonably itemized invoices therefor. The indemnity, contribution and reimbursement agreements contained in Section 10 and this Section 11 shall remain operative and in full force and effect, regardless of (i) any investigation made by or on behalf of the Manager, the Forward Seller, the Forward Purchaser or any person controlling the Manager, the Forward Seller, the Forward Purchaser, the Company and its directors, its officers or any person controlling the Company, (ii) acceptance of any Securities and payment therefor hereunder and (iii) any termination of this Agreement. A successor to the Manager, the Forward Seller, the Forward Purchaser or any person controlling the Manager, the Forward Seller, the Forward Purchaser or to the Company, its directors, its officers or any person controlling the Company, shall be entitled to the benefits of the indemnity, contribution and reimbursement agreements contained in Section 10 and this Section 11.</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remedies provided for in Section 10 and this Section 11 are not exclusive and shall not limit any rights or remedies that otherwise may be available to any indemnified person at law or in equity.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REPRESENTATIONS, WARRANTIES AND AGREEMENTS TO SURVIVE DELIVERY.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Company submitted pursuant hereto, shall remain operative and in full force and effect, regardless of any investigation made by or on behalf of the Manager, the Forward Seller or the Forward Purchaser or any of their Affiliates or selling agents, any person controlling the Manager, the Forward Seller or the Forward Purchaser or their respective officers or directors, or by or on behalf of the Company or any person controlling the Company, and shall survive delivery of the Securities to the Manager and shall survive delivery and acceptance of the Securities and payment therefor and the settlement of any Forward Contract or any termination of this Agreement or the Master Forward Confirmation and any “Supplemental Confirmation” executed in connection with the Master Forward Confirmation.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TERMINATION OF AGREEMENT.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xml:space="preserve"> Each of the Manager, the Forward Seller or the Forward Purchaser, as applicable may terminate this Agreement, by notice to the Company, as hereinafter specified at any time (i) if there has been, since the time of execution of this Agreement or since the date as of which information is given in the Prospectus, any material adverse change in the condition, financial or otherwise, or in the properties, earnings, business affairs or business prospects of the Company and each of its subsidiaries whether or not arising in the ordinary course of business, (ii) if there has occurred any material adverse change in the financial markets in the United States or the international financial markets, any outbreak of hostilities or escalation thereof, any acts of terrorism involving the United States or other calamity or crisis or any change or development involving a prospective change in national or international political, financial or economic conditions, in each case the effect of which is such as to make it, in the sole judgment of the Manager, impracticable or inadvisable to market the Securities or to enforce contracts for the sale of the Securities, (iii) if trading in the Securities has been suspended or materially limited by the Commission or the NYSE, or (iv) if trading generally on the NYSE or the Nasdaq Global Market has been suspended or materially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(v) if a banking moratorium has been declared by either Federal or New York authorities.</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by the Company.</w:t>
      </w:r>
      <w:r>
        <w:rPr>
          <w:rFonts w:ascii="Times New Roman" w:cs="Times New Roman" w:eastAsia="Times New Roman" w:hAnsi="Times New Roman"/>
          <w:sz w:val="18"/>
          <w:szCs w:val="18"/>
          <w:color w:val="auto"/>
        </w:rPr>
        <w:t xml:space="preserve"> Subject to Section 13(f) hereof, the Company shall have the right to terminate this Agreement in its sole discretion at any time after the date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Termination by the Manager, the Forward Seller or the Forward Purchaser.</w:t>
      </w:r>
      <w:r>
        <w:rPr>
          <w:rFonts w:ascii="Times New Roman" w:cs="Times New Roman" w:eastAsia="Times New Roman" w:hAnsi="Times New Roman"/>
          <w:sz w:val="18"/>
          <w:szCs w:val="18"/>
          <w:color w:val="auto"/>
        </w:rPr>
        <w:t xml:space="preserve"> Subject to Section 13(f) hereof, each of the Manager, the Forward Seller or the Forward Purchaser, as applicable, shall have the right to terminate this Agreement in its sole discretion at any time after the date of this Agreement.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Automatic Termination.</w:t>
      </w:r>
      <w:r>
        <w:rPr>
          <w:rFonts w:ascii="Times New Roman" w:cs="Times New Roman" w:eastAsia="Times New Roman" w:hAnsi="Times New Roman"/>
          <w:sz w:val="18"/>
          <w:szCs w:val="18"/>
          <w:color w:val="auto"/>
        </w:rPr>
        <w:t xml:space="preserve"> Unless earlier terminated pursuant to this Section 13, this Agreement shall automatically terminate upon the issuance and sale of Securities through the Manager or the Alternative Managers on the terms and subject to the conditions set forth herein or in the Alternative Distribution Agreements, as applicable, with an aggregate Sales Price equal to the Maximum Amount.</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Continued Force and Effect.</w:t>
      </w:r>
      <w:r>
        <w:rPr>
          <w:rFonts w:ascii="Times New Roman" w:cs="Times New Roman" w:eastAsia="Times New Roman" w:hAnsi="Times New Roman"/>
          <w:sz w:val="18"/>
          <w:szCs w:val="18"/>
          <w:color w:val="auto"/>
        </w:rPr>
        <w:t xml:space="preserve"> This Agreement shall remain in full force and effect unless terminated pursuant to Sections 13(a), (b), (c), or (d) above or otherwise by mutual agreement of the parties.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Effectiveness of Termination.</w:t>
      </w:r>
      <w:r>
        <w:rPr>
          <w:rFonts w:ascii="Times New Roman" w:cs="Times New Roman" w:eastAsia="Times New Roman" w:hAnsi="Times New Roman"/>
          <w:sz w:val="18"/>
          <w:szCs w:val="18"/>
          <w:color w:val="auto"/>
        </w:rPr>
        <w:t xml:space="preserve">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Manager, the Forward Seller, the Forward Purchaser or the Company, as the case may be. If such termination shall occur prior to the Settlement Date for any sale of Securities, such Securities shall settle in accordance with the provisions of this Agreement. Notwithstanding anything to the contrary contained herein, the obligation to enter into any Forward Contract pursuant to Section 2(c) hereof as a result of sales of Forward Hedge Securities occurring prior to such termination, shall survive such termination and remain in full force and effect. For the avoidance of doubt, any such termination shall not affect or impair any party’s obligations with respect to any Securities sold hereunder prior to the occurrence thereof or any Securities sold under any Alternative Distribution Agreement (including, in the case of any Forward Hedge Securities, the obligation to enter into the resulting Forward Contract).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If this Agreement is terminated pursuant to this Section 13, such termination shall be without liability of any party to any other party except as provided in Section 8 hereof, and except that, in the case of any termination of this Agreement, Section 5, Section 10, Section 11, Section 12, Section 22 and Section 23 hereof shall survive such termination and remain in full force and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NOTICES.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Agreement, all notices and other communications hereunder shall be in writing and shall be deemed to have been duly given if mailed or transmitted by any standard form of telecommunication.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Notices to the Manager and the Forward Seller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Pennsylvania Avenue,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Robert K. Smith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Notices to the Forward Purchaser shall be sent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Pennsylvania Avenue,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Robert K. Smith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Notices to the Company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369 N. New York Avenue, Suite 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Winter Park, FL 32789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ind w:left="1960"/>
        <w:spacing w:after="0" w:line="205" w:lineRule="auto"/>
        <w:rPr>
          <w:sz w:val="20"/>
          <w:szCs w:val="20"/>
          <w:color w:val="auto"/>
        </w:rPr>
      </w:pPr>
      <w:r>
        <w:rPr>
          <w:rFonts w:ascii="Times New Roman" w:cs="Times New Roman" w:eastAsia="Times New Roman" w:hAnsi="Times New Roman"/>
          <w:sz w:val="18"/>
          <w:szCs w:val="18"/>
          <w:color w:val="auto"/>
        </w:rPr>
        <w:t>1114 Avenue of the Americas,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Zachary Swartz</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RECOGNITION OF THE U.S. SPECIAL RESOLUTION REGIMES.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the Manager, Forward Seller or Forward Purchaser is a Covered Entity and becomes subject to a proceeding under a U.S. Special Resolution Regime, the transfer from the Manager, Forward Seller or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the Manager, Forward Seller or Forward Purchaser is a Covered Entity or a BHC Act Affiliate of the Manager, Forward Seller or Forward Purchaser and becomes subject to a proceeding under a U.S. Special Resolution Regime, Default Rights under this Agreement that may be exercised against the Manager, Forward Seller or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620" w:hanging="64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Manager, the Forward Seller, the Forward Purchaser, the Company and their respective successors. Nothing expressed or mentioned in this Agreement is intended or shall be construed to give any person, firm or corporation, other than the Manager, the Forward Seller, the Forward Purchaser, the Company and their respective successors and the controlling persons and officers, directors, employees or affiliates referred to in Section 10 and their heirs and legal representatives, any legal or equitable right, remedy or claim under or in respect of this Agreement or any provision herein contained. This Agreement and all conditions and provisions hereof are intended to be for the sole and exclusive benefit of the Manager, the Forward Seller, the Forward Purchaser, the Company and their respective successors, and said controlling persons and officers, directors, employees or affiliates and their heirs and legal representatives, and for the benefit of no other person, firm or corporation. No purchaser of Securities from the Manager or the Forward Seller shall be deemed to be a successor by reason merely of such purchase.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ADJUSTMENTS FOR SHARE SPLITS.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acknowledge and agree that all share-related numbers contained in this Agreement shall be adjusted to take into account any share split, share dividend or similar event effected with respect to the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GOVERNING LAW AND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 WITHOUT REGARD TO ITS CHOICE OF LAW PROVISIONS. UNLESS OTHERWISE EXPLICITLY PROVIDED, SPECIFIED TIMES OF DAY REFER TO NEW YORK CITY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EFFECT OF HEADINGS.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RESEARCH ANALYST INDEPENDENCE.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that (a) the Manager’s research analysts and research departments are required to be independent from their respective investment banking divisions and are subject to certain regulations and internal policies and (b) the Manager’s research analysts may hold views and make statements or investment recommendations and/or publish research reports with respect to the Company, the value of the Common Stock and/or the offering that differ from the views of their respective investment banking divisions. The Company hereby waives and releases, to the fullest extent permitted by law, any claims that it may have against the Manager with respect to any conflict of interest that may arise from the fact that the views expressed by the Manager’s independent research analysts and research departments may be different from or inconsistent with the views or advice communicated to the Company by the Manager’s investment banking division. The Company acknowledges that the Manager is a full service securities firm and as such, from time to time, subject to applicable securities laws, may effect transactions for its own account or the account of its customers and hold long or short positions in debt or equity securities of the companies that are the subject of the transactions contemplated by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PERMITTED FREE WRITING PROSPECTUSES.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warrants and agrees that, unless it obtains the prior consent of the Manager or the Forward Seller, as applicable, and the Manager or the Forward Seller, as applicable,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Manager or the Forward Seller, as applicable,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are Permitted Free Writing Prospectuses.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ABSENCE OF FIDUCIARY RELATIONSHIP.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acknowledges and agrees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Each of the Manager, the Forward Seller and the Forward Purchaser is acting solely as agent and/or principal in connection with the public offering of the Securities and in connection with each transaction contemplated by this Agreement and the process leading to such transactions, and no fiduciary or advisory relationship among the Company or any of their respective affiliates, stockholders (or other equity holders), creditors or employees or any other party, on the one hand, and the Manager, the Forward Seller and the Forward Purchaser, on the other hand, has been or will be created in respect of any of the transactions contemplated by this Agreement, irrespective of whether or not the Manager, the Forward Seller or the Forward Purchaser have advised or is advising the Company on other matters, and none of the Manager, the Forward Seller or the Forward Purchaser has any obligation to the Company with respect to the transactions contemplated by this Agreement except the obligations expressly set forth in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public offering price of the Securities set forth in this Agreement was not established by the Manager, the Forward Seller or the Forward Purchaser;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it is capable of evaluating and understanding, and understands and accepts, the terms, risks and conditions of the transactions contemplated by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none of the Manager, the Forward Seller or the Forward Purchaser has provided any legal, accounting, regulatory or tax advice with respect to the transactions contemplated by this Agreement and it has consulted its own legal, accounting, regulatory and tax advisors to the extent it has deemed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it is aware that the Manager, the Forward Seller, the Forward Purchaser and their respective affiliates are engaged in a broad range of transactions which may involve interests that differ from those of the Company and the Manager, the Forward Seller and the Forward Purchaser have no obligation to disclose such interests and transactions to the Company by virtue of any fiduciary, advisory or agency relationship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Manager, the Forward Seller, the Forward Purchaser and their respective affiliates may engage in trading in the Common Stock for their own account or for the account of its clients at the same time as sales of the Securities occur pursuant to this Agreement;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it waives, to the fullest extent permitted by law, any claims it may have against the Manager, the Forward Seller or the Forward Purchaser for breach of fiduciary duty or alleged breach of fiduciary duty and agrees that the Manager, the Forward Seller and the Forward Purchaser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CONSENT TO JURISDICTION.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legal suit, action or proceeding arising out of or based upon this Agreement or the transactions contemplated hereby shall be instituted in</w:t>
      </w:r>
    </w:p>
    <w:p>
      <w:pPr>
        <w:spacing w:after="0" w:line="27" w:lineRule="exact"/>
        <w:rPr>
          <w:sz w:val="20"/>
          <w:szCs w:val="20"/>
          <w:color w:val="auto"/>
        </w:rPr>
      </w:pPr>
    </w:p>
    <w:p>
      <w:pPr>
        <w:jc w:val="both"/>
        <w:ind w:firstLine="8"/>
        <w:spacing w:after="0" w:line="251" w:lineRule="auto"/>
        <w:tabs>
          <w:tab w:leader="none" w:pos="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PARTIAL UNENFORCEABILITY.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WAIVER OF JURY TRIAL.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(on its behalf and, to the extent permitted by applicable law, on behalf of its stockholders and affiliates), the Manager, the Forward Seller and the Forward Purchaser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COUNTERPARTS.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New York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AMENDMENTS AND WAIVERS.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provision or requirement of this Agreement may be waived or amended in any respect by a writing signed by the parties hereto. No waiver or amendment shall be enforceable against any party hereto unless in writing and signed by the party against which such waiver is claimed. A waiver of any provision or requirement of this Agreement shall not constitute a waiver of any other term and shall not affect the other provisions of this Agreement. A waiver of a provision or requirement of this Agreement will apply only to the specific circumstances cited therein and will not prevent a party from subsequently requiring compliance with the waived provision or requirement in other circumstances.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by and between the Manager, the Forward Seller, the Forward Purchaser and the Company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the 2026 Equity Distribution Agreement with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as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as Forward Seller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jc w:val="both"/>
        <w:ind w:right="4519" w:firstLine="8"/>
        <w:spacing w:after="0" w:line="266" w:lineRule="auto"/>
        <w:tabs>
          <w:tab w:leader="none" w:pos="1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Forward Purchaser, solely as the recipient and/or beneficiary of certain representations, warranties, covenants and indemnities set forth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i w:val="1"/>
          <w:iCs w:val="1"/>
          <w:color w:val="auto"/>
        </w:rPr>
        <w:t>[Signature Page to the 2026 Equity Distribution Agreement with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PLACEMENT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____, 20__</w:t>
      </w:r>
    </w:p>
    <w:p>
      <w:pPr>
        <w:spacing w:after="0" w:line="225"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w:t>
      </w:r>
      <w:r>
        <w:rPr>
          <w:rFonts w:ascii="Times New Roman" w:cs="Times New Roman" w:eastAsia="Times New Roman" w:hAnsi="Times New Roman"/>
          <w:sz w:val="17"/>
          <w:szCs w:val="17"/>
          <w:color w:val="auto"/>
        </w:rPr>
        <w:t>[_________________]</w:t>
      </w:r>
    </w:p>
    <w:p>
      <w:pPr>
        <w:spacing w:after="0" w:line="2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number: [_________________])</w:t>
      </w:r>
    </w:p>
    <w:p>
      <w:pPr>
        <w:spacing w:after="0" w:line="20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Email:[______________________]</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Reference is made to the Equity Distribution Agreement among CTO Realty Growth, Inc. ,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 [ ] (the “</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 ] (in its capacity as agent for the Company in connection with the offering and sale of any Issuance Securities thereunder,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thereunder, the “</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dated as of April 29, 2026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Capitalized terms used in this Placement Notice without definition shall have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respective definitions ascribed to them in the Equity Distribution Agreement. This Placement Notice relates to [an “Issuance”]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 “Forward”]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 Company confirms that all conditions to the delivery of this Placement Notice are satisfied as of the date hereof.</w:t>
      </w:r>
    </w:p>
    <w:p>
      <w:pPr>
        <w:spacing w:after="0" w:line="2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confirms that it has not declared and will not declare any dividend, or caused or cause there to be any distribution, on the Common Stock if the ex-dividend date or ex-date, as applicable, for such dividend or distribution will occur during the period from, and including, the first Trading Day of the Forward Hedge Selling Period to, and including, the last Trading Day of the Forward Hedge Selling Period.]</w:t>
      </w:r>
      <w:r>
        <w:rPr>
          <w:rFonts w:ascii="Times New Roman" w:cs="Times New Roman" w:eastAsia="Times New Roman" w:hAnsi="Times New Roman"/>
          <w:sz w:val="29"/>
          <w:szCs w:val="29"/>
          <w:color w:val="auto"/>
          <w:vertAlign w:val="superscript"/>
        </w:rPr>
        <w:t>4</w:t>
      </w:r>
    </w:p>
    <w:p>
      <w:pPr>
        <w:spacing w:after="0" w:line="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represents and warrants that each representation, warranty, covenant and other agreement of the Company contained in the Equity Distribution Agreement [and the Master Forward Confirmation]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is true and correct on the date hereof, and that the Prospectus, including the documents incorporated by reference therein, and any applicable Issuer Free Writing Prospectus, as of the date hereof, do not contain an untrue statement of a material fact or omit to state a material fact necessary in order to make the statements therein, in light of the circumstances under which they were made, not misleading.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[Issuance]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Selling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[Issuance]</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Selling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Number of Securities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a Placement Notice that relates to an “Issuance.”</w:t>
      </w:r>
    </w:p>
    <w:p>
      <w:pPr>
        <w:spacing w:after="0" w:line="42" w:lineRule="exact"/>
        <w:rPr>
          <w:rFonts w:ascii="Times New Roman" w:cs="Times New Roman" w:eastAsia="Times New Roman" w:hAnsi="Times New Roman"/>
          <w:sz w:val="30"/>
          <w:szCs w:val="30"/>
          <w:color w:val="auto"/>
          <w:vertAlign w:val="superscript"/>
        </w:rPr>
      </w:pPr>
    </w:p>
    <w:p>
      <w:pPr>
        <w:jc w:val="both"/>
        <w:ind w:right="7000"/>
        <w:spacing w:after="0" w:line="22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Insert for a Placement Notice that relates to a “Forward.”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Insert for a Placement Notice that relates to a “Forward.” </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Insert for Placement Notice that relates to a “Forward.”</w:t>
      </w:r>
    </w:p>
    <w:p>
      <w:pPr>
        <w:ind w:right="690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Insert for a Placement Notice that relates to an “Issuance.”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Insert for a Placement Notice that relates to a “Forward.”</w:t>
      </w:r>
    </w:p>
    <w:p>
      <w:pPr>
        <w:spacing w:after="0" w:line="2" w:lineRule="exact"/>
        <w:rPr>
          <w:rFonts w:ascii="Times New Roman" w:cs="Times New Roman" w:eastAsia="Times New Roman" w:hAnsi="Times New Roman"/>
          <w:sz w:val="30"/>
          <w:szCs w:val="30"/>
          <w:color w:val="auto"/>
          <w:vertAlign w:val="superscript"/>
        </w:rPr>
      </w:pPr>
    </w:p>
    <w:p>
      <w:pPr>
        <w:ind w:right="6900"/>
        <w:spacing w:after="0" w:line="3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Insert for a Placement Notice that relates to an “Issuance.” </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Insert for a Placement Notice that relates to a “Forward.”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39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Amount: $</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[Forward Hedge Selling Commission Rate: %</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4"/>
        </w:trPr>
        <w:tc>
          <w:tcPr>
            <w:tcW w:w="51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Forward Price Reduction Dates</w:t>
            </w:r>
          </w:p>
        </w:tc>
        <w:tc>
          <w:tcPr>
            <w:tcW w:w="496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Forward Price Reduction Amounts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5160" w:type="dxa"/>
            <w:vAlign w:val="bottom"/>
          </w:tcPr>
          <w:p>
            <w:pPr>
              <w:spacing w:after="0"/>
              <w:rPr>
                <w:sz w:val="18"/>
                <w:szCs w:val="18"/>
                <w:color w:val="auto"/>
              </w:rPr>
            </w:pPr>
          </w:p>
        </w:tc>
        <w:tc>
          <w:tcPr>
            <w:tcW w:w="496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496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Initial Stock Loan Rate: [ ] per annum</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Loan Rate: [ ] per annum</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 Amounts:</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4"/>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calendar month ending on or prior to [December 31, 20[  ]]:</w:t>
            </w:r>
          </w:p>
        </w:tc>
        <w:tc>
          <w:tcPr>
            <w:tcW w:w="4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r>
      <w:tr>
        <w:trPr>
          <w:trHeight w:val="475"/>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calendar month ending after [December 31, 20[  ]]:</w:t>
            </w:r>
          </w:p>
        </w:tc>
        <w:tc>
          <w:tcPr>
            <w:tcW w:w="4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12</w:t>
            </w:r>
          </w:p>
        </w:tc>
        <w:tc>
          <w:tcPr>
            <w:tcW w:w="460" w:type="dxa"/>
            <w:vAlign w:val="bottom"/>
          </w:tcPr>
          <w:p>
            <w:pPr>
              <w:spacing w:after="0"/>
              <w:rPr>
                <w:sz w:val="24"/>
                <w:szCs w:val="24"/>
                <w:color w:val="auto"/>
              </w:rPr>
            </w:pPr>
          </w:p>
        </w:tc>
      </w:tr>
      <w:tr>
        <w:trPr>
          <w:trHeight w:val="39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[Term: [Days][Months]]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w:t>
            </w: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1"/>
        </w:trPr>
        <w:tc>
          <w:tcPr>
            <w:tcW w:w="10780" w:type="dxa"/>
            <w:vAlign w:val="bottom"/>
            <w:gridSpan w:val="3"/>
          </w:tcPr>
          <w:p>
            <w:pPr>
              <w:spacing w:after="0" w:line="331" w:lineRule="exact"/>
              <w:rPr>
                <w:sz w:val="20"/>
                <w:szCs w:val="20"/>
                <w:color w:val="auto"/>
              </w:rPr>
            </w:pPr>
            <w:r>
              <w:rPr>
                <w:rFonts w:ascii="Times New Roman" w:cs="Times New Roman" w:eastAsia="Times New Roman" w:hAnsi="Times New Roman"/>
                <w:sz w:val="18"/>
                <w:szCs w:val="18"/>
                <w:color w:val="auto"/>
              </w:rPr>
              <w:t>Floor Price (Adjustable by Company during the [Issuance]</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Selling Period, and in no event less than $1.00 per share): $</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6"/>
              </w:rPr>
              <w:t>per</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4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8"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 Placement Notice that relates to an “Issuance.”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 “Forward.”</w:t>
      </w:r>
    </w:p>
    <w:p>
      <w:pPr>
        <w:spacing w:after="0" w:line="42" w:lineRule="exact"/>
        <w:rPr>
          <w:rFonts w:ascii="Times New Roman" w:cs="Times New Roman" w:eastAsia="Times New Roman" w:hAnsi="Times New Roman"/>
          <w:sz w:val="23"/>
          <w:szCs w:val="23"/>
          <w:color w:val="auto"/>
          <w:vertAlign w:val="superscript"/>
        </w:rPr>
      </w:pPr>
    </w:p>
    <w:p>
      <w:pPr>
        <w:ind w:right="420" w:firstLine="8"/>
        <w:spacing w:after="0" w:line="199" w:lineRule="auto"/>
        <w:tabs>
          <w:tab w:leader="none" w:pos="195"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 Placement Notice that relates to a “Forward.” Regular Dividend Amounts shall not exceed the Forward Price Reduction Amount for the Forward Price Reduction Date occurring in the relevant month (or, if none, shall not exceed zero).</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 Placement Notice that relates to a “Forward” to be not less than three months and not more than 2 years.</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an “Issuance.”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 “Forward.”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INDIVIDUALS FOR PLACEMENT NOTICES AND ACCEPTANCES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CTO Realty Growth, Inc.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40" w:type="dxa"/>
            <w:vAlign w:val="bottom"/>
            <w:tcBorders>
              <w:top w:val="single" w:sz="8" w:color="auto"/>
              <w:left w:val="single" w:sz="8" w:color="auto"/>
            </w:tcBorders>
          </w:tcPr>
          <w:p>
            <w:pPr>
              <w:spacing w:after="0"/>
              <w:rPr>
                <w:sz w:val="16"/>
                <w:szCs w:val="16"/>
                <w:color w:val="auto"/>
              </w:rPr>
            </w:pPr>
          </w:p>
        </w:tc>
        <w:tc>
          <w:tcPr>
            <w:tcW w:w="3460" w:type="dxa"/>
            <w:vAlign w:val="bottom"/>
            <w:tcBorders>
              <w:top w:val="single" w:sz="8" w:color="auto"/>
            </w:tcBorders>
            <w:gridSpan w:val="3"/>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right w:val="single" w:sz="8" w:color="auto"/>
            </w:tcBorders>
          </w:tcPr>
          <w:p>
            <w:pPr>
              <w:spacing w:after="0"/>
              <w:rPr>
                <w:sz w:val="16"/>
                <w:szCs w:val="16"/>
                <w:color w:val="auto"/>
              </w:rPr>
            </w:pPr>
          </w:p>
        </w:tc>
        <w:tc>
          <w:tcPr>
            <w:tcW w:w="560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0"/>
        </w:trPr>
        <w:tc>
          <w:tcPr>
            <w:tcW w:w="94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John Albright</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ind w:left="2180"/>
              <w:spacing w:after="0"/>
              <w:rPr>
                <w:sz w:val="20"/>
                <w:szCs w:val="20"/>
                <w:color w:val="auto"/>
              </w:rPr>
            </w:pPr>
            <w:r>
              <w:rPr>
                <w:rFonts w:ascii="Times New Roman" w:cs="Times New Roman" w:eastAsia="Times New Roman" w:hAnsi="Times New Roman"/>
                <w:sz w:val="18"/>
                <w:szCs w:val="18"/>
                <w:color w:val="auto"/>
              </w:rPr>
              <w:t>***@****.com</w:t>
            </w: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Philip Mays</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w:t>
            </w:r>
          </w:p>
        </w:tc>
      </w:tr>
      <w:tr>
        <w:trPr>
          <w:trHeight w:val="42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as Manager</w:t>
            </w:r>
          </w:p>
        </w:tc>
        <w:tc>
          <w:tcPr>
            <w:tcW w:w="1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169"/>
        </w:trPr>
        <w:tc>
          <w:tcPr>
            <w:tcW w:w="940" w:type="dxa"/>
            <w:vAlign w:val="bottom"/>
            <w:tcBorders>
              <w:left w:val="single" w:sz="8" w:color="auto"/>
            </w:tcBorders>
          </w:tcPr>
          <w:p>
            <w:pPr>
              <w:spacing w:after="0"/>
              <w:rPr>
                <w:sz w:val="14"/>
                <w:szCs w:val="14"/>
                <w:color w:val="auto"/>
              </w:rPr>
            </w:pPr>
          </w:p>
        </w:tc>
        <w:tc>
          <w:tcPr>
            <w:tcW w:w="3460" w:type="dxa"/>
            <w:vAlign w:val="bottom"/>
            <w:gridSpan w:val="3"/>
          </w:tcPr>
          <w:p>
            <w:pPr>
              <w:jc w:val="center"/>
              <w:ind w:left="21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0"/>
        </w:trPr>
        <w:tc>
          <w:tcPr>
            <w:tcW w:w="940" w:type="dxa"/>
            <w:vAlign w:val="bottom"/>
            <w:tcBorders>
              <w:left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left="1570"/>
              <w:spacing w:after="0"/>
              <w:rPr>
                <w:sz w:val="20"/>
                <w:szCs w:val="20"/>
                <w:color w:val="auto"/>
              </w:rPr>
            </w:pPr>
            <w:r>
              <w:rPr>
                <w:rFonts w:ascii="Times New Roman" w:cs="Times New Roman" w:eastAsia="Times New Roman" w:hAnsi="Times New Roman"/>
                <w:sz w:val="18"/>
                <w:szCs w:val="18"/>
                <w:color w:val="auto"/>
                <w:w w:val="96"/>
              </w:rPr>
              <w:t>[ ]</w:t>
            </w:r>
          </w:p>
        </w:tc>
        <w:tc>
          <w:tcPr>
            <w:tcW w:w="13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249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bottom w:val="single" w:sz="8" w:color="auto"/>
              <w:right w:val="single" w:sz="8" w:color="auto"/>
            </w:tcBorders>
          </w:tcPr>
          <w:p>
            <w:pPr>
              <w:spacing w:after="0"/>
              <w:rPr>
                <w:sz w:val="18"/>
                <w:szCs w:val="18"/>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left="1570"/>
              <w:spacing w:after="0"/>
              <w:rPr>
                <w:sz w:val="20"/>
                <w:szCs w:val="20"/>
                <w:color w:val="auto"/>
              </w:rPr>
            </w:pPr>
            <w:r>
              <w:rPr>
                <w:rFonts w:ascii="Times New Roman" w:cs="Times New Roman" w:eastAsia="Times New Roman" w:hAnsi="Times New Roman"/>
                <w:sz w:val="18"/>
                <w:szCs w:val="18"/>
                <w:color w:val="auto"/>
                <w:w w:val="96"/>
              </w:rPr>
              <w:t>[ ]</w:t>
            </w:r>
          </w:p>
        </w:tc>
        <w:tc>
          <w:tcPr>
            <w:tcW w:w="13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249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bottom w:val="single" w:sz="8" w:color="auto"/>
              <w:right w:val="single" w:sz="8" w:color="auto"/>
            </w:tcBorders>
          </w:tcPr>
          <w:p>
            <w:pPr>
              <w:spacing w:after="0"/>
              <w:rPr>
                <w:sz w:val="18"/>
                <w:szCs w:val="18"/>
                <w:color w:val="auto"/>
              </w:rPr>
            </w:pPr>
          </w:p>
        </w:tc>
      </w:tr>
      <w:tr>
        <w:trPr>
          <w:trHeight w:val="642"/>
        </w:trPr>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40"/>
          </w:cols>
          <w:pgMar w:left="320" w:top="900"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Manager shall be paid compensation at a mutually agreed rate, not to exceed 2.0% of the gross sales price of Issuance Securities pursuant to the terms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OFFICERS’ CERTIFICATE OF THE COMPANY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Officers’ Certificate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CORPORATE OPINION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VINSON &amp; ELKINS L.L.P.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Officers’ Certificate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TAX OPINION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VINSON &amp; ELKINS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VENABLE LLP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2" w:name="page113"/>
    <w:bookmarkEnd w:id="11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u w:val="single" w:color="auto"/>
          <w:color w:val="auto"/>
        </w:rPr>
        <w:t>PERMITTED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Opening Transaction</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CTO Realty Growth, Inc.</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Issuer Share Forward Sale Transactions</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is to set forth the terms and conditions of the transactions to be entered into from time to time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CTO Realty Growth,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in accordance with the terms of the Equity Distribution Agreement dated April 29, 2026 among Dealer, and Counterparty (the “</w:t>
      </w:r>
      <w:r>
        <w:rPr>
          <w:rFonts w:ascii="Times New Roman" w:cs="Times New Roman" w:eastAsia="Times New Roman" w:hAnsi="Times New Roman"/>
          <w:sz w:val="18"/>
          <w:szCs w:val="18"/>
          <w:b w:val="1"/>
          <w:bCs w:val="1"/>
          <w:color w:val="auto"/>
        </w:rPr>
        <w:t>Equity Distribution Agreement</w:t>
      </w:r>
      <w:r>
        <w:rPr>
          <w:rFonts w:ascii="Times New Roman" w:cs="Times New Roman" w:eastAsia="Times New Roman" w:hAnsi="Times New Roman"/>
          <w:sz w:val="18"/>
          <w:szCs w:val="18"/>
          <w:color w:val="auto"/>
        </w:rPr>
        <w:t>”) on the Trade Dates specified herein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[Dealer is acting as principal in this Transaction and its affiliate [______] (“Agent”) is</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acting as agent for this Transaction solely in connection with Rule 15a-6 of the Exchange Act (as defined herein), as amended).]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This communication constitutes a “Confirmation” as referred to in the Agreement specified below. Each Transaction will be evidenced by a supplemental confirmation (each, a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and each such Supplemental Confirmation, together with this Master Confirmation, a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for purposes of the Agreement specified below) substantially in the form of Exhibit A hereto.</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             Each Confirmation is subject to, and incorporates,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For purposes of the Equity Definitions, each Transaction will be deemed to be a Share Forward Transaction.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Confirmation shall supplement, form a part of and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ISDA 2002 Master Agreement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published by ISDA, as if Dealer and Counterparty had executed the ISDA Form on the date hereof (but without any Schedule except for (i) the election of New York law (without regard to New York’s choice of laws doctrine other than Title 14 of Article 5 of the New York General Obligations Law (the “</w:t>
      </w:r>
      <w:r>
        <w:rPr>
          <w:rFonts w:ascii="Times New Roman" w:cs="Times New Roman" w:eastAsia="Times New Roman" w:hAnsi="Times New Roman"/>
          <w:sz w:val="18"/>
          <w:szCs w:val="18"/>
          <w:b w:val="1"/>
          <w:bCs w:val="1"/>
          <w:color w:val="auto"/>
        </w:rPr>
        <w:t>General Obligations Law</w:t>
      </w:r>
      <w:r>
        <w:rPr>
          <w:rFonts w:ascii="Times New Roman" w:cs="Times New Roman" w:eastAsia="Times New Roman" w:hAnsi="Times New Roman"/>
          <w:sz w:val="18"/>
          <w:szCs w:val="18"/>
          <w:color w:val="auto"/>
        </w:rPr>
        <w:t>”)) as the governing law and US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xml:space="preserve">”) as the Termination Currency and (ii) the election that the “Cross Default” provisions of Section 5(a)(vi) shall apply to Dealer and Counterparty with a “Threshold Amount” in respect of Dealer of 3% of the stockholders’ equity of Dealer and a “Threshold Amount” in respect of Counterparty of USD $100 million (including its equivalent in another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words “, or becoming capable at such time of being declared,” shall be deleted from clause (1) thereof, (y) “Specified Indebtedness” has the meaning specified in Section 14 of the Agreement, except that such term shall not include obligations in respect of deposits received in the ordinary course of Dealer’s banking business and (z)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provisions contained in the Agreement are incorporated into and shall govern each Confirmation except as expressly modified below. Each Confirmation evidences a complete and binding agreement between Dealer and Counterparty as to the terms of the relevant Transaction and replaces any previous agreement between the parties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i w:val="1"/>
          <w:iCs w:val="1"/>
          <w:color w:val="auto"/>
        </w:rPr>
        <w:t>NTD</w:t>
      </w:r>
      <w:r>
        <w:rPr>
          <w:rFonts w:ascii="Times New Roman" w:cs="Times New Roman" w:eastAsia="Times New Roman" w:hAnsi="Times New Roman"/>
          <w:sz w:val="18"/>
          <w:szCs w:val="18"/>
          <w:color w:val="auto"/>
        </w:rPr>
        <w:t>: add for dealers with affiliated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Transactions hereunder shall be the sole Transactions under the Agreement. If there exists any ISDA Master Agreement between Dealer or any of its Affiliates and Counterparty or any confirmation or other agreement between Dealer or any of its Affiliates and Counterparty pursuant to which an ISDA Master Agreement is deemed to exist between Dealer or any of its Affiliates and Counterparty, then notwithstanding anything to the contrary in such ISDA Master Agreement, such confirmation or agreement or any other agreement to which Dealer or such other Affiliates and Counterparty are parties, the Transactions shall not be considered Transactions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terms of the particular Transactions to which this Master Confirmation relates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General Terms:</w:t>
            </w:r>
          </w:p>
        </w:tc>
        <w:tc>
          <w:tcPr>
            <w:tcW w:w="1200" w:type="dxa"/>
            <w:vAlign w:val="bottom"/>
          </w:tcPr>
          <w:p>
            <w:pPr>
              <w:spacing w:after="0"/>
              <w:rPr>
                <w:sz w:val="17"/>
                <w:szCs w:val="17"/>
                <w:color w:val="auto"/>
              </w:rPr>
            </w:pPr>
          </w:p>
        </w:tc>
        <w:tc>
          <w:tcPr>
            <w:tcW w:w="8720" w:type="dxa"/>
            <w:vAlign w:val="bottom"/>
          </w:tcPr>
          <w:p>
            <w:pPr>
              <w:spacing w:after="0"/>
              <w:rPr>
                <w:sz w:val="17"/>
                <w:szCs w:val="17"/>
                <w:color w:val="auto"/>
              </w:rPr>
            </w:pPr>
          </w:p>
        </w:tc>
      </w:tr>
      <w:tr>
        <w:trPr>
          <w:trHeight w:val="394"/>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Date:</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subject to</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provisions opposite the caption “Early Valuation” below, the last Trading Day (as defined in the Equity</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 Agreement) of the Forward Hedge Selling Period (as defined in the Equity Distribution</w:t>
            </w:r>
          </w:p>
        </w:tc>
      </w:tr>
      <w:tr>
        <w:trPr>
          <w:trHeight w:val="234"/>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Agreement) for such Transaction.</w:t>
            </w:r>
          </w:p>
        </w:tc>
      </w:tr>
      <w:tr>
        <w:trPr>
          <w:trHeight w:val="373"/>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Effective Date:</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For each Transaction, as specified in the Supplemental Confirmation for such Transaction, to be the date that</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 one Clearance System Business Day following the Trade Date for such Transaction, or such later date on</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which the conditions set forth in Section 3 of this Master Confirmation shall have been satisfied or waived</w:t>
            </w:r>
          </w:p>
        </w:tc>
      </w:tr>
      <w:tr>
        <w:trPr>
          <w:trHeight w:val="234"/>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 Dealer.</w:t>
            </w:r>
          </w:p>
        </w:tc>
      </w:tr>
      <w:tr>
        <w:trPr>
          <w:trHeight w:val="392"/>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Buyer:</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Dealer</w:t>
            </w:r>
          </w:p>
        </w:tc>
      </w:tr>
      <w:tr>
        <w:trPr>
          <w:trHeight w:val="392"/>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Seller:</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Counterparty</w:t>
            </w:r>
          </w:p>
        </w:tc>
      </w:tr>
      <w:tr>
        <w:trPr>
          <w:trHeight w:val="373"/>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Maturity Date:</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For each Transaction, as specified in the Supplemental Confirmation for such Transaction, to be the date that</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follows the Trade Date for such Transaction by the number of days or months set forth in the Placement</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Notice (as defined in the Equity Distribution Agreement and amended by any corresponding Acceptance (as</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defined in the Equity Distribution Agreement), if applicable (the “Accepted Placement Notice”)) for such</w:t>
            </w:r>
          </w:p>
        </w:tc>
      </w:tr>
      <w:tr>
        <w:trPr>
          <w:trHeight w:val="234"/>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Transaction (or, if such date is not a Scheduled Trading Day, the next following Scheduled Trading Day).</w:t>
            </w:r>
          </w:p>
        </w:tc>
      </w:tr>
      <w:tr>
        <w:trPr>
          <w:trHeight w:val="392"/>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shares of common stock, par value USD $0.01 per Share, of Counterparty (Ticker: “CTO”)</w:t>
            </w:r>
          </w:p>
        </w:tc>
      </w:tr>
      <w:tr>
        <w:trPr>
          <w:trHeight w:val="373"/>
        </w:trPr>
        <w:tc>
          <w:tcPr>
            <w:tcW w:w="100" w:type="dxa"/>
            <w:vAlign w:val="bottom"/>
          </w:tcPr>
          <w:p>
            <w:pPr>
              <w:spacing w:after="0"/>
              <w:rPr>
                <w:sz w:val="24"/>
                <w:szCs w:val="24"/>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Number of Shares:</w:t>
            </w: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 each Transaction, initially, as specified in the Supplemental Confirmation for such Transaction, to be the</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number of Shares equal to the Actual Sold Forward Amount (as defined in the Equity Distribution</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Agreement) for the Forward Hedge Selling Period for such Transaction, as reduced on each Relevant</w:t>
            </w:r>
          </w:p>
        </w:tc>
      </w:tr>
      <w:tr>
        <w:trPr>
          <w:trHeight w:val="216"/>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Settlement Date (as defined under “Settlement Terms” below) by the number of Settlement Shares to which</w:t>
            </w:r>
          </w:p>
        </w:tc>
      </w:tr>
      <w:tr>
        <w:trPr>
          <w:trHeight w:val="234"/>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related Valuation Date relates.</w:t>
            </w:r>
          </w:p>
        </w:tc>
      </w:tr>
      <w:tr>
        <w:trPr>
          <w:trHeight w:val="877"/>
        </w:trPr>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Currency:</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USD</w:t>
            </w:r>
          </w:p>
        </w:tc>
      </w:tr>
      <w:tr>
        <w:trPr>
          <w:trHeight w:val="392"/>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92"/>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Related Exchange: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91"/>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Prepayment:</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2"/>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Variable Obligation:</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7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Forward Price: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each Transaction, on the Effective Date for such Transaction, the Initial Forward Price for such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and on any day thereafter, the product of the Forward Price for such Transaction on the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immediately preceding calendar day and 1 + the Daily Rate * (1/365);</w:t>
            </w:r>
          </w:p>
        </w:tc>
      </w:tr>
      <w:tr>
        <w:trPr>
          <w:trHeight w:val="414"/>
        </w:trPr>
        <w:tc>
          <w:tcPr>
            <w:tcW w:w="2980" w:type="dxa"/>
            <w:vAlign w:val="bottom"/>
          </w:tcPr>
          <w:p>
            <w:pPr>
              <w:spacing w:after="0"/>
              <w:rPr>
                <w:sz w:val="24"/>
                <w:szCs w:val="24"/>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provided that the Forward Price for such Transaction on each Forward Price Reduction Date for such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shall be the Forward Price for such Transaction otherwise in effect on such date minus the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Forward Price Reduction Amount for such Forward Price Reduction Date.</w:t>
            </w:r>
          </w:p>
        </w:tc>
      </w:tr>
      <w:tr>
        <w:trPr>
          <w:trHeight w:val="414"/>
        </w:trPr>
        <w:tc>
          <w:tcPr>
            <w:tcW w:w="2980" w:type="dxa"/>
            <w:vAlign w:val="bottom"/>
          </w:tcPr>
          <w:p>
            <w:pPr>
              <w:spacing w:after="0"/>
              <w:rPr>
                <w:sz w:val="24"/>
                <w:szCs w:val="24"/>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Notwithstanding the foregoing, to the extent Counterparty delivers Shares hereunder on or after a Forward</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Price Reduction Date and at or before the record date for an ordinary cash dividend with an ex-dividend date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corresponding to such Forward Price Reduction Date (and, for the avoidance of doubt, the related dividend</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will be paid on such Shares), the Calculation Agent shall adjust the Forward Price to the extent the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 Agent determines, in good faith and its commercially reasonable discretion, that such an</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 is practicable and appropriate to preserve the economic intent of the parties (taking into account</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Dealer’s commercially reasonable Hedge Positions in respect of the Transaction).</w:t>
            </w:r>
          </w:p>
        </w:tc>
      </w:tr>
      <w:tr>
        <w:trPr>
          <w:trHeight w:val="37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Initial Forward Price: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product</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(i) an amount equal to 1 minus the Forward Hedge Selling Commission Rate (as defined in the Equity</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Distribution Agreement) applicable to such Transaction; and (ii) the Volume-Weighted Hedge Price, subject</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adjustment as set forth herein.</w:t>
            </w:r>
          </w:p>
        </w:tc>
      </w:tr>
      <w:tr>
        <w:trPr>
          <w:trHeight w:val="37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Volume-Weighted Hedge Price: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volume-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weighted average of the Sales Prices (as defined in the Equity Distribution Agreement) per share of Forward</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Hedge Securities (as defined in the Equity Distribution Agreement) sold on each Trading Day of the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Forward Hedge Selling Period for such Transaction, as determined by the Calculation Agent; provided that,</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solely for the purposes of calculating the Initial Forward Price, each such Sales Price (other than, with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 to the application of the Daily Rate, the Sales Price for the last day of the relevant Forward Hedge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Selling Period) shall be subject to adjustment by the Calculation Agent (including, for the avoidance of</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doubt, by application of the Daily Rate and any Forward Price Reduction Amount), in the same manner as</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Forward Price pursuant to the definition thereof during the period from, and including, the date one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Clearance System Business Day immediately following the first Trading Day of the relevant Forward Hedge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Selling Period on which the Forward Hedge Securities related to such Sales Price are sold (or, for any Sales</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Price adjusted with respect to any Forward Price Reduction Amount, the related Forward Price Reduction</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Date after the Trading Day on which the related Forward Hedge Securities were sold for such Sales Price)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and including, the Effective Date of such Transaction.</w:t>
            </w:r>
          </w:p>
        </w:tc>
      </w:tr>
      <w:tr>
        <w:trPr>
          <w:trHeight w:val="877"/>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Daily Rate: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day, the Overnight Bank Rate (or if the Overnight Bank Rate is no longer available, a successor rate</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selected by the Calculation Agent in its commercially reasonable discretion) minus the Spread.</w:t>
            </w:r>
          </w:p>
        </w:tc>
      </w:tr>
      <w:tr>
        <w:trPr>
          <w:trHeight w:val="392"/>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Spread:</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73"/>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Overnight Bank Rate: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displayed</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the page “OBFR01 &lt;Index&gt; &lt;GO&gt;” on the BLOOMBERG Professional Service, or any successor page;</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provided that, if no such rate appears for such day on such page, Overnight Bank Rate for such day shall be</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rate for the immediately preceding day for which such a rate appears.</w:t>
            </w:r>
          </w:p>
        </w:tc>
      </w:tr>
      <w:tr>
        <w:trPr>
          <w:trHeight w:val="373"/>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Forward Price Reduction Dates:</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each Transaction, as specified in Schedule I to the Supplemental Confirmation for such Transaction, to</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 each date after the first Trading Day of the relevant Forward Hedge Selling Period set forth under the</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heading “Forward Price Reduction Dates” in the Accepted Placement Notice for such Transaction.</w:t>
            </w:r>
          </w:p>
        </w:tc>
      </w:tr>
      <w:tr>
        <w:trPr>
          <w:trHeight w:val="373"/>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each Forward Price Reduction Date of a Transaction, as specified in Schedule I to the Supplemental</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Confirmation for such Transaction, to be the Forward Price Reduction Amount set forth opposite such date</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the Accepted Placement Notice for such Transaction.</w:t>
            </w:r>
          </w:p>
        </w:tc>
      </w:tr>
      <w:tr>
        <w:trPr>
          <w:trHeight w:val="351"/>
        </w:trPr>
        <w:tc>
          <w:tcPr>
            <w:tcW w:w="10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81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94"/>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Settlement (as defined below) with respect to any Transaction, if Physical Settlement is applicable,</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designated in the relevant Settlement Notice (as defined below); or if Cash Settlement or Net Share</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 is applicable, the last Unwind Date for such Settlement. Section 6.6 of the Equity Definitions</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shall not apply to any Valuation Date.</w:t>
            </w:r>
          </w:p>
        </w:tc>
      </w:tr>
      <w:tr>
        <w:trPr>
          <w:trHeight w:val="373"/>
        </w:trPr>
        <w:tc>
          <w:tcPr>
            <w:tcW w:w="100" w:type="dxa"/>
            <w:vAlign w:val="bottom"/>
          </w:tcPr>
          <w:p>
            <w:pPr>
              <w:spacing w:after="0"/>
              <w:rPr>
                <w:sz w:val="24"/>
                <w:szCs w:val="24"/>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Unwind Dates:</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each</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day on which Dealer (or its agent or affiliate) purchases Shares in the market in connection with unwinding</w:t>
            </w: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its commercially reasonable hedge position in connection with such Settlement, starting on the First Unwind</w:t>
            </w: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 for such Settlement.</w:t>
            </w:r>
          </w:p>
        </w:tc>
      </w:tr>
      <w:tr>
        <w:trPr>
          <w:trHeight w:val="877"/>
        </w:trPr>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First Unwind Date: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as</w:t>
            </w:r>
          </w:p>
        </w:tc>
      </w:t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in the relevant Settlement Notice.</w:t>
            </w:r>
          </w:p>
        </w:tc>
      </w:tr>
      <w:tr>
        <w:trPr>
          <w:trHeight w:val="373"/>
        </w:trPr>
        <w:tc>
          <w:tcPr>
            <w:tcW w:w="10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Unwind Period:</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the</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 starting on the First Unwind Date for such Settlement and ending on the Valuation Date for such</w:t>
            </w:r>
          </w:p>
        </w:tc>
      </w:t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r>
      <w:tr>
        <w:trPr>
          <w:trHeight w:val="373"/>
        </w:trPr>
        <w:tc>
          <w:tcPr>
            <w:tcW w:w="10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Settlement Valuation Disruption:</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Cash Settlement is applicable with respect to any Transaction and any Unwind Date during the related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Unwind Period is a Disrupted Day, the Calculation Agent shall determine (except in the case of a Disrupted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Day that occurs as a result of a Regulatory Disruption, which shall always be a Disrupted Day in full)</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whether (i) such Disrupted Day is a Disrupted Day in full, in which case the 10b-18 VWAP for such</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Disrupted Day shall not be included in the calculation of the Settlement Price, or (ii) such Disrupted Day is a</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Disrupted Day only in part, in which case the 10b-18 VWAP for such Disrupted Day shall be determined by</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Calculation Agent based on Rule 10b-18 eligible transactions (as defined below) in the Shares on such</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Disrupted Day, taking into account the nature and duration of the relevant Market Disruption Event, and the</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weightings of the 10b-18 VWAP and the Forward Prices for each Unwind Date during such Unwind Period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shall be adjusted in a commercially reasonable manner by the Calculation Agent for purposes of determining</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Settlement Price and the Relevant Forward Price, as applicable, to account for the occurrence of such</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partially Disrupted Day, with such adjustments based on, among other factors, the duration of any Market</w:t>
            </w:r>
          </w:p>
        </w:tc>
      </w:t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Disruption Event and the volume, historical trading patterns and price of the Shares.</w:t>
            </w:r>
          </w:p>
        </w:tc>
      </w:tr>
      <w:tr>
        <w:trPr>
          <w:trHeight w:val="373"/>
        </w:trPr>
        <w:tc>
          <w:tcPr>
            <w:tcW w:w="10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 Disruption Event:</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deleting the words “at any time during the one- hour period that ends at the relevant Valuation Time,</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Latest Exercise Time, Knock-in Valuation Time or Knock-out Valuation Time, as the case may be” and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inserting the words “at any time on any Exchange Business Day during the Unwind Period” after the word</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in the third line thereof.</w:t>
            </w:r>
          </w:p>
        </w:tc>
      </w:tr>
      <w:tr>
        <w:trPr>
          <w:trHeight w:val="216"/>
        </w:trPr>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351"/>
        </w:trPr>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Settlement Terms:</w:t>
            </w:r>
          </w:p>
        </w:tc>
        <w:tc>
          <w:tcPr>
            <w:tcW w:w="1720" w:type="dxa"/>
            <w:vAlign w:val="bottom"/>
          </w:tcPr>
          <w:p>
            <w:pPr>
              <w:spacing w:after="0"/>
              <w:rPr>
                <w:sz w:val="24"/>
                <w:szCs w:val="24"/>
                <w:color w:val="auto"/>
              </w:rPr>
            </w:pPr>
          </w:p>
        </w:tc>
        <w:tc>
          <w:tcPr>
            <w:tcW w:w="8000" w:type="dxa"/>
            <w:vAlign w:val="bottom"/>
          </w:tcPr>
          <w:p>
            <w:pPr>
              <w:spacing w:after="0"/>
              <w:rPr>
                <w:sz w:val="24"/>
                <w:szCs w:val="24"/>
                <w:color w:val="auto"/>
              </w:rPr>
            </w:pPr>
          </w:p>
        </w:tc>
      </w:tr>
      <w:tr>
        <w:trPr>
          <w:trHeight w:val="394"/>
        </w:trPr>
        <w:tc>
          <w:tcPr>
            <w:tcW w:w="10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Settlement:</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respect to any Transaction, any Physical Settlement, Cash Settlement or Net Share Settlement of all or</w:t>
            </w:r>
          </w:p>
        </w:tc>
      </w:tr>
      <w:tr>
        <w:trPr>
          <w:trHeight w:val="234"/>
        </w:trPr>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portion of such Transaction.</w:t>
            </w:r>
          </w:p>
        </w:tc>
      </w:tr>
      <w:tr>
        <w:trPr>
          <w:trHeight w:val="877"/>
        </w:trPr>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Notice:</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For any Transaction, subject to “Early Valuation” below, Counterparty may elect to effect a Settlement of all</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or any portion of such Transaction by designating one or more Scheduled Trading Days following the</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Effective Date for such Transaction and on or prior to the Maturity Date for such Transaction to be Valuation</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Dates (or, with respect to Cash Settlements or Net Share Settlements of such Transaction, First Unwind</w:t>
            </w:r>
          </w:p>
        </w:tc>
      </w:tr>
      <w:tr>
        <w:trPr>
          <w:trHeight w:val="212"/>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Dates, each of which First Unwind Dates shall occur no later than the sixtieth (60th) Scheduled Trading Day</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immediately preceding the Maturity Date for such Transaction) in a written notice to Dealer (a “</w:t>
            </w:r>
            <w:r>
              <w:rPr>
                <w:rFonts w:ascii="Times New Roman" w:cs="Times New Roman" w:eastAsia="Times New Roman" w:hAnsi="Times New Roman"/>
                <w:sz w:val="18"/>
                <w:szCs w:val="18"/>
                <w:b w:val="1"/>
                <w:bCs w:val="1"/>
                <w:color w:val="auto"/>
              </w:rPr>
              <w:t>Settlement</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Notice</w:t>
            </w:r>
            <w:r>
              <w:rPr>
                <w:rFonts w:ascii="Times New Roman" w:cs="Times New Roman" w:eastAsia="Times New Roman" w:hAnsi="Times New Roman"/>
                <w:sz w:val="18"/>
                <w:szCs w:val="18"/>
                <w:color w:val="auto"/>
                <w:w w:val="99"/>
              </w:rPr>
              <w:t>”) delivered no later than the applicable Settlement Method Election Date for such Transaction, which</w:t>
            </w:r>
          </w:p>
        </w:tc>
      </w:tr>
      <w:tr>
        <w:trPr>
          <w:trHeight w:val="220"/>
        </w:trPr>
        <w:tc>
          <w:tcPr>
            <w:tcW w:w="2620" w:type="dxa"/>
            <w:vAlign w:val="bottom"/>
          </w:tcPr>
          <w:p>
            <w:pPr>
              <w:spacing w:after="0"/>
              <w:rPr>
                <w:sz w:val="19"/>
                <w:szCs w:val="19"/>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notice shall also specify (i) the number of Shares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for such Settlement (not to</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exceed the number of Undesignated Shares for such Transaction as of the date of such Settlement Notice)</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and (ii) the Settlement Method applicable to such Settlement; provided that (A) Counterparty may not</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designate a First Unwind Date for a Cash Settlement or a Net Share Settlement of any Transaction if, as of</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date of such Settlement Notice, any Shares have been designated as Settlement Shares for a Cash</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Settlement or a Net Share Settlement of such Transaction for which the related Relevant Settlement Date has</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 occurred; and (B) if the number of Undesignated Shares as of the Maturity Date for such Transaction is</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 zero, then the Maturity Date for such Transaction shall be a Valuation Date for a Physical Settlement of</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such Transaction and the number of Settlement Shares for such Settlement shall be the number of</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Undesignated Shares for such Transaction as of the Maturity Date for such Transaction (provided that if such</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Maturity Date occurs during the period from the time any Settlement Notice is given for a Cash Settlement</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or Net Share Settlement of such Transaction until the related Relevant Settlement Date, inclusive, then the</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provisions set forth below opposite “Early Valuation” shall apply to such Transaction as if the Maturity Date</w:t>
            </w:r>
          </w:p>
        </w:tc>
      </w:tr>
      <w:tr>
        <w:trPr>
          <w:trHeight w:val="234"/>
        </w:trPr>
        <w:tc>
          <w:tcPr>
            <w:tcW w:w="2620" w:type="dxa"/>
            <w:vAlign w:val="bottom"/>
          </w:tcPr>
          <w:p>
            <w:pPr>
              <w:spacing w:after="0"/>
              <w:rPr>
                <w:sz w:val="20"/>
                <w:szCs w:val="20"/>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such Transaction were the Early Valuation Date for such Transaction).</w:t>
            </w:r>
          </w:p>
        </w:tc>
      </w:tr>
      <w:tr>
        <w:trPr>
          <w:trHeight w:val="373"/>
        </w:trPr>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Undesignated Shares:</w:t>
            </w: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any Transaction, as of any date, the Number of Shares for such Transaction minus the number of Shares</w:t>
            </w:r>
          </w:p>
        </w:tc>
      </w:tr>
      <w:tr>
        <w:trPr>
          <w:trHeight w:val="216"/>
        </w:trPr>
        <w:tc>
          <w:tcPr>
            <w:tcW w:w="2620" w:type="dxa"/>
            <w:vAlign w:val="bottom"/>
          </w:tcPr>
          <w:p>
            <w:pPr>
              <w:spacing w:after="0"/>
              <w:rPr>
                <w:sz w:val="18"/>
                <w:szCs w:val="18"/>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designated as Settlement Shares for Settlements of such Transaction for which the related Relevant</w:t>
            </w:r>
          </w:p>
        </w:tc>
      </w:tr>
      <w:tr>
        <w:trPr>
          <w:trHeight w:val="234"/>
        </w:trPr>
        <w:tc>
          <w:tcPr>
            <w:tcW w:w="2620" w:type="dxa"/>
            <w:vAlign w:val="bottom"/>
          </w:tcPr>
          <w:p>
            <w:pPr>
              <w:spacing w:after="0"/>
              <w:rPr>
                <w:sz w:val="20"/>
                <w:szCs w:val="20"/>
                <w:color w:val="auto"/>
              </w:rPr>
            </w:pPr>
          </w:p>
        </w:tc>
        <w:tc>
          <w:tcPr>
            <w:tcW w:w="8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Settlement Date has not occurred.</w:t>
            </w:r>
          </w:p>
        </w:tc>
      </w:tr>
      <w:tr>
        <w:trPr>
          <w:trHeight w:val="877"/>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9" w:name="page120"/>
    <w:bookmarkEnd w:id="119"/>
    <w:p>
      <w:pPr>
        <w:spacing w:after="0"/>
        <w:tabs>
          <w:tab w:leader="none" w:pos="3060" w:val="left"/>
        </w:tabs>
        <w:rPr>
          <w:sz w:val="20"/>
          <w:szCs w:val="20"/>
          <w:color w:val="auto"/>
        </w:rPr>
      </w:pPr>
      <w:r>
        <w:rPr>
          <w:rFonts w:ascii="Times New Roman" w:cs="Times New Roman" w:eastAsia="Times New Roman" w:hAnsi="Times New Roman"/>
          <w:sz w:val="18"/>
          <w:szCs w:val="18"/>
          <w:color w:val="auto"/>
        </w:rPr>
        <w:t>Settlement Method Election:</w:t>
      </w:r>
      <w:r>
        <w:rPr>
          <w:sz w:val="20"/>
          <w:szCs w:val="20"/>
          <w:color w:val="auto"/>
        </w:rPr>
        <w:tab/>
      </w:r>
      <w:r>
        <w:rPr>
          <w:rFonts w:ascii="Times New Roman" w:cs="Times New Roman" w:eastAsia="Times New Roman" w:hAnsi="Times New Roman"/>
          <w:sz w:val="17"/>
          <w:szCs w:val="17"/>
          <w:color w:val="auto"/>
        </w:rPr>
        <w:t>For any Transaction, applicable; provided that:</w:t>
      </w:r>
    </w:p>
    <w:p>
      <w:pPr>
        <w:spacing w:after="0" w:line="225" w:lineRule="exact"/>
        <w:rPr>
          <w:sz w:val="20"/>
          <w:szCs w:val="20"/>
          <w:color w:val="auto"/>
        </w:rPr>
      </w:pPr>
    </w:p>
    <w:p>
      <w:pPr>
        <w:ind w:left="3080" w:firstLine="3"/>
        <w:spacing w:after="0" w:line="282" w:lineRule="auto"/>
        <w:tabs>
          <w:tab w:leader="none" w:pos="3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Share Settlement shall be deemed to be included as an additional settlement method under Section 7.1 of the Equity Definitions;</w:t>
      </w:r>
    </w:p>
    <w:p>
      <w:pPr>
        <w:spacing w:after="0" w:line="161" w:lineRule="exact"/>
        <w:rPr>
          <w:rFonts w:ascii="Times New Roman" w:cs="Times New Roman" w:eastAsia="Times New Roman" w:hAnsi="Times New Roman"/>
          <w:sz w:val="18"/>
          <w:szCs w:val="18"/>
          <w:color w:val="auto"/>
        </w:rPr>
      </w:pPr>
    </w:p>
    <w:p>
      <w:pPr>
        <w:jc w:val="both"/>
        <w:ind w:left="3080" w:firstLine="3"/>
        <w:spacing w:after="0" w:line="252" w:lineRule="auto"/>
        <w:tabs>
          <w:tab w:leader="none" w:pos="33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elect Cash Settlement or Net Share Settlement for any Settlement of any Transaction only if Counterparty represents and warrants to Dealer in the Settlement Notice containing such election that, as of the date of such Settlement Notice: (A) Counterparty is not aware of any material nonpublic information concerning itself or the Shares; (B) Counterparty is electing the settlement method and designating the First Unwind Date specified in such Settlement Notice in good faith and not as part of a plan or scheme to evade compliance with Rule 10b-5 (“</w:t>
      </w:r>
      <w:r>
        <w:rPr>
          <w:rFonts w:ascii="Times New Roman" w:cs="Times New Roman" w:eastAsia="Times New Roman" w:hAnsi="Times New Roman"/>
          <w:sz w:val="18"/>
          <w:szCs w:val="18"/>
          <w:b w:val="1"/>
          <w:bCs w:val="1"/>
          <w:color w:val="auto"/>
        </w:rPr>
        <w:t>Rule 10b-5</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any other provision of the federal securities laws; (C)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(D) Counterparty would be able to purchase a number of Shares equal to the greater of (x) the number of Settlement Shares designated in such Settlement Notice and</w:t>
      </w:r>
    </w:p>
    <w:p>
      <w:pPr>
        <w:spacing w:after="0" w:line="5" w:lineRule="exact"/>
        <w:rPr>
          <w:rFonts w:ascii="Times New Roman" w:cs="Times New Roman" w:eastAsia="Times New Roman" w:hAnsi="Times New Roman"/>
          <w:sz w:val="18"/>
          <w:szCs w:val="18"/>
          <w:color w:val="auto"/>
        </w:rPr>
      </w:pPr>
    </w:p>
    <w:p>
      <w:pPr>
        <w:jc w:val="both"/>
        <w:ind w:left="30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 number of Shares with a value as of the date of such Settlement Notice equal to the product of (I) such number of Settlement Shares and (II) the applicable Relevant Forward Price for such Cash Settlement or Net Share Settlement in compliance with the laws of Counterparty’s jurisdiction of organization; (E) such election, and settlement in accordance therewith, does not and will not violate or conflict with any law or regulation applicable to Counterparty, or any order or judgment of any court or other agency of government applicable to it or any of its assets, and any governmental consents that are required to have been obtained by Counterparty with respect to such election or settlement have been obtained and are in full force and effect and all conditions of any such consents have been complied with; and (F) neither Counterparty nor any of its subsidiaries has applied, and shall not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w:t>
      </w:r>
    </w:p>
    <w:p>
      <w:pPr>
        <w:spacing w:after="0" w:line="5" w:lineRule="exact"/>
        <w:rPr>
          <w:rFonts w:ascii="Times New Roman" w:cs="Times New Roman" w:eastAsia="Times New Roman" w:hAnsi="Times New Roman"/>
          <w:sz w:val="18"/>
          <w:szCs w:val="18"/>
          <w:color w:val="auto"/>
        </w:rPr>
      </w:pPr>
    </w:p>
    <w:p>
      <w:pPr>
        <w:jc w:val="both"/>
        <w:ind w:left="3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established under applicable law (whether in existence as of the Trade Date or subsequently enacted, adopted or amended), including without limitation the CARES Act and the Federal Reserve Act, as amended, and (II) (X)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Issuer, and that it has not, as of the date specified in the condition, made a capital distribution or will make a capital distribution, or (Y) where the terms of the Transaction would cause Counterparty under any circumstances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other than any such applications for Restricted Financial Assistance that were (or would be) made (x) determined based on the advice of outside counsel of national standing that the terms of the Transaction would not cause Counterparty to fail to satisfy any condition for application for or receipt or retention of such Financial Assistance based on the terms of the program or facility as of the date of such advice or (y) after delivery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551815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620" w:top="931" w:right="339" w:bottom="1440" w:gutter="0" w:footer="0" w:header="0"/>
        </w:sectPr>
      </w:pPr>
    </w:p>
    <w:bookmarkStart w:id="120" w:name="page121"/>
    <w:bookmarkEnd w:id="120"/>
    <w:p>
      <w:pPr>
        <w:ind w:left="3380"/>
        <w:spacing w:after="0" w:line="282" w:lineRule="auto"/>
        <w:rPr>
          <w:sz w:val="20"/>
          <w:szCs w:val="20"/>
          <w:color w:val="auto"/>
        </w:rPr>
      </w:pPr>
      <w:r>
        <w:rPr>
          <w:rFonts w:ascii="Times New Roman" w:cs="Times New Roman" w:eastAsia="Times New Roman" w:hAnsi="Times New Roman"/>
          <w:sz w:val="18"/>
          <w:szCs w:val="18"/>
          <w:color w:val="auto"/>
        </w:rPr>
        <w:t>(iii) Notwithstanding any election to the contrary in any Settlement Notice, Physical Settlement shall be applicable for any Settlement of any Transaction: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 to all of the Settlement Shares designated in such Settlement Notice if, at any time from the date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such Settlement Notice is received by Dealer until the related First Unwind Date, inclusive, (I) the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trading price per Share on the Exchange (as determined by Dealer in a commercially reasonable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manner) is below the Threshold Price or (II) Dealer determines, in its good faith and commercially</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reasonable judgment, that it would, after using commercially reasonable efforts, be unable to purchase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 number of Shares in the market sufficient to unwind a commercially reasonable hedge position in</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respect of the portion of the Transaction represented by such Settlement Shares and satisfy its delivery</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obligation hereunder, if any, by the Maturity Date (x) in a manner that (A) would, if Dealer were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Counterparty or an affiliated purchaser of Counterparty and taking into account any other Transactions</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hereunder with an overlapping Unwind Period, be in compliance with the safe harbor provided by</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Rule 10b-18(b) under the Exchange Act and (B) based on advice of counsel, would not raise material</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risks under applicable securities laws, other than as a result of activities by Dealer unrelated to any</w:t>
            </w:r>
          </w:p>
        </w:tc>
      </w:tr>
      <w:tr>
        <w:trPr>
          <w:trHeight w:val="234"/>
        </w:trPr>
        <w:tc>
          <w:tcPr>
            <w:tcW w:w="2440" w:type="dxa"/>
            <w:vAlign w:val="bottom"/>
          </w:tcPr>
          <w:p>
            <w:pPr>
              <w:spacing w:after="0"/>
              <w:rPr>
                <w:sz w:val="20"/>
                <w:szCs w:val="20"/>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Transaction, or (y) due to the lack of sufficient liquidity in the Shares (each, a “Trading Condition”); or</w:t>
            </w:r>
          </w:p>
        </w:tc>
      </w:tr>
      <w:tr>
        <w:trPr>
          <w:trHeight w:val="414"/>
        </w:trPr>
        <w:tc>
          <w:tcPr>
            <w:tcW w:w="2440" w:type="dxa"/>
            <w:vAlign w:val="bottom"/>
          </w:tcPr>
          <w:p>
            <w:pPr>
              <w:spacing w:after="0"/>
              <w:rPr>
                <w:sz w:val="24"/>
                <w:szCs w:val="24"/>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 to all or a portion of the Settlement Shares designated in such Settlement Notice if, on any day</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during the relevant Unwind Period, (I) the trading price per Share on the Exchange (as determined by</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9"/>
              </w:rPr>
              <w:t>Dealer in a commercially reasonable manner) is below the Threshold Price or (II) Dealer determines, in</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its good faith and commercially reasonable judgment or based on advice of counsel, as applicable, that</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 Trading Condition has occurred with respect to such Transaction, in which case the provisions set</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forth below in the fourth paragraph opposite “Early Valuation” shall apply as if such day were the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Early Valuation Date for such Transaction and (x) for purposes of clause (i) of such paragraph, such</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day shall be the last Unwind Date of such Unwind Period and the “Unwound Shares” shall be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calculated to, and including, such day and (y) for purposes of clause (ii) of such paragraph, the</w:t>
            </w:r>
          </w:p>
        </w:tc>
      </w:tr>
      <w:tr>
        <w:trPr>
          <w:trHeight w:val="216"/>
        </w:trPr>
        <w:tc>
          <w:tcPr>
            <w:tcW w:w="2440" w:type="dxa"/>
            <w:vAlign w:val="bottom"/>
          </w:tcPr>
          <w:p>
            <w:pPr>
              <w:spacing w:after="0"/>
              <w:rPr>
                <w:sz w:val="18"/>
                <w:szCs w:val="18"/>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“Remaining Shares” shall be equal to the number of Settlement Shares designated in such Settlement</w:t>
            </w:r>
          </w:p>
        </w:tc>
      </w:tr>
      <w:tr>
        <w:trPr>
          <w:trHeight w:val="234"/>
        </w:trPr>
        <w:tc>
          <w:tcPr>
            <w:tcW w:w="2440" w:type="dxa"/>
            <w:vAlign w:val="bottom"/>
          </w:tcPr>
          <w:p>
            <w:pPr>
              <w:spacing w:after="0"/>
              <w:rPr>
                <w:sz w:val="20"/>
                <w:szCs w:val="20"/>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Notice minus the Unwound Shares determined in accordance with clause (x) of this sentence.</w:t>
            </w:r>
          </w:p>
        </w:tc>
      </w:tr>
      <w:tr>
        <w:trPr>
          <w:trHeight w:val="373"/>
        </w:trPr>
        <w:tc>
          <w:tcPr>
            <w:tcW w:w="2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Threshold Price:</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50 % of the</w:t>
            </w:r>
          </w:p>
        </w:tc>
      </w:tr>
      <w:tr>
        <w:trPr>
          <w:trHeight w:val="234"/>
        </w:trPr>
        <w:tc>
          <w:tcPr>
            <w:tcW w:w="2440" w:type="dxa"/>
            <w:vAlign w:val="bottom"/>
          </w:tcPr>
          <w:p>
            <w:pPr>
              <w:spacing w:after="0"/>
              <w:rPr>
                <w:sz w:val="20"/>
                <w:szCs w:val="20"/>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Initial Forward Price for such Transaction.</w:t>
            </w:r>
          </w:p>
        </w:tc>
      </w:tr>
      <w:tr>
        <w:trPr>
          <w:trHeight w:val="877"/>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Electing Party:</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Counterparty</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Method Election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respect to any Settlement of any Transaction, the 2nd Scheduled Trading Day immediately preceding</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 the Valuation Date for such Transaction, in the case of Physical Settlement, or (y) the First Unwind Date</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such Transaction, in the case of Cash Settlement or Net Share Settlement.</w:t>
            </w:r>
          </w:p>
        </w:tc>
      </w:tr>
      <w:tr>
        <w:trPr>
          <w:trHeight w:val="392"/>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 Settlement Method:</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Physical Settlement</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Physical Settlement: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Notwithstanding Section 9.2(a)(i) of the Equity Definitions, on the Settlement Date for any Physical</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 of any Transaction, Dealer shall pay to Counterparty an amount equal to the Forward Price for</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Transaction on the relevant Settlement Date multiplied by the number of Settlement Shares for such</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 and Counterparty shall deliver to Dealer such Settlement Shares.</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Settlement of any Transaction to which Physical Settlement is applicable, the Valuation Date for</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Settlement.</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Share Settlement: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the Net Share Settlement Date for any Settlement of any Transaction to which Net Share Settlement is</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 if the Net Share Settlement Amount for such Settlement is greater than zero, Counterparty shall</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deliver a number of Shares equal to such Net Share Settlement Amount (rounded down to the nearest</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integer) to Dealer, and if such Net Share Settlement Amount is less than zero, Dealer shall deliver a number</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Shares equal to the absolute value of such Net Share Settlement Amount (rounded down to the nearest</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integer) to Counterparty, in either case, in accordance with Section 9.4 of the Equity Definitions, with such</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Share Settlement Date deemed to be a “Settlement Date” for purposes of such Section 9.4, and, in either</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case, plus cash in lieu of any fractional Shares included in such Net Share Settlement Amount but not</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delivered due to rounding required hereby, valued at the relevant Settlement Price.</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Share Settlement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Settlement of any Transaction to which Net Share Settlement is applicable, the date that follows the</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Date for such Settlement by one Clearance System Business Day.</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Share Settlement Amount: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Settlement of any Transaction to which Net Share Settlement is applicable, an amount equal to the</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Forward Cash Settlement Amount for such Settlement divided by the Settlement Price for such Settlement.</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Forward Cash Settlement Amount: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Notwithstanding Section 8.5(c) of the Equity Definitions, the Forward Cash Settlement Amount for any</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Settlement or Net Share Settlement of any Transaction shall be equal to (i) the number of Settlement</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Shares for such Settlement multiplied by (ii) an amount equal to (A) the Settlement Price for such Settlement</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minus (B) the Relevant Forward Price for such Settlement.</w:t>
            </w:r>
          </w:p>
        </w:tc>
      </w:tr>
      <w:tr>
        <w:trPr>
          <w:trHeight w:val="373"/>
        </w:trPr>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Relevant Forward Price: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Cash Settlement of any Transaction, subject to “Cash Settlement Valuation Disruption” above, the</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of the Forward Prices for such Transaction on each Unwind Date relating to such</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w:t>
            </w:r>
          </w:p>
        </w:tc>
      </w:tr>
      <w:tr>
        <w:trPr>
          <w:trHeight w:val="414"/>
        </w:trPr>
        <w:tc>
          <w:tcPr>
            <w:tcW w:w="3100" w:type="dxa"/>
            <w:vAlign w:val="bottom"/>
          </w:tcPr>
          <w:p>
            <w:pPr>
              <w:spacing w:after="0"/>
              <w:rPr>
                <w:sz w:val="24"/>
                <w:szCs w:val="24"/>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Net Share Settlement of any Transaction, the weighted average of the Forward Prices for such</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 on each Unwind Date relating to such Settlement (weighted based on the number of Shares</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purchased by Dealer or its agent or affiliate on each such Unwind Date in connection with unwinding its</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commercially reasonable hedge position in connection with such Settlement, as determined by the</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w:t>
            </w:r>
          </w:p>
        </w:tc>
      </w:tr>
      <w:tr>
        <w:trPr>
          <w:trHeight w:val="877"/>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Settlement Payment Date: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any Settlement of any Transaction to which Cash Settlement is applicable, the date that follows the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Valuation Date for such Settlement by one Clearance System Business Day.</w:t>
            </w:r>
          </w:p>
        </w:tc>
      </w:tr>
      <w:tr>
        <w:trPr>
          <w:trHeight w:val="37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Price: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any Cash Settlement of any Transaction, subject to “Cash Settlement Valuation Disruption” above, the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weighted average of the 10b-18 VWAP on each Unwind Date relating to such Settlement, plus a</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commercially reasonable amount determined by the Calculation Agent that in no event will exceed USD</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0.05.</w:t>
            </w:r>
          </w:p>
        </w:tc>
      </w:tr>
      <w:tr>
        <w:trPr>
          <w:trHeight w:val="414"/>
        </w:trPr>
        <w:tc>
          <w:tcPr>
            <w:tcW w:w="2980" w:type="dxa"/>
            <w:vAlign w:val="bottom"/>
          </w:tcPr>
          <w:p>
            <w:pPr>
              <w:spacing w:after="0"/>
              <w:rPr>
                <w:sz w:val="24"/>
                <w:szCs w:val="24"/>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any Net Share Settlement of any Transaction, the weighted average price of the purchases of Shares</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made by Dealer (or its agent or affiliate) during the Unwind Period for such Settlement in connection with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unwinding its commercially reasonable hedge position relating to such Settlement (weighted based on the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number of Shares purchased by Dealer or its agent or affiliate on each Unwind Date in connection with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unwinding its commercially reasonable hedge position in connection with such Settlement, as determined by</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Calculation Agent), plus a commercially reasonable amount determined by the Calculation Agent that in</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event will exceed USD 0.03.</w:t>
            </w:r>
          </w:p>
        </w:tc>
      </w:tr>
      <w:tr>
        <w:trPr>
          <w:trHeight w:val="373"/>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10b-18 VWAP:</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any Exchange Business Day, as determined by the Calculation Agent based on the 10b-18 Volume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Weighted Average Price per Share as reported in the composite transactions for United States exchanges and</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quotation systems for the regular trading session (including any extensions thereof) of the Exchange on such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Business Day (without regard to pre-open or after hours trading outside of such regular trading</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session for such Exchange Business Day), as published by Bloomberg at 4:15 p.m. New York time (or 15</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minutes following the end of any extension of the regular trading session) on such Exchange Business Day,</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Bloomberg page “CTO &lt;Equity&gt; AQR SEC” (or any successor thereto), or if such price is not so</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reported on such Exchange Business Day for any reason or is, in the Calculation Agent’s reasonable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determination, erroneous, such 10b-18 VWAP shall be as reasonably determined by the Calculation Agent.</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purposes of calculating the 10b-18 VWAP for such Exchange Business Day, the Calculation Agent will</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include only those trades that are reported during the period of time during which Counterparty could</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 its own shares under Rule 10b-18(b)(2) and are effected pursuant to the conditions of Rule 10b-</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18(b)(3), each under the Exchange Act (such trades, “Rule 10b-18 eligible transactions”).</w:t>
            </w:r>
          </w:p>
        </w:tc>
      </w:tr>
      <w:tr>
        <w:trPr>
          <w:trHeight w:val="878"/>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Unwind Activities:</w:t>
            </w: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times and prices at which Dealer (or its agent or affiliate) purchases any Shares during any Unwind</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Period in connection with unwinding its commercially reasonable hedge position in respect of each</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shall be determined by Dealer in a commercially reasonable manner.  Without limiting the</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generality of the foregoing, in the event that Dealer concludes, in its reasonable discretion based on advice</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counsel, that it is appropriate with respect to any legal, regulatory or self-regulatory requirements or</w:t>
            </w:r>
          </w:p>
        </w:tc>
      </w:tr>
      <w:tr>
        <w:trPr>
          <w:trHeight w:val="212"/>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related policies and procedures (whether or not such requirements, policies or procedures are imposed by</w:t>
            </w:r>
          </w:p>
        </w:tc>
      </w:tr>
      <w:tr>
        <w:trPr>
          <w:trHeight w:val="220"/>
        </w:trPr>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law or have been voluntarily adopted by Dealer) (a “</w:t>
            </w:r>
            <w:r>
              <w:rPr>
                <w:rFonts w:ascii="Times New Roman" w:cs="Times New Roman" w:eastAsia="Times New Roman" w:hAnsi="Times New Roman"/>
                <w:sz w:val="18"/>
                <w:szCs w:val="18"/>
                <w:b w:val="1"/>
                <w:bCs w:val="1"/>
                <w:color w:val="auto"/>
              </w:rPr>
              <w:t>Regulatory Disruption</w:t>
            </w:r>
            <w:r>
              <w:rPr>
                <w:rFonts w:ascii="Times New Roman" w:cs="Times New Roman" w:eastAsia="Times New Roman" w:hAnsi="Times New Roman"/>
                <w:sz w:val="18"/>
                <w:szCs w:val="18"/>
                <w:color w:val="auto"/>
              </w:rPr>
              <w:t>”), for it to refrain from</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purchasing Shares in connection with unwinding its commercially reasonable hedge position in respect of</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such Transaction on any Scheduled Trading Day that would have been an Unwind Date but for the</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occurrence of a Regulatory Disruption, Dealer may (but shall not be required to) notify Counterparty in</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writing that a Regulatory Disruption has occurred on such Scheduled Trading Day with respect to such</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in which case Dealer shall, to the extent practicable in its good faith discretion, specify the</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nature of such Regulatory Disruption. In such an instance, the Regulatory Disruption shall be deemed to be</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Market Disruption Event and, for the avoidance of doubt, such Scheduled Trading Day shall be a</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Disrupted Day in full.  Dealer may exercise its right in respect of any Regulatory Disruption only in good</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faith in relation to events or circumstances that are not the result of actions of it or any of its Affiliates that</w:t>
            </w:r>
          </w:p>
        </w:tc>
      </w:t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are taken with the intent to avoid its obligations under the Transactions.</w:t>
            </w:r>
          </w:p>
        </w:tc>
      </w:tr>
      <w:tr>
        <w:trPr>
          <w:trHeight w:val="373"/>
        </w:trPr>
        <w:tc>
          <w:tcPr>
            <w:tcW w:w="100" w:type="dxa"/>
            <w:vAlign w:val="bottom"/>
          </w:tcPr>
          <w:p>
            <w:pPr>
              <w:spacing w:after="0"/>
              <w:rPr>
                <w:sz w:val="24"/>
                <w:szCs w:val="24"/>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Relevant Settlement Date:</w:t>
            </w: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 any Settlement of any Transaction, the Settlement Date, Cash Settlement Payment Date or Net Share</w:t>
            </w:r>
          </w:p>
        </w:tc>
      </w:t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Settlement Date for such Settlement, as the case may be.</w:t>
            </w:r>
          </w:p>
        </w:tc>
      </w:tr>
      <w:tr>
        <w:trPr>
          <w:trHeight w:val="373"/>
        </w:trPr>
        <w:tc>
          <w:tcPr>
            <w:tcW w:w="100" w:type="dxa"/>
            <w:vAlign w:val="bottom"/>
          </w:tcPr>
          <w:p>
            <w:pPr>
              <w:spacing w:after="0"/>
              <w:rPr>
                <w:sz w:val="24"/>
                <w:szCs w:val="24"/>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To the extent Dealer is obligated to deliver Shares under any Transaction, the provisions of Sections 9.2 (last</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sentence only), 9.8, 9.9, 9.10, 9.11 and 9.12 of the Equity Definitions will be applicable as if “Physical</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Settlement” applied to such Transaction; provided that the Representation and Agreement contained in</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9.11 of the Equity Definitions shall be modified by excluding any representations therein relating to</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restrictions, obligations, limitations or requirements under applicable securities laws that exist as a result of</w:t>
            </w:r>
          </w:p>
        </w:tc>
      </w:t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fact that Counterparty is the issuer of the Shares.</w:t>
            </w:r>
          </w:p>
        </w:tc>
      </w:tr>
      <w:tr>
        <w:trPr>
          <w:trHeight w:val="351"/>
        </w:trPr>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Share Adjustments:</w:t>
            </w:r>
          </w:p>
        </w:tc>
        <w:tc>
          <w:tcPr>
            <w:tcW w:w="1260" w:type="dxa"/>
            <w:vAlign w:val="bottom"/>
          </w:tcPr>
          <w:p>
            <w:pPr>
              <w:spacing w:after="0"/>
              <w:rPr>
                <w:sz w:val="24"/>
                <w:szCs w:val="24"/>
                <w:color w:val="auto"/>
              </w:rPr>
            </w:pPr>
          </w:p>
        </w:tc>
        <w:tc>
          <w:tcPr>
            <w:tcW w:w="8340" w:type="dxa"/>
            <w:vAlign w:val="bottom"/>
          </w:tcPr>
          <w:p>
            <w:pPr>
              <w:spacing w:after="0"/>
              <w:rPr>
                <w:sz w:val="24"/>
                <w:szCs w:val="24"/>
                <w:color w:val="auto"/>
              </w:rPr>
            </w:pPr>
          </w:p>
        </w:tc>
      </w:tr>
      <w:tr>
        <w:trPr>
          <w:trHeight w:val="394"/>
        </w:trPr>
        <w:tc>
          <w:tcPr>
            <w:tcW w:w="100" w:type="dxa"/>
            <w:vAlign w:val="bottom"/>
          </w:tcPr>
          <w:p>
            <w:pPr>
              <w:spacing w:after="0"/>
              <w:rPr>
                <w:sz w:val="24"/>
                <w:szCs w:val="24"/>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Potential Adjustment Events:</w:t>
            </w: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 Extraordinary Dividend shall not constitute a Potential Adjustment Event. For the avoidance of doubt, a</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dividend on the Shares that differs from expected dividends as of the first Trading Day of the Forward</w:t>
            </w:r>
          </w:p>
        </w:tc>
      </w:tr>
      <w:tr>
        <w:trPr>
          <w:trHeight w:val="216"/>
        </w:trPr>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 Selling Period for such Transaction shall not be a Potential Adjustment Event under Section 11.2(e)</w:t>
            </w:r>
          </w:p>
        </w:tc>
      </w:t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(vii) of the Equity Definitions with respect to such Transaction.</w:t>
            </w:r>
          </w:p>
        </w:tc>
      </w:tr>
      <w:tr>
        <w:trPr>
          <w:trHeight w:val="877"/>
        </w:trPr>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Extraordinary Dividend:</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Transaction, any dividend or distribution on the Shares with an ex-dividend date occurring on any</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day following the first Trading Day of the Forward Hedge Selling Period for such Transaction (other than</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 any dividend or distribution of the type described in Section 11.2(e)(i) or Section 11.2(e)(ii)(A) of the</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 Definitions or (ii) a regular, quarterly cash dividend in an amount equal to or less than the Regular</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Dividend Amount for such calendar quarter for such Transaction that has an ex-dividend date no earlier than</w:t>
            </w:r>
          </w:p>
        </w:tc>
      </w:tr>
      <w:tr>
        <w:trPr>
          <w:trHeight w:val="234"/>
        </w:trPr>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Forward Price Reduction Date occurring in the relevant month for such Transaction).</w:t>
            </w:r>
          </w:p>
        </w:tc>
      </w:tr>
      <w:tr>
        <w:trPr>
          <w:trHeight w:val="373"/>
        </w:trPr>
        <w:tc>
          <w:tcPr>
            <w:tcW w:w="10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Regular Dividend Amount:</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each Transaction and for each calendar quarter from and including the calendar quarter in which the first</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Trading Day of the Forward Hedge Selling Period for such Transaction occurs to and including the calendar</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quarter in which the Maturity Date occurs, the amount set forth under the heading “Regular Dividend</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in the Accepted Placement Notice for such Transaction and for such calendar quarter (or, if no</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such amount is specified, zero), as specified in Schedule I to the Supplemental Confirmation for such</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 For the avoidance of doubt, Counterparty may not specify a Regular Dividend Amount in an</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Accepted Placement Notice for a particular calendar quarter that exceeds the Forward Price Reduction</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 for the Forward Price Reduction Date that occurs in such calendar quarter (or, if none, that exceeds</w:t>
            </w:r>
          </w:p>
        </w:tc>
      </w:tr>
      <w:tr>
        <w:trPr>
          <w:trHeight w:val="234"/>
        </w:trPr>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zero).</w:t>
            </w:r>
          </w:p>
        </w:tc>
      </w:tr>
      <w:tr>
        <w:trPr>
          <w:trHeight w:val="392"/>
        </w:trPr>
        <w:tc>
          <w:tcPr>
            <w:tcW w:w="10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Method of Adjustment:</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51"/>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840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394"/>
        </w:trPr>
        <w:tc>
          <w:tcPr>
            <w:tcW w:w="10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Extraordinary Events:</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consequences that would otherwise apply under Article 12 of the Equity Definitions (as modified</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herein) to any applicable Extraordinary Event (excluding any Failure to Deliver, Increased Cost of</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Hedging, Increased Cost of Stock Borrow, Loss of Stock Borrow or any Extraordinary Event that also</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constitutes a Bankruptcy Termination Event, but including, for the avoidance of doubt, any other applicable</w:t>
            </w:r>
          </w:p>
        </w:tc>
      </w:tr>
      <w:tr>
        <w:trPr>
          <w:trHeight w:val="234"/>
        </w:trPr>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Additional Disruption Event) shall not apply.</w:t>
            </w:r>
          </w:p>
        </w:tc>
      </w:tr>
      <w:tr>
        <w:trPr>
          <w:trHeight w:val="373"/>
        </w:trPr>
        <w:tc>
          <w:tcPr>
            <w:tcW w:w="10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Tender Offer:</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 provided that Section 12.1(d) of the Equity Definitions shall be amended by replacing the</w:t>
            </w:r>
          </w:p>
        </w:tc>
      </w:tr>
      <w:tr>
        <w:trPr>
          <w:trHeight w:val="234"/>
        </w:trPr>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reference therein to “10%” with a reference to “20%.”</w:t>
            </w:r>
          </w:p>
        </w:tc>
      </w:tr>
      <w:tr>
        <w:trPr>
          <w:trHeight w:val="373"/>
        </w:trPr>
        <w:tc>
          <w:tcPr>
            <w:tcW w:w="10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Delisting:</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addition to the provisions of Section 12.6(a)(iii) of the Equity Definitions, it shall also constitute a</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Delisting if the Exchange is located in the United States and the Shares are not immediately re-listed, re-</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traded or re-quoted on any of the New York Stock Exchange, the NASDAQ Global Select Market or the</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NASDAQ Global Market (or their respective successors); if the Shares are immediately re-listed, re- traded</w:t>
            </w:r>
          </w:p>
        </w:tc>
      </w:tr>
      <w:tr>
        <w:trPr>
          <w:trHeight w:val="216"/>
        </w:trPr>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or re-quoted on any such exchange or quotation system, such exchange or quotation system shall be deemed</w:t>
            </w:r>
          </w:p>
        </w:tc>
      </w:tr>
      <w:tr>
        <w:trPr>
          <w:trHeight w:val="234"/>
        </w:trPr>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the Exchange.</w:t>
            </w:r>
          </w:p>
        </w:tc>
      </w:tr>
      <w:tr>
        <w:trPr>
          <w:trHeight w:val="878"/>
        </w:trPr>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Disruption Events: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Hedging Disruption: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Increased Cost of Stock Borrow:</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Applicable; provided that (A) any determination as to whether (i) the adoption of or any change in any applicable law or regulation (including, without limitation, any tax law) or (ii) the promulgation of or any change in or announcement or statement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legal certainty provision in any legislation enacted, or rule or regulation promulgated, on or after the Trade Date, (B) Section 12.9(a)(ii) of the Equity Definitions is hereby amended (i) by adding the words “(including, for the avoidance of doubt and without limitation, adoption or promulgation of new regulations authorized or mandated by existing statute)” after the word “regulation” in the second line thereof and (ii) by replacing the words “the interpretation” with the words “or announcement or statement of any formal or informal interpretation” in the third line thereof and (C) the words “, unless the illegality is due to an act or omission of the party seeking to elect termination of the Transaction with the intent to avoid its obligations under the terms of the Transaction” are added immediately following the word “Transaction” in the fifth line thereof; and provided further that Section 12.9(a)(ii) of the Equity Definitions is hereby amended by adding the phrase “and/or Hedge Position” after the word “Shares” in clause (X) thereof and (iii) by immediately following the word “Transaction” in clause (X) thereof, adding the phrase “in the manner contemplated by the Hedging Party on the Trade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provided that Section 12.9(b)(vi) of the Equity Definitions shall be amended by (i) adding “or” before clause (B) of the second sentence thereof, (ii) deleting clause (C) of the second sentence thereof and (iii) deleting the third and fourth sentences thereof.</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provided that Section 12.9(b)(v) of the Equity Definitions shall be amended by (i) adding “or” before clause (B) of the second sentence thereof, (ii) deleting clause (C) of the second sentence thereof and</w:t>
      </w:r>
    </w:p>
    <w:p>
      <w:pPr>
        <w:jc w:val="both"/>
        <w:ind w:firstLine="3"/>
        <w:spacing w:after="0" w:line="25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third, fourth and fifth sentences thereof. For the avoidance of doubt, upon the announcement of any event that, if consummated, would result in a Merger Event or Tender Offer, the term “rate to borrow Shares” as used in Section 12.9(a)(viii) of the Equity Definitions shall include any commercially reasonable cost borne or amount payable by the Hedging Party in respect of maintaining or reestablishing its hedge position with respect to the relevant Transaction, including, but not limited to, any assessment or other amount payable by the Hedging Party to a lender of Shares in respect of any merger or tender offer premium,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551180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60" w:space="720"/>
            <w:col w:w="7860"/>
          </w:cols>
          <w:pgMar w:left="420" w:top="927"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Initial Stock Loan Rate:</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73"/>
        </w:trPr>
        <w:tc>
          <w:tcPr>
            <w:tcW w:w="100" w:type="dxa"/>
            <w:vAlign w:val="bottom"/>
          </w:tcPr>
          <w:p>
            <w:pPr>
              <w:spacing w:after="0"/>
              <w:rPr>
                <w:sz w:val="24"/>
                <w:szCs w:val="24"/>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of Stock Borrow:</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Applicable; provided that Section 12.9(b)(iv) of the Equity Definitions shall be amended by (i) deleting</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clause (A) of the first sentence thereof in its entirety and (ii) replacing the words “neither the Non-Hedging</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Party nor the Lending Party lends” with “the Lending Party does not lend” in the second sentence</w:t>
            </w:r>
          </w:p>
        </w:tc>
      </w:tr>
      <w:tr>
        <w:trPr>
          <w:trHeight w:val="234"/>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thereof. The Lending Party may not be the Issuer or an affiliate of the Issuer.</w:t>
            </w:r>
          </w:p>
        </w:tc>
      </w:tr>
      <w:tr>
        <w:trPr>
          <w:trHeight w:val="391"/>
        </w:trPr>
        <w:tc>
          <w:tcPr>
            <w:tcW w:w="100" w:type="dxa"/>
            <w:vAlign w:val="bottom"/>
          </w:tcPr>
          <w:p>
            <w:pPr>
              <w:spacing w:after="0"/>
              <w:rPr>
                <w:sz w:val="24"/>
                <w:szCs w:val="24"/>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Maximum Stock Loan Rate:</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92"/>
        </w:trPr>
        <w:tc>
          <w:tcPr>
            <w:tcW w:w="100" w:type="dxa"/>
            <w:vAlign w:val="bottom"/>
          </w:tcPr>
          <w:p>
            <w:pPr>
              <w:spacing w:after="0"/>
              <w:rPr>
                <w:sz w:val="24"/>
                <w:szCs w:val="24"/>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Hedging Party:</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all applicable Additional Disruption Events, Dealer.</w:t>
            </w:r>
          </w:p>
        </w:tc>
      </w:tr>
      <w:tr>
        <w:trPr>
          <w:trHeight w:val="392"/>
        </w:trPr>
        <w:tc>
          <w:tcPr>
            <w:tcW w:w="100" w:type="dxa"/>
            <w:vAlign w:val="bottom"/>
          </w:tcPr>
          <w:p>
            <w:pPr>
              <w:spacing w:after="0"/>
              <w:rPr>
                <w:sz w:val="24"/>
                <w:szCs w:val="24"/>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Determining Party:</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all applicable Extraordinary Events, Dealer.</w:t>
            </w:r>
          </w:p>
        </w:tc>
      </w:tr>
      <w:tr>
        <w:trPr>
          <w:trHeight w:val="351"/>
        </w:trPr>
        <w:tc>
          <w:tcPr>
            <w:tcW w:w="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Early Valuation:</w:t>
            </w:r>
          </w:p>
        </w:tc>
        <w:tc>
          <w:tcPr>
            <w:tcW w:w="83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394"/>
        </w:trPr>
        <w:tc>
          <w:tcPr>
            <w:tcW w:w="100" w:type="dxa"/>
            <w:vAlign w:val="bottom"/>
          </w:tcPr>
          <w:p>
            <w:pPr>
              <w:spacing w:after="0"/>
              <w:rPr>
                <w:sz w:val="24"/>
                <w:szCs w:val="24"/>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Early Valuation:</w:t>
            </w: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any  Transaction,  notwithstanding  anything  to  the  contrary  herein,  in  the  Agreement,  in  any</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Supplemental Confirmation or in the Equity Definitions, at any time (x) following the occurrence of (1) a</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Hedging Event with respect to such Transaction, (2) the declaration by Issuer of an Extraordinary Dividend,</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 (3) an ISDA Event with respect to such Transaction or (y) if an Excess Section 13 Ownership Position, an</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Excess NYSE Ownership Position or an Excess Regulatory Ownership Position exists, Dealer (or, in the</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case of such an ISDA Event that is an Event of Default or Termination Event, the party entitled to designate</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 Early Termination Date in respect of such event pursuant to Section 6 of the Agreement) shall have the</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right to designate any Scheduled Trading Day to be the “Early Valuation Date” for such Transaction, in</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which case the provisions set forth in this “Early Valuation” section shall apply to such Transaction, which</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right shall be, other than in the case of an Event of Default under Section 5(a)(vii) of the Agreement with</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 to which Dealer is the sole Defaulting Party, in lieu of those specified in Section 6 of the Agreement.</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the avoidance of doubt, any amount calculated pursuant to this “Early Valuation” section as a result of</w:t>
            </w:r>
          </w:p>
        </w:tc>
      </w:tr>
      <w:tr>
        <w:trPr>
          <w:trHeight w:val="234"/>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 Extraordinary Dividend shall not be adjusted by the value associated with such Extraordinary Dividend.</w:t>
            </w:r>
          </w:p>
        </w:tc>
      </w:tr>
      <w:tr>
        <w:trPr>
          <w:trHeight w:val="414"/>
        </w:trPr>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Dealer represents and warrants to and agrees with Counterparty that (i) based upon advice of counsel, Dealer</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does not know of the existence on the first Trading Day of the relevant Forward Hedge Selling Period of</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 Excess Section 13 Ownership Position, an Excess NYSE Ownership Position or an Excess Regulatory</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Ownership Position and (B) based on reasonable internal inquiry in the ordinary course of Dealer’s business</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does not know on the first Trading Day of the relevant Forward Hedge Selling Period of any event or</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circumstance that will cause the occurrence of an Excess Section 13 Ownership Position, an Excess NYSE</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Ownership Position or an Excess Regulatory Ownership Position on any day during the term of such</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and (ii) Dealer will not knowingly cause the occurrence of an Excess Section 13 Ownership</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Position, an Excess NYSE Ownership Position or an Excess Regulatory Ownership Position on any day</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during the term of any Transaction for the purpose, in whole or in part, of causing the occurrence of an Early</w:t>
            </w:r>
          </w:p>
        </w:tc>
      </w:tr>
      <w:tr>
        <w:trPr>
          <w:trHeight w:val="234"/>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Valuation Date.</w:t>
            </w:r>
          </w:p>
        </w:tc>
      </w:tr>
      <w:tr>
        <w:trPr>
          <w:trHeight w:val="877"/>
        </w:trPr>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7" w:name="page128"/>
    <w:bookmarkEnd w:id="127"/>
    <w:p>
      <w:pPr>
        <w:jc w:val="both"/>
        <w:ind w:left="2260"/>
        <w:spacing w:after="0" w:line="252" w:lineRule="auto"/>
        <w:rPr>
          <w:sz w:val="20"/>
          <w:szCs w:val="20"/>
          <w:color w:val="auto"/>
        </w:rPr>
      </w:pPr>
      <w:r>
        <w:rPr>
          <w:rFonts w:ascii="Times New Roman" w:cs="Times New Roman" w:eastAsia="Times New Roman" w:hAnsi="Times New Roman"/>
          <w:sz w:val="18"/>
          <w:szCs w:val="18"/>
          <w:color w:val="auto"/>
        </w:rPr>
        <w:t>If an Early Valuation Date for a Transaction occurs on a date that is not during an Unwind Period for such Transaction, then such Early Valuation Date shall be a Valuation Date for a Physical Settlement of such Transaction, and the number of Settlement Shares for such Settlement shall be the Number of Shares on such Early Valuation Date; provided that Dealer may in its sole discretion permit Counterparty to elect Cash Settlement or Net Share Settlement in respect of such Transaction. Notwithstanding anything to the contrary in this Master Confirmation, any Supplemental Confirmation, the Agreement or the Equity Definitions, if Dealer designates an Early Valuation Date with respect to a Transaction (1) following the occurrence of an ISDA Event and such Early Valuation Date is to occur before the date that is one Clearance System Business Day after the last day of the Forward Hedge Selling Period for such Transaction or (2) prior to the Counterparty’s execution of the Supplemental Confirmation relating to such Transaction, then, for purposes of such Early Valuation Date, (i) a Supplemental Confirmation relating to such Transaction reasonably completed by Dealer shall, notwithstanding the provisions under Section 3 below, be deemed to be effective; and (ii) in the case of (1), the Forward Price shall be deemed to be the Initial Forward Price (calculated assuming that the last Trading Day of such Forward Hedge Selling Period were the day immediately following the date Dealer so notifies Counterparty of such designation of an Early Valuation Date for purposes of such Early Valuation Date).</w:t>
      </w:r>
    </w:p>
    <w:p>
      <w:pPr>
        <w:spacing w:after="0" w:line="1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If an Early Valuation Date for a Transaction occurs during an Unwind Period for such Transaction, then</w:t>
      </w:r>
    </w:p>
    <w:p>
      <w:pPr>
        <w:spacing w:after="0" w:line="27" w:lineRule="exact"/>
        <w:rPr>
          <w:sz w:val="20"/>
          <w:szCs w:val="20"/>
          <w:color w:val="auto"/>
        </w:rPr>
      </w:pPr>
    </w:p>
    <w:p>
      <w:pPr>
        <w:jc w:val="both"/>
        <w:ind w:left="2260" w:firstLine="3"/>
        <w:spacing w:after="0" w:line="251" w:lineRule="auto"/>
        <w:tabs>
          <w:tab w:leader="none" w:pos="24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last Unwind Date of such Unwind Period shall be deemed to be such Early Valuation Date, (B) a Settlement shall occur in respect of such Unwind Period, and the Settlement Method elected by Counterparty in respect of such Settlement shall apply, and (C) the number of Settlement Shares for such Settlement shall be the number of Unwound Shares for such Unwind Period on such Early Valuation Date, and (ii) (A) such Early Valuation Date shall be a Valuation Date for an additional Physical Settlement of such Transaction (provided that Dealer may in its sole discretion elect that the Settlement Method elected by Counterparty for the Settlement described in clause (i) of this sentence shall apply) and (B) the number of Settlement Shares for such additional Settlement shall be the number of Remaining Shares on such Early Valuation Date.</w:t>
      </w:r>
    </w:p>
    <w:p>
      <w:pPr>
        <w:spacing w:after="0" w:line="194" w:lineRule="exact"/>
        <w:rPr>
          <w:sz w:val="20"/>
          <w:szCs w:val="20"/>
          <w:color w:val="auto"/>
        </w:rPr>
      </w:pPr>
    </w:p>
    <w:p>
      <w:pPr>
        <w:ind w:left="2260"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548005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ISDA Event:</w:t>
            </w: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 Any Event of Default or Termination Event, other than an Event of Default or Termination Event that also</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constitutes a Bankruptcy Termination Event, that gives rise to the right of either party to designate an Early</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 Date pursuant to Section 6 of the Agreement or (ii) the announcement of any event or</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on or after the first Trading Day of the Forward Hedge Selling Period for such Transaction that,</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if consummated, would result in a Merger Event, Tender Offer, Nationalization, Insolvency, Delisting or</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Law, in each case, as determined by the Calculation Agent; provided that, in the case of a Merger</w:t>
            </w:r>
          </w:p>
        </w:tc>
      </w:tr>
      <w:tr>
        <w:trPr>
          <w:trHeight w:val="234"/>
        </w:trPr>
        <w:tc>
          <w:tcPr>
            <w:tcW w:w="2920" w:type="dxa"/>
            <w:vAlign w:val="bottom"/>
          </w:tcPr>
          <w:p>
            <w:pPr>
              <w:spacing w:after="0"/>
              <w:rPr>
                <w:sz w:val="20"/>
                <w:szCs w:val="20"/>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Event, only an announcement of such event or transaction by Counterparty will constitute an ISDA Event.</w:t>
            </w:r>
          </w:p>
        </w:tc>
      </w:tr>
      <w:tr>
        <w:trPr>
          <w:trHeight w:val="37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to Merger Event:</w:t>
            </w: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12.1(b)  of  the  Equity  Definitions  is  hereby  amended  by  deleting  the  remainder  of  such</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beginning with the words “in each case if the Merger Date is on or before” in the fourth to last line</w:t>
            </w:r>
          </w:p>
        </w:tc>
      </w:tr>
      <w:tr>
        <w:trPr>
          <w:trHeight w:val="234"/>
        </w:trPr>
        <w:tc>
          <w:tcPr>
            <w:tcW w:w="2920" w:type="dxa"/>
            <w:vAlign w:val="bottom"/>
          </w:tcPr>
          <w:p>
            <w:pPr>
              <w:spacing w:after="0"/>
              <w:rPr>
                <w:sz w:val="20"/>
                <w:szCs w:val="20"/>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thereof.</w:t>
            </w:r>
          </w:p>
        </w:tc>
      </w:tr>
      <w:tr>
        <w:trPr>
          <w:trHeight w:val="373"/>
        </w:trPr>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Hedging Event:</w:t>
            </w: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respect of any Transaction, the occurrence or existence of any of the following events on or following the</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Trading Day of the Forward Hedge Selling Period: (i) (x) a Loss of Stock Borrow in connection with</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which Counterparty does not refer the Hedging Party to a satisfactory Lending Party that lends Shares in the</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 of the Hedging Shares within the required time period as provided in Section 12.9(b) (iv) of the</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Definitions or (y) a Hedging Disruption, (ii) (A) an Increased Cost of Stock Borrow or (B) an</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Increased Cost of Hedging in connection with which, in the case of sub-clause (A) or (B), Counterparty does</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elect, and so notify the Hedging Party of its election, in each case, within the required time period to</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either amend such Transaction pursuant to Section 12.9(b)(v)(A) or Section 12.9(b)(vi) (A) of the Equity</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Definitions, as applicable, or pay an amount determined by the Calculation Agent that corresponds to the</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relevant Price Adjustment pursuant to Section 12.9(b)(v)(B) or Section 12.9(b)(vi)(B) of the Equity</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Definitions, as applicable, or (iii) a Market Disruption Event during an Unwind Period for such Transaction</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the continuance of such Market Disruption Event for at least eight Scheduled Trading Days. In respect</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any Transaction, if a Hedging Event occurs or exists with respect to such Transaction on or after the first</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Trading Day of the Forward Hedge Selling Period (as each such term is defined in the Equity Distribution</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for such Transaction and prior to the Trade Date for such Transaction, the Calculation Agent</w:t>
            </w:r>
          </w:p>
        </w:tc>
      </w:tr>
      <w:tr>
        <w:trPr>
          <w:trHeight w:val="216"/>
        </w:trPr>
        <w:tc>
          <w:tcPr>
            <w:tcW w:w="29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reduce the Initial Forward Price to account for such Hedging Event and any costs or expenses</w:t>
            </w:r>
          </w:p>
        </w:tc>
      </w:tr>
      <w:tr>
        <w:trPr>
          <w:trHeight w:val="234"/>
        </w:trPr>
        <w:tc>
          <w:tcPr>
            <w:tcW w:w="2920" w:type="dxa"/>
            <w:vAlign w:val="bottom"/>
          </w:tcPr>
          <w:p>
            <w:pPr>
              <w:spacing w:after="0"/>
              <w:rPr>
                <w:sz w:val="20"/>
                <w:szCs w:val="20"/>
                <w:color w:val="auto"/>
              </w:rPr>
            </w:pPr>
          </w:p>
        </w:tc>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reasonably incurred by Dealer as a result of such Hedging Event.</w:t>
            </w:r>
          </w:p>
        </w:tc>
      </w:tr>
      <w:tr>
        <w:trPr>
          <w:trHeight w:val="877"/>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Remaining Shares: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any Transaction, on any day, the Number of Shares for such Transaction as of such day (or, if such day</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occurs during an Unwind Period for such Transaction, the Number of Shares for such Transaction as of such</w:t>
            </w:r>
          </w:p>
        </w:tc>
      </w:tr>
      <w:tr>
        <w:trPr>
          <w:trHeight w:val="234"/>
        </w:trPr>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day minus the Unwound Shares for such Transaction for such Unwind Period on such day).</w:t>
            </w:r>
          </w:p>
        </w:tc>
      </w:tr>
      <w:tr>
        <w:trPr>
          <w:trHeight w:val="373"/>
        </w:trPr>
        <w:tc>
          <w:tcPr>
            <w:tcW w:w="10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Unwound Shares: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For any Transaction, for any Unwind Period in respect of such Transaction on any day, the aggregate number</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Shares with respect to which Dealer has unwound its commercially reasonable hedge position in respect</w:t>
            </w:r>
          </w:p>
        </w:tc>
      </w:tr>
      <w:tr>
        <w:trPr>
          <w:trHeight w:val="234"/>
        </w:trPr>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such Transaction in connection with the related Settlement as of such day.</w:t>
            </w:r>
          </w:p>
        </w:tc>
      </w:tr>
      <w:tr>
        <w:trPr>
          <w:trHeight w:val="351"/>
        </w:trPr>
        <w:tc>
          <w:tcPr>
            <w:tcW w:w="10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Acknowledgements:</w:t>
            </w:r>
          </w:p>
        </w:tc>
        <w:tc>
          <w:tcPr>
            <w:tcW w:w="1520" w:type="dxa"/>
            <w:vAlign w:val="bottom"/>
          </w:tcPr>
          <w:p>
            <w:pPr>
              <w:spacing w:after="0"/>
              <w:rPr>
                <w:sz w:val="24"/>
                <w:szCs w:val="24"/>
                <w:color w:val="auto"/>
              </w:rPr>
            </w:pPr>
          </w:p>
        </w:tc>
        <w:tc>
          <w:tcPr>
            <w:tcW w:w="806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Non-Reliance:</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373"/>
        </w:trPr>
        <w:tc>
          <w:tcPr>
            <w:tcW w:w="10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Agreements and Acknowledgements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100" w:type="dxa"/>
            <w:vAlign w:val="bottom"/>
          </w:tcPr>
          <w:p>
            <w:pPr>
              <w:spacing w:after="0"/>
              <w:rPr>
                <w:sz w:val="20"/>
                <w:szCs w:val="20"/>
                <w:color w:val="auto"/>
              </w:rPr>
            </w:pPr>
          </w:p>
        </w:tc>
        <w:tc>
          <w:tcPr>
            <w:tcW w:w="3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8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Acknowledgements:</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373"/>
        </w:trPr>
        <w:tc>
          <w:tcPr>
            <w:tcW w:w="100" w:type="dxa"/>
            <w:vAlign w:val="bottom"/>
          </w:tcPr>
          <w:p>
            <w:pPr>
              <w:spacing w:after="0"/>
              <w:rPr>
                <w:sz w:val="24"/>
                <w:szCs w:val="24"/>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Transfer:</w:t>
            </w: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Notwithstanding anything to the contrary in the Agreement, Dealer may assign, transfer and set over all</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title and interest, powers, privileges and remedies of Dealer under any Transaction to (A) an affiliate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of Dealer wholly owned by, wholly owning, or under 100% common control with, Dealer, whose obligations</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hereunder are fully and unconditionally guaranteed by [Dealer] [Dealer’s Ultimate Parent Company], or</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 an affiliate of Dealer, directly or indirectly wholly owned by, directly or indirectly wholly owning, or</w:t>
            </w:r>
          </w:p>
        </w:tc>
      </w:tr>
      <w:tr>
        <w:trPr>
          <w:trHeight w:val="214"/>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100% direct or indirect common control with, Dealer, with a long-term issuer rating equal to or better</w:t>
            </w:r>
          </w:p>
        </w:tc>
      </w:tr>
      <w:tr>
        <w:trPr>
          <w:trHeight w:val="218"/>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than the credit rating of Dealer at the time of transfer without the consent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 at the time of such assignment or transfer, Counterparty would not, as a result of such assignment or</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transfer, reasonably be expected (A) to be required to pay (including a payment in kind) to such transferee or</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assignee an amount in respect of an Indemnifiable Tax greater than the amount Counterparty would have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been required to pay to Dealer in the absence of such assignment or transfer or (B) to receive a payment</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a payment in kind) from such transferee or assignee an amount less than the amount Counterparty</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would have been entitled to receive in the absence of such assignment or transfer, (ii) Dealer shall have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caused the assignee or transferee to make such Payee Tax Representations (as set forth in Part 2(b) of the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 and to provide such tax documentation as may be reasonably requested by Counterparty to</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 Counterparty to determine that the transfer complies with the requirements of clause (i) in this</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paragraph, (iii) any assignee or transferee would be eligible to provide a U.S. Internal Revenue Service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W-9 or W-8ECI with respect to any payments or deliveries under the Agreement, and (iv) such</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or transfer would not at the time, as a result of such transfer or assignment, reasonably be</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to require Counterparty to take any additional action or incur any additional obligation, cost or</w:t>
            </w: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 to ensure the continued fulfillment of Counterparty’s representations, warranties and covenants set</w:t>
            </w:r>
          </w:p>
        </w:tc>
      </w:tr>
      <w:tr>
        <w:trPr>
          <w:trHeight w:val="234"/>
        </w:trPr>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forth herein, in each case as to such assignee or transferee.</w:t>
            </w:r>
          </w:p>
        </w:tc>
      </w:tr>
      <w:tr>
        <w:trPr>
          <w:trHeight w:val="877"/>
        </w:trPr>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30" w:name="page131"/>
    <w:bookmarkEnd w:id="13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Dealer; provided that, following the occurrence and during the continuation of an Event of Default pursuant</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Section 5(a)(vii) of the Agreement with respect to which Dealer is the sole Defaulting Party, Counterparty</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shall have the right to select a leading dealer in the market for U.S. corporate equity derivatives reasonably</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acceptable to Dealer to replace Dealer as Calculation Agent, and the parties shall work in good faith to</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execute any appropriate documentation required by such replacement Calculation Agent.  Following any</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determination or calculation by the Calculation Agent hereunder, upon a written request by Counterparty, the</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Calculation Agent will, within a commercially reasonable period of time following such request, provide to</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Counterparty by e-mail to the e-mail address provided by Counterparty in such written request a report (in a</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commonly used file format for the storage and manipulation of financial data) displaying in reasonable detail</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the basis for such determination or calculation, as the case may be; provided that Dealer shall not be required</w:t>
            </w:r>
          </w:p>
        </w:tc>
      </w:tr>
      <w:tr>
        <w:trPr>
          <w:trHeight w:val="216"/>
        </w:trPr>
        <w:tc>
          <w:tcPr>
            <w:tcW w:w="296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disclose any proprietary or confidential models of Dealer or any information that is proprietary or subject</w:t>
            </w:r>
          </w:p>
        </w:tc>
      </w:tr>
      <w:tr>
        <w:trPr>
          <w:trHeight w:val="234"/>
        </w:trPr>
        <w:tc>
          <w:tcPr>
            <w:tcW w:w="2960" w:type="dxa"/>
            <w:vAlign w:val="bottom"/>
          </w:tcPr>
          <w:p>
            <w:pPr>
              <w:spacing w:after="0"/>
              <w:rPr>
                <w:sz w:val="20"/>
                <w:szCs w:val="20"/>
                <w:color w:val="auto"/>
              </w:rPr>
            </w:pP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contractual, legal or regulatory obligations to not disclose such information.</w:t>
            </w:r>
          </w:p>
        </w:tc>
      </w:tr>
      <w:tr>
        <w:trPr>
          <w:trHeight w:val="37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Counterparty Payment/Delivery</w:t>
            </w: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be provided by Counterparty.</w:t>
            </w:r>
          </w:p>
        </w:tc>
      </w:tr>
      <w:tr>
        <w:trPr>
          <w:trHeight w:val="234"/>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Instructions:</w:t>
            </w:r>
          </w:p>
        </w:tc>
        <w:tc>
          <w:tcPr>
            <w:tcW w:w="6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39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Dealer Payment/Delivery Instructions:</w:t>
            </w: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be provided by Dealer.</w:t>
            </w:r>
          </w:p>
        </w:tc>
      </w:tr>
      <w:tr>
        <w:trPr>
          <w:trHeight w:val="37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Counterparty’s Contact Details for</w:t>
            </w:r>
          </w:p>
        </w:tc>
        <w:tc>
          <w:tcPr>
            <w:tcW w:w="7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be provided by Counterparty.</w:t>
            </w:r>
          </w:p>
        </w:tc>
      </w:tr>
      <w:tr>
        <w:trPr>
          <w:trHeight w:val="234"/>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Giving Notice:</w:t>
            </w:r>
          </w:p>
        </w:tc>
        <w:tc>
          <w:tcPr>
            <w:tcW w:w="6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37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Dealer’s Contact Details for Purpose of</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jc w:val="right"/>
              <w:ind w:right="69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Giving Notice:</w:t>
            </w:r>
          </w:p>
        </w:tc>
        <w:tc>
          <w:tcPr>
            <w:tcW w:w="6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39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jc w:val="right"/>
              <w:ind w:right="6990"/>
              <w:spacing w:after="0"/>
              <w:rPr>
                <w:sz w:val="20"/>
                <w:szCs w:val="20"/>
                <w:color w:val="auto"/>
              </w:rPr>
            </w:pPr>
            <w:r>
              <w:rPr>
                <w:rFonts w:ascii="Times New Roman" w:cs="Times New Roman" w:eastAsia="Times New Roman" w:hAnsi="Times New Roman"/>
                <w:sz w:val="18"/>
                <w:szCs w:val="18"/>
                <w:color w:val="auto"/>
              </w:rPr>
              <w:t>]</w:t>
            </w:r>
          </w:p>
        </w:tc>
      </w:tr>
    </w:tbl>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each Supplemental Confirmation and the related Transaction on the Effective Date for such Supplemental Confirmation shall be subject to the satisfaction (or waiver by Dealer) of the following conditions: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representations and warranties of Counterparty contained in the Equity Distribution Agreement, and any certificate delivered pursuant thereto by Counterparty shall be true and correct on such Effective Date as if made as of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1" w:name="page132"/>
    <w:bookmarkEnd w:id="131"/>
    <w:p>
      <w:pPr>
        <w:ind w:firstLine="1296"/>
        <w:spacing w:after="0" w:line="282" w:lineRule="auto"/>
        <w:rPr>
          <w:sz w:val="20"/>
          <w:szCs w:val="20"/>
          <w:color w:val="auto"/>
        </w:rPr>
      </w:pPr>
      <w:r>
        <w:rPr>
          <w:rFonts w:ascii="Times New Roman" w:cs="Times New Roman" w:eastAsia="Times New Roman" w:hAnsi="Times New Roman"/>
          <w:sz w:val="18"/>
          <w:szCs w:val="18"/>
          <w:color w:val="auto"/>
        </w:rPr>
        <w:t>(b)           Counterparty shall have performed all of the obligations required to be performed by it under the Equity Distribution Agreement on or prior to such Effective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of the conditions set forth in Section 9 of the Equity Distribution Agreement shall have been satisfied;</w:t>
      </w:r>
    </w:p>
    <w:p>
      <w:pPr>
        <w:spacing w:after="0" w:line="22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(d)           the effective date of the Accepted Placement Notice (the “</w:t>
      </w:r>
      <w:r>
        <w:rPr>
          <w:rFonts w:ascii="Times New Roman" w:cs="Times New Roman" w:eastAsia="Times New Roman" w:hAnsi="Times New Roman"/>
          <w:sz w:val="18"/>
          <w:szCs w:val="18"/>
          <w:b w:val="1"/>
          <w:bCs w:val="1"/>
          <w:color w:val="auto"/>
        </w:rPr>
        <w:t>Placement Date</w:t>
      </w:r>
      <w:r>
        <w:rPr>
          <w:rFonts w:ascii="Times New Roman" w:cs="Times New Roman" w:eastAsia="Times New Roman" w:hAnsi="Times New Roman"/>
          <w:sz w:val="18"/>
          <w:szCs w:val="18"/>
          <w:color w:val="auto"/>
        </w:rPr>
        <w:t>”) shall have occurred as provided in the Equity Distribution Agreement;</w:t>
      </w:r>
    </w:p>
    <w:p>
      <w:pPr>
        <w:spacing w:after="0" w:line="15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all of the representations and warranties of Counterparty hereunder and under the Agreement shall be true and correct on such Effective Date as if made as of such Effective Date;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            Counterparty shall have performed all of the obligations required to be performed by it hereunder and under the Agreement on or prior to such Effective Date, including without limitation its obligations under Section 6 hereof; and</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(g)           Counterparty shall, if requested by Dealer prior to the commencement of the Forward Hedge Selling Period, have delivered to Dealer an opinion of Maryland counsel in form and substance reasonably satisfactory to Dealer, with respect to the matters set forth in Section 3(a)(i)—</w:t>
      </w:r>
    </w:p>
    <w:p>
      <w:pPr>
        <w:ind w:firstLine="8"/>
        <w:spacing w:after="0" w:line="260"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Agreement and that the maximum number of Shares initially issuable under such Transaction have been duly authorized and, upon issuance pursuant to the terms of such Transaction, will be validly issued, fully paid and nonassessable.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or any other provision of this Master Confirmation or any Supplemental Confirmation, if in respect of any Transaction</w:t>
      </w:r>
    </w:p>
    <w:p>
      <w:pPr>
        <w:spacing w:after="0" w:line="27" w:lineRule="exact"/>
        <w:rPr>
          <w:sz w:val="20"/>
          <w:szCs w:val="20"/>
          <w:color w:val="auto"/>
        </w:rPr>
      </w:pPr>
    </w:p>
    <w:p>
      <w:pPr>
        <w:jc w:val="both"/>
        <w:ind w:firstLine="8"/>
        <w:spacing w:after="0" w:line="251"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9:00 a.m., New York City time, on any Settlement Date (as defined in the Equity Distribution Agreement), in connection with Dealer establishing Dealer’s commercially reasonable hedge position in respect of such Transaction Dealer, in Dealer’s sole judgment, Dealer is unable, after using commercially reasonable efforts, to borrow and deliver for sale the full number of Shares to be borrowed and sold pursuant to the Equity Distribution Agreement on such Settlement Date or (y) in Dealer’s sole judgment, Dealer would incur a stock loan cost of more than a rate equal to the Maximum Stock Loan Rate for such Transaction with respect to all or any portion of such full number of Shares, the effectiveness of the related Supplemental Confirmation and such Transaction shall be limited to the number of Shares Dealer is so able to borrow in connection with establishing its commercially reasonable hedge position of such Transaction at a cost of not more than a rate equal to the Maximum Stock Loan Rate for such Transaction, which, for the avoidance of doubt, may be zero.</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Additional Mutual Representations and Warranties.</w:t>
      </w:r>
      <w:r>
        <w:rPr>
          <w:rFonts w:ascii="Times New Roman" w:cs="Times New Roman" w:eastAsia="Times New Roman" w:hAnsi="Times New Roman"/>
          <w:sz w:val="18"/>
          <w:szCs w:val="18"/>
          <w:color w:val="auto"/>
        </w:rPr>
        <w:t xml:space="preserve"> In addition to the representations and warranties in the Agreement, each party represents and warrants to the other party that it is an “eligible contract participant,” as defined in the U.S. Commodity Exchange Act (as amended), and an “accredited investor” as defined in Section 2(a)(15)(ii)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is entering into each Transaction hereunder as principal and not for the benefit of any third party.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Additional Representations and Warranties of Counterparty</w:t>
      </w:r>
      <w:r>
        <w:rPr>
          <w:rFonts w:ascii="Times New Roman" w:cs="Times New Roman" w:eastAsia="Times New Roman" w:hAnsi="Times New Roman"/>
          <w:sz w:val="18"/>
          <w:szCs w:val="18"/>
          <w:color w:val="auto"/>
        </w:rPr>
        <w:t>. The representations and warranties of Counterparty set forth in Section 5 of the Equity Distribution Agreement are true and correct as of the date hereof, each Placement Date, each Trade Date for any Transaction and each “Forward Hedge Settlement Date” (as defined in the Equity Distribution Agreement), and are hereby deemed to be repeated to Dealer as if set forth herein. In addition to the representations and warranties in Section 5 of the Equity Distribution Agreement, the Agreement and those contained elsewhere herein, Counterparty represents and warrants to Dealer, and agrees with Dealer, that: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without limiting the generality of Section 13.1 of the Equity Definitions, it acknowledges that Dealer is not making any representations or warranties with respect to the treatment of any Transaction, including without limitation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(or any successor issue statements) or under the Financial Accounting Standards Board’s Liabilities &amp; Equity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Counterparty shall not take any action to reduce or decrease the number of authorized and unissued Shares below the sum of (i) the aggregate Number of Shares across all Transactions hereunder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total number of Shares issuable upon settlement (whether by net share settlement or otherwise) of any other transaction or agreement to which it is a party;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Counterparty will not repurchase any Shares if, immediately following such repurchase, the aggregate Number of Shares across all Transactions hereunder would be equal to or greater than 4.5% of the number of then-outstanding Shares and it will notify Dealer promptly upon the announcement or consummation of any repurchase of Shares in an amount that, taken together with the amount of all repurchases since the date of the last such notice exceeds 0.5% of the number of then-outstanding Shares (or, in the case of the first such notice would result in the aggregate Number of Shares across all Transactions hereunder being equal to or greater than 3.5% of the number of then-outstanding Shares);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it is not entering into this Master Confirmation or any Supplemental Confirmation to create actual or apparent trading activity in the Shares (or any security convertible into or exchangeable for Shares), or to raise or depress or otherwise manipulate the price of the Shares (or any security convertible into or exchangeable for Shares) for the purpose of inducing the purchase or sale of the Shares (or any security convertible into or exchangeable for Shares) by others;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it is not aware of any material non-public information regarding itself or the Shares; it is entering into this Master Confirmation and each Supplemental Confirmation and will provide any Settlement Notice in good faith and not as part of a plan or scheme to evade compliance with Rule 10b-5 or any other provision of the federal securities laws; it has not entered into or altered any hedging transaction relating to the Shares corresponding to or offsetting any Transaction; and it has consulted with its own advisors as to the legal aspects of its adoption and implementation of this Master Confirmation and each Supplemental Confirmation under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as of the date hereof and the Trade Date for each Transaction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such representation or warranty regarding any such requirement that is applicable generally to the ownership of equity securities by Dealer;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as of the date hereof, the Trade Date for each Transaction and the date of any payment or delivery by Counterparty or Dealer under any Transaction, it is not and will not be “insolvent” (as such term is defined under Section 101(32) of the Bankruptcy Code), nor will Counterparty be rendered “insolvent” as a result of the transactions contemplated hereby and by each Supplemental Confirmation or its performance of the terms hereof or thereof;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it is not as of the date hereof, and on the Trade Date for each Transaction and after giving effect to the transactions contemplated hereby and by each Supplemental Confirmation will not be, required to register as an “investment company” as such term is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as of the date hereof and the Trade Date for each Transaction, it: (i) is an “institutional account” as defined in FINRA Rule 4512(c); and (ii) is capable of evaluating investment strategies involving a security or securities, and will exercise independent judgment in evaluating any recommendations of Dealer or its associated persons;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Counterparty is, and shall during the terms of the Transactions maintain its status as, a real estate investment trust under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IT UNDERSTANDS AS OF THE DATE HEREOF AND AS OF THE TRADE DATE FOR EACH TRANSACTION THAT EACH TRANSACTION IS SUBJECT TO COMPLEX RISKS WHICH MAY ARISE WITHOUT WARNING AND MAY AT TIMES BE VOLATILE AND THAT LOSSES MAY OCCUR QUICKLY AND IN UNANTICIPATED MAGNITUDE AND IS WILLING TO ACCEPT SUCH TERMS AND CONDITIONS AND ASSUME (FINANCIALLY AND OTHERWISE) SUCH RISKS.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Additional Covenants of Counterparty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Counterparty acknowledges and agrees that any Shares delivered by Counterparty to Dealer on any Settlement Date or Net Share Settlement Date for any Transaction will be (i) newly issued, (ii) approved for listing or quotation on the Exchange, subject to official notice of issuance, and (iii) pursuant to the terms of the Interpretive Letter (as defined below), may be used by Dealer (or an affiliate of Dealer) to securities lenders from whom Dealer (or an affiliate of Dealer) borrowed Shares in connection with hedging its exposure to such Transaction, will be freely saleable without further registration or other restrictions under the Securities Act in the hands of those securities lenders, irrespective of whether any such stock loan is effected by Dealer or an affiliate of Dealer. Accordingly, Counterparty agrees that any Shares so delivered will not bear a restrictive legend and will be deposited in, and the delivery thereof shall be effected through the facilities of, the Clearance System. In addition, Counterparty represents and agrees that any such Shares shall be, upon such delivery, duly and validly authorized, issued and outstanding, fully paid and nonassessable, free of any lien, charge, claim or other encumbrance and not subject to any preemptive or similar rights.</w:t>
      </w:r>
    </w:p>
    <w:p>
      <w:pPr>
        <w:spacing w:after="0" w:line="18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(b)           Counterparty agrees that Counterparty shall not enter into or alter any hedging transaction relating to the Shares corresponding to or offsetting any Transaction. Without limiting the generality of the provisions set forth opposite the caption “Unwind Activities” in Section 2 of this Master Confirmation, Counterparty acknowledges that it has no right to, and agrees that it will not seek to, control or influence Dealer’s decision to make any “purchases or sales” (within the meaning of Rule 10b5-1(c)(1) (i)(B)(3)) under or in connection with any Transaction, including, without limitation, Dealer’s decision to enter into any hedging transactions.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Counterparty acknowledges and agrees that any amendment, modification or waiver of this Master Confirmation or any Supplemental Confirmation must be effected in accordance with the requirements for the amendment or termination of a “plan” as defined in Rule 10b5-1(c). Without limiting the generality of the foregoing, any such amendment, modification or waiver shall be made in good faith and not as part of a plan or scheme to evade the compliance with federal securities laws including, without limitation, Rule 10b-5, and no such amendment, modification or waiver shall be made at any time at which Counterparty is aware of any material non-public information regarding Counterparty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Counterparty shall promptly provide notice thereof to Dealer (i) upon the occurrence of any event that would constitute an Event of Default or a Termination Event in respect of which Counterparty is a Defaulting Party or an Affected Party, as the case may be, and (ii) upon announcement of any event that, if consummated, would constitute an Extraordinary Event, an Event of Default or Potential Adjustment Event.</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Neither Counterparty nor any of its “affiliated purchasers” (as defined by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take or refrain from taking any action (including, without limitation, any direct purchases by Counterparty or any of its affiliates) that would cause any purchases of Shares by Dealer or any of its affiliates in connection with any Cash Settlement or Net Share Settlement of any Transaction not to meet the requirements of the safe harbor provided by Rule 10b-18 as if such purchases were made by Counterparty. Without limiting the generality of the foregoing, during any Unwind Period for any Transaction, except with the prior written consent of Dealer, Counterparty will not, and will cause its affiliated purchasers (as defined in Rule 10b-18) not to, directly or indirectly (including, without limitation, by means of a derivative instrument) purchase, offer to purchase, place any bid or limit order that would effect a purchase of, or announce or commence any tender offer relating to, any Shares (or equivalent interest, including a unit of beneficial interest in a trust or limited partnership or a depository share) or any security convertible into or exchangeable for the Shares.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Counterparty will not engage in any “distribution” (as such term is defined in Regulation M promulgated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in respect of Shares or any security with respect to which the Shares are a “reference security” (as such term is defined in Regulation M) that would cause a “restricted period” (as defined in Regulation M) to occur during any Unwind Period for any Transaction.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Counterparty shall: (i) not, during any Unwind Period, make, and will use its commercially reasonable efforts to not permit to be made to the extent within its control, any public announcement (as defined in Rule 165(f) under the Securities Act) of any Merger Transaction unless such public announcement is made prior to the opening or after the close of the regular trading session on the Exchange; (ii) promptly (but in any event prior to the next opening of the regular trading session on the Exchange) notify Dealer following any such announcement that such announcement has been made;</w:t>
      </w:r>
    </w:p>
    <w:p>
      <w:pPr>
        <w:spacing w:after="0" w:line="3"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prior to the next opening of the regular trading session on the Exchange) provide Dealer with written notice specifying</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Counterparty’s average daily Rule 10b-18 Purchases (as defined in Rule 10b-18) during the three full calendar months immediately preceding the announcement date for the Merger Transaction that were not effected through Dealer or its affiliates and (B) the number of Shares purchased pursuant to the proviso in Rule 10b-18(b)(4) under the Exchange Act for the three full calendar months preceding such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Counterparty acknowledges that any such notice may result in a Regulatory Disruption, a Trading Condition or, if such notice relates to an event that is also an ISDA Event, an Early Valuation, or may affect the length of any ongoing Unwind Period. Accordingly, Counterparty acknowledges that its delivery of such notice must comply with the standards set forth in Section 6(c) above.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10b-18(a)(13)(iv) under the Exchange Act. For the avoidance of doubt, a Merger Transaction or the announcement thereof shall not give either party the right to designate an Early Valuation Date for any Transaction and/or to accelerate or preclude an election by Counterparty of Physical Settlement for any Settlement of any Transaction, unless such Merger Transaction or the announcement thereof is also an ISDA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1300"/>
        <w:spacing w:after="0"/>
        <w:rPr>
          <w:sz w:val="20"/>
          <w:szCs w:val="20"/>
          <w:color w:val="auto"/>
        </w:rPr>
      </w:pPr>
      <w:r>
        <w:rPr>
          <w:rFonts w:ascii="Times New Roman" w:cs="Times New Roman" w:eastAsia="Times New Roman" w:hAnsi="Times New Roman"/>
          <w:sz w:val="18"/>
          <w:szCs w:val="18"/>
          <w:color w:val="auto"/>
        </w:rPr>
        <w:t>(h)           Counterparty will promptly execute each properly completed Supplemental Confirmation delivered to Counterparty by Dealer.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Counterparty represents to Dealer that Dealer, solely in its capacity as “Forward Purchaser” or “Forward Seller” (each as defined in the Equity Distribution Agreement) and solely with respect to its entering into and consummating the transactions contemplated by this Master Confirmation and the Equity Distribution Agreement (including any “Forward Contract” thereunder) either (x) will not collectively with the other Forward Purchasers or Forward Sellers under the Alternative Distribution Agreements (as defined in the Equity Distribution Agreement) be a “Person” (as defined in Counterparty’s Articles of Amendment and Restatement, as amended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by virtue of being a member of a “group” (as referenced in the definition of Person in the Charter) with such Forward Purchasers or Forward Sellers or both; or (y) may, to the extent necessary to consummate the transactions contemplated by this Master Confirmation and the Equity Distribution Agreement (including any “Forward Contract” thereunder), have “Beneficial Ownership” and “Constructive Ownership” of Shares in excess of the related “Ownership Limit” (each as defined in the Charter) by virtue of entering into transactions described in Article VII of the Charter.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Termination on Bankruptcy</w:t>
      </w:r>
      <w:r>
        <w:rPr>
          <w:rFonts w:ascii="Times New Roman" w:cs="Times New Roman" w:eastAsia="Times New Roman" w:hAnsi="Times New Roman"/>
          <w:sz w:val="18"/>
          <w:szCs w:val="18"/>
          <w:color w:val="auto"/>
        </w:rPr>
        <w:t>. The parties hereto agree that, notwithstanding anything to the contrary in the Agreement or the Equity Definitions, each Transaction constitutes a contract to issue a security of Counterparty as contemplated by Section 365(c)(2) of the Bankruptcy Code and that a Transaction and the obligations and rights of Counterparty and Dealer (except for any liability as a result of breach of any of the representations or warranties provided by Counterparty in Section 4 or Section 5 above) shall immediately terminate, without the necessity of any notice, payment (whether directly, by netting or otherwise) or other action by Counterparty or Dealer, if, on or prior to the final Settlement Date, Cash Settlement Payment Date or Net Share Settlement Date, as the case may be, for such Transaction an Insolvency Filing occurs or any other proceeding commences with respect to Counterparty under the Bankruptcy Code (a “</w:t>
      </w:r>
      <w:r>
        <w:rPr>
          <w:rFonts w:ascii="Times New Roman" w:cs="Times New Roman" w:eastAsia="Times New Roman" w:hAnsi="Times New Roman"/>
          <w:sz w:val="18"/>
          <w:szCs w:val="18"/>
          <w:b w:val="1"/>
          <w:bCs w:val="1"/>
          <w:color w:val="auto"/>
        </w:rPr>
        <w:t>Bankruptcy Termination Event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Additional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Dealer acknowledges and agrees that Counterparty’s obligations under the Transactions are not secured by any collateral and that neither this Master Confirmation nor any Supplemental Confirmation is intended to convey to Dealer rights with respect to the transactions contemplated hereby and by any Supplemental Confirmation that are senior to the claims of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this Master Confirmation, any Supplemental Confirmation or the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 other than the Transactions.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parties hereto intend for:</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each Transaction to be a “securities contract” as defined in Section 741(7) of the Bankruptcy Code, and the parties hereto to be entitled to the protections afforded by, among other Sections, Sections 362(b)(6), 362(b)(27), 362(o), 546(e), 546(j), 555 and 561 of the Bankruptcy Code;</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the rights given to Dealer pursuant to “Early Valuation” in Section 2 above to constitute “contractual rights” to cause the liquidation of a “securities contract” and to set off mutual debts and claims in connection with a “securities contract,” as such terms are used in Sections 555 and 362(b)(6)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right="20" w:firstLine="1944"/>
        <w:spacing w:after="0" w:line="284" w:lineRule="auto"/>
        <w:rPr>
          <w:sz w:val="20"/>
          <w:szCs w:val="20"/>
          <w:color w:val="auto"/>
        </w:rPr>
      </w:pPr>
      <w:r>
        <w:rPr>
          <w:rFonts w:ascii="Times New Roman" w:cs="Times New Roman" w:eastAsia="Times New Roman" w:hAnsi="Times New Roman"/>
          <w:sz w:val="18"/>
          <w:szCs w:val="18"/>
          <w:color w:val="auto"/>
        </w:rPr>
        <w:t xml:space="preserve">(iii)          any cash, securities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as performance assurance, credit support or collateral with respect to the Transactions to constitute “margin payments” and “transfers” under a “securities contract” as defined in the Bankruptcy Code;</w:t>
      </w:r>
    </w:p>
    <w:p>
      <w:pPr>
        <w:spacing w:after="0" w:line="16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all payments for, under or in connection with the Transactions, all payments for Shares and the transfer of Shares to constitute “settlement payments” and “transfers” under a “securities contract” as defined in the Bankruptcy Code; and</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           any or all obligations that either party has with respect to this Master Confirmation, any Supplemental Confirmation or the Agreement to constitute property held by or due from such party to margin, guaranty or settle obligations of the other party with respect to the transactions under the Agreement (including the Transactions) or any other agreement between such parties.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Notwithstanding any other provision of the Agreement, this Master Confirmation or any Supplemental Confirmation, in no event will Counterparty be required to deliver in the aggregate in respect of all Settlement Dates, Net Share Settlement Dates or other dates on which Shares are delivered in respect of any amount owed under any Transaction a number of Shares greater than 1.5 times the Number of Shares for such Transaction as of the Trade Date for such Transaction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The Capped Number shall be subject to adjustment only on account of (x) Potential Adjustment Events of the type specified in (1) Sections 11.2(e)(i) through (vi) of the Equity Definitions or (2) Section 11.2(e)(vii) of the Equity Definitions so long as, in the case of this sub-clause (2), such event is within Issuer’s control and (y) Merger Events requiring corporate action of Issuer (or any surviving entity of the Issuer hereunder in connection with any such Merger Event). Counterparty represents and warrants to Dealer (which representation and warranty shall be deemed to be repeated for all Transactions on each day that any Transaction is outstanding) that the aggregate Capped Number across all Transactions hereunder is equal to or less than the number of authorized but unissued Shares that are not reserved for future issuance in connection with transactions in the Shares (other than the Transactions) on the date of the determination of such aggregated Capped Number. In the event Counterparty shall not have delivered the full number of Shares otherwise deliverable under any Transaction as a result of this Section 8(d) (the resulting deficit for such Transaction, the “</w:t>
      </w:r>
      <w:r>
        <w:rPr>
          <w:rFonts w:ascii="Times New Roman" w:cs="Times New Roman" w:eastAsia="Times New Roman" w:hAnsi="Times New Roman"/>
          <w:sz w:val="18"/>
          <w:szCs w:val="18"/>
          <w:b w:val="1"/>
          <w:bCs w:val="1"/>
          <w:color w:val="auto"/>
        </w:rPr>
        <w:t>Deficit Shares</w:t>
      </w:r>
      <w:r>
        <w:rPr>
          <w:rFonts w:ascii="Times New Roman" w:cs="Times New Roman" w:eastAsia="Times New Roman" w:hAnsi="Times New Roman"/>
          <w:sz w:val="18"/>
          <w:szCs w:val="18"/>
          <w:color w:val="auto"/>
        </w:rPr>
        <w:t>”), Counterparty shall be continually obligated to deliver Shares, from time to time until the full number of Deficit Shares have been delivered pursuant to this paragraph, on a pro rata basis across all Transactions hereunder, when, and to the extent that, (A) Shares are repurchased, acquired or otherwise received by Counterparty or any of its subsidiaries after the date hereof (whether or not in exchange for cash, fair value or any other consideration), (B) authorized and unissued Shares reserved for issuance in respect of other transactions prior to such date which prior to the relevant date become no longer so reserved or (C) Counterparty additionally authorizes any unissued Shares that are not reserved for transactions other than the Transactions (such events as set forth in clauses (A), (B) and (C) above, collectively, the “</w:t>
      </w:r>
      <w:r>
        <w:rPr>
          <w:rFonts w:ascii="Times New Roman" w:cs="Times New Roman" w:eastAsia="Times New Roman" w:hAnsi="Times New Roman"/>
          <w:sz w:val="18"/>
          <w:szCs w:val="18"/>
          <w:b w:val="1"/>
          <w:bCs w:val="1"/>
          <w:color w:val="auto"/>
        </w:rPr>
        <w:t>Share Issuance Events</w:t>
      </w:r>
      <w:r>
        <w:rPr>
          <w:rFonts w:ascii="Times New Roman" w:cs="Times New Roman" w:eastAsia="Times New Roman" w:hAnsi="Times New Roman"/>
          <w:sz w:val="18"/>
          <w:szCs w:val="18"/>
          <w:color w:val="auto"/>
        </w:rPr>
        <w:t>”). Counterparty shall promptly notify Dealer of the occurrence of any of the Share Issuance Events (including the number of Shares subject to clause (A), (B) or (C) and the corresponding number of Shares to be delivered for each Transaction) and, as promptly as reasonably practicable, deliver such Shares thereafter. Counterparty shall not, until Counterparty’s obligations under the Transactions have been satisfied in full, use any Shares that become available for potential delivery to Dealer as a result of any Share Issuance Event for the settlement or satisfaction of any transaction or obligation other than the Transactions or reserve any such Shares for future issuance for any purpose other than to satisfy Counterparty’s obligations to Dealer under the Transactions.</w:t>
      </w:r>
    </w:p>
    <w:p>
      <w:pPr>
        <w:spacing w:after="0" w:line="20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parties intend for this Master Confirmation and each Supplemental Confirmation to constitute a “Contract” as described in the letter dated October 6, 2003 submitted on behalf of Goldman, Sachs &amp; Co. to Paula Dubberly of the staff of the Securities and Exchange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to which the Staff responded in an interpretive letter dated October 9, 2003 (the “</w:t>
      </w:r>
      <w:r>
        <w:rPr>
          <w:rFonts w:ascii="Times New Roman" w:cs="Times New Roman" w:eastAsia="Times New Roman" w:hAnsi="Times New Roman"/>
          <w:sz w:val="18"/>
          <w:szCs w:val="18"/>
          <w:b w:val="1"/>
          <w:bCs w:val="1"/>
          <w:color w:val="auto"/>
        </w:rPr>
        <w:t>Interpretive Letter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7" w:name="page138"/>
    <w:bookmarkEnd w:id="137"/>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(f)            The parties intend for each Transaction (taking into account purchases of Shares in connection with any Cash Settlement or Net Share Settlement of any Transaction) to comply with the requirements of Rule 10b5-1(c)(1)(i)(A) under the Exchange Act and for this Master Confirmation and each Supplemental Confirmation to constitute a binding contract or instruction satisfying the requirements of 10b5-1(c) and to be interpreted to comply with the requirements of Rule 10b5-1(c).</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Counterparty acknowledges that: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during the term of the Transactions, Dealer and its affiliates may buy or sell Shares or other securities or buy or sell options or futures contracts or enter into swaps or other derivative securities in order to establish, adjust or unwind its hedge position with respect to the Transactions;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Dealer and its affiliates may also be active in the market for the Shares and derivatives linked to the Shares other than in connection with hedging activities in relation to the Transactions, including acting as agent or as principal and for its own account or on behalf of customers;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Dealer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Settlement Price for each Transaction;</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any market activities of Dealer and its affiliates with respect to the Shares may affect the market price and volatility of the Shares, as well as the Forward Price and the Settlement Price for each Transaction, each in a manner that may be adverse to Counterparty;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each Transaction is a derivatives transaction; Dealer may purchase or sell shares for its own account at an average price that may be greater than, or less than, the price received by Counterparty under the terms of the relevant Transaction.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Counterparty and Dealer agree and acknowledge that: (A) the Transactions contemplated by this Master Confirmation will be entered into in reliance on the fact that this Master Confirmation and each Supplemental Confirmation hereto form a single agreement between Counterparty and Dealer, and Dealer would not otherwise enter into such Transactions; (B) this Master Confirmation, together with each Supplemental Confirmation hereto, is a “qualified financial contract,” as such term is defined in Section 5-701(b)(2) of the General Obligations Law; (C) each Supplemental Confirmation hereto, regardless of whether transmitted electronically or otherwise, constitutes a “confirmation in writing sufficient to indicate that a contract has been made between the parties” hereto, as set forth in Section 5-701(b)(3)(b) of the General Obligations Law; and (D) this Master Confirmation and each Supplemental Confirmation hereto constitute a prior “written contract,” as set forth in Section 5-701(b)(1) (b) of the General Obligations Law, and each party hereto intends and agrees to be bound by this Master Confirmation and such Supplemental Confirmation.</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Counterparty and Dealer agree that, upon the effectiveness of any Accepted Placement Notice relating to a Forward (as such term is defined in the Equity Distribution Agreement), in respect of the Transaction to which such Accepted Placement Notice relates, each of the representations, warranties, covenants, agreements and other provisions of this Master Confirmation and the Supplemental Confirmation for such Transaction (including, without limitation, Dealer’s right to designate an Early Valuation Date in respect of such Transaction pursuant to the provisions opposite the caption “Early Valuation” in Section 2 and the termination of such Transaction following a Bankruptcy Termination Event as described in Section 7) shall govern, and be applicable to, such Transaction as of the first Trading Day of the Forward Hedge Selling Period for such Transaction as if the Trade Date for such Transaction were such first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18"/>
          <w:szCs w:val="18"/>
          <w:color w:val="auto"/>
        </w:rPr>
        <w:t>(k)           Tax Matters.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For the purpose of Section 3(f) of the Agreement: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Dealer makes the following representations:</w:t>
      </w:r>
    </w:p>
    <w:p>
      <w:pPr>
        <w:spacing w:after="0" w:line="225" w:lineRule="exact"/>
        <w:rPr>
          <w:sz w:val="20"/>
          <w:szCs w:val="20"/>
          <w:color w:val="auto"/>
        </w:rPr>
      </w:pPr>
    </w:p>
    <w:p>
      <w:pPr>
        <w:jc w:val="both"/>
        <w:ind w:left="2600" w:firstLine="648"/>
        <w:spacing w:after="0" w:line="266" w:lineRule="auto"/>
        <w:rPr>
          <w:sz w:val="20"/>
          <w:szCs w:val="20"/>
          <w:color w:val="auto"/>
        </w:rPr>
      </w:pPr>
      <w:r>
        <w:rPr>
          <w:rFonts w:ascii="Times New Roman" w:cs="Times New Roman" w:eastAsia="Times New Roman" w:hAnsi="Times New Roman"/>
          <w:sz w:val="18"/>
          <w:szCs w:val="18"/>
          <w:color w:val="auto"/>
        </w:rPr>
        <w:t>(1)           [It is a “U.S. person” (as that term is used in section 1.1441-4(a)(3)(ii) of United States Treasury Regulations) for U.S. federal income tax purposes.] / [It is a “foreign person” (as that term is used in section 1.6041-4(a)(4) of the United States Treasury Regulations) for U.S. federal income tax purposes.]</w:t>
      </w:r>
    </w:p>
    <w:p>
      <w:pPr>
        <w:spacing w:after="0" w:line="176" w:lineRule="exact"/>
        <w:rPr>
          <w:sz w:val="20"/>
          <w:szCs w:val="20"/>
          <w:color w:val="auto"/>
        </w:rPr>
      </w:pPr>
    </w:p>
    <w:p>
      <w:pPr>
        <w:jc w:val="both"/>
        <w:ind w:left="2600" w:firstLine="648"/>
        <w:spacing w:after="0" w:line="272" w:lineRule="auto"/>
        <w:rPr>
          <w:sz w:val="20"/>
          <w:szCs w:val="20"/>
          <w:color w:val="auto"/>
        </w:rPr>
      </w:pPr>
      <w:r>
        <w:rPr>
          <w:rFonts w:ascii="Times New Roman" w:cs="Times New Roman" w:eastAsia="Times New Roman" w:hAnsi="Times New Roman"/>
          <w:sz w:val="17"/>
          <w:szCs w:val="17"/>
          <w:color w:val="auto"/>
        </w:rPr>
        <w:t>(2)           [It is a [national banking association] [limited liability company] organized and existing under the laws of the [United States of America] [State of Delaware, is treated as a disregarded entity of a New York corporation for United States federal income tax purposes] and is an exempt recipient under Treasury Regulation Section 1.6049-4(c)</w:t>
      </w:r>
    </w:p>
    <w:p>
      <w:pPr>
        <w:spacing w:after="0" w:line="2" w:lineRule="exact"/>
        <w:rPr>
          <w:sz w:val="20"/>
          <w:szCs w:val="20"/>
          <w:color w:val="auto"/>
        </w:rPr>
      </w:pPr>
    </w:p>
    <w:p>
      <w:pPr>
        <w:jc w:val="both"/>
        <w:ind w:left="2600"/>
        <w:spacing w:after="0" w:line="260" w:lineRule="auto"/>
        <w:rPr>
          <w:sz w:val="20"/>
          <w:szCs w:val="20"/>
          <w:color w:val="auto"/>
        </w:rPr>
      </w:pPr>
      <w:r>
        <w:rPr>
          <w:rFonts w:ascii="Times New Roman" w:cs="Times New Roman" w:eastAsia="Times New Roman" w:hAnsi="Times New Roman"/>
          <w:sz w:val="18"/>
          <w:szCs w:val="18"/>
          <w:color w:val="auto"/>
        </w:rPr>
        <w:t>(1)(ii).]] / [Each payment received or to be received by it in connection with this Confirmation is effectively connected with its conduct of a trade or business in the United States.]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Counterparty makes the following representations:</w:t>
      </w:r>
    </w:p>
    <w:p>
      <w:pPr>
        <w:spacing w:after="0" w:line="225" w:lineRule="exact"/>
        <w:rPr>
          <w:sz w:val="20"/>
          <w:szCs w:val="20"/>
          <w:color w:val="auto"/>
        </w:rPr>
      </w:pPr>
    </w:p>
    <w:p>
      <w:pPr>
        <w:jc w:val="both"/>
        <w:ind w:left="2600" w:right="20" w:firstLine="648"/>
        <w:spacing w:after="0" w:line="282" w:lineRule="auto"/>
        <w:rPr>
          <w:sz w:val="20"/>
          <w:szCs w:val="20"/>
          <w:color w:val="auto"/>
        </w:rPr>
      </w:pPr>
      <w:r>
        <w:rPr>
          <w:rFonts w:ascii="Times New Roman" w:cs="Times New Roman" w:eastAsia="Times New Roman" w:hAnsi="Times New Roman"/>
          <w:sz w:val="18"/>
          <w:szCs w:val="18"/>
          <w:color w:val="auto"/>
        </w:rPr>
        <w:t>(1)           It is a “U.S. person” (as that term is used in section 1.1441-4(a)(3)(ii) of United States Treasury Regulations) for U.S. federal income tax purposes.</w:t>
      </w:r>
    </w:p>
    <w:p>
      <w:pPr>
        <w:spacing w:after="0" w:line="162" w:lineRule="exact"/>
        <w:rPr>
          <w:sz w:val="20"/>
          <w:szCs w:val="20"/>
          <w:color w:val="auto"/>
        </w:rPr>
      </w:pPr>
    </w:p>
    <w:p>
      <w:pPr>
        <w:jc w:val="both"/>
        <w:ind w:left="2600" w:firstLine="648"/>
        <w:spacing w:after="0" w:line="282" w:lineRule="auto"/>
        <w:rPr>
          <w:sz w:val="20"/>
          <w:szCs w:val="20"/>
          <w:color w:val="auto"/>
        </w:rPr>
      </w:pPr>
      <w:r>
        <w:rPr>
          <w:rFonts w:ascii="Times New Roman" w:cs="Times New Roman" w:eastAsia="Times New Roman" w:hAnsi="Times New Roman"/>
          <w:sz w:val="18"/>
          <w:szCs w:val="18"/>
          <w:color w:val="auto"/>
        </w:rPr>
        <w:t>(2)           It is a corporation for U.S. federal income tax purposes and is organized under the laws of the State of Maryland, and is an exempt recipient under Treasury Regulation Section 1.6049-4(c)(1)(ii)(J).</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Withholding Tax imposed on payments to non-US counterparties under the United States Foreign Account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Act</w:t>
      </w:r>
      <w:r>
        <w:rPr>
          <w:rFonts w:ascii="Times New Roman" w:cs="Times New Roman" w:eastAsia="Times New Roman" w:hAnsi="Times New Roman"/>
          <w:sz w:val="18"/>
          <w:szCs w:val="18"/>
          <w:color w:val="auto"/>
        </w:rPr>
        <w:t>.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871(m) Protocol</w:t>
      </w:r>
      <w:r>
        <w:rPr>
          <w:rFonts w:ascii="Times New Roman" w:cs="Times New Roman" w:eastAsia="Times New Roman" w:hAnsi="Times New Roman"/>
          <w:sz w:val="18"/>
          <w:szCs w:val="18"/>
          <w:color w:val="auto"/>
        </w:rPr>
        <w:t>. The parties agree that the definitions and provisions contained in the ISDA 2015 Section 871(m) Protocol, as published by ISDA and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shall apply to the Agreement as if the parties had adhered to the 871(m) Protocol as of the effective date of the Agreement.</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Tax documentation</w:t>
      </w:r>
      <w:r>
        <w:rPr>
          <w:rFonts w:ascii="Times New Roman" w:cs="Times New Roman" w:eastAsia="Times New Roman" w:hAnsi="Times New Roman"/>
          <w:sz w:val="18"/>
          <w:szCs w:val="18"/>
          <w:color w:val="auto"/>
        </w:rPr>
        <w:t>. [For the purposes of Sections 4(a)(i) and 4(a)(ii) of the Agreement, Counterparty shall provide to Dealer, and Dealer shall deliver to Counterparty, a valid and duly executed U.S. Internal Revenue Service Form W-9, or any successor thereto,] / [For the purposes of Sections 4(a)(i) and 4(a)(ii) of the Agreement, (A) Counterparty shall provide to Dealer a valid and duly executed U.S. Internal Revenue Service Form W-9, or any successor thereto and (B) Dealer shall provide to Counterparty an Internal Revenue Service Form W-8ECI “Certificate of Foreign Person’s Claim That Income Is Effectively Connected With the Conduct of a Trade or Business in the United States”,] (i) on or before the date of execution of this Confirmation; (ii) promptly upon reasonable demand by the other party; and (iii) promptly upon learning that any such tax form previously provided has become invalid, obsolete, or incorrect. Additionally, Counterparty or Dealer shall, promptly upon reasonable request by the other party, provide such other tax forms and documents reasonably requested by the other party.</w:t>
      </w:r>
    </w:p>
    <w:p>
      <w:pPr>
        <w:spacing w:after="0" w:line="19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Change of Account</w:t>
      </w:r>
      <w:r>
        <w:rPr>
          <w:rFonts w:ascii="Times New Roman" w:cs="Times New Roman" w:eastAsia="Times New Roman" w:hAnsi="Times New Roman"/>
          <w:sz w:val="18"/>
          <w:szCs w:val="18"/>
          <w:color w:val="auto"/>
        </w:rPr>
        <w:t>. Section 2(b) of the Agreement is hereby amended by the addition of the following after the word “delivery” in the first line thereof: “to another account in the same legal and tax jurisdiction.”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[Each of Dealer and Counterparty acknowledges to and agrees with the other party hereto and to and with the Agent that (i) the Agent is acting as agent for Dealer under the Transaction pursuant to instructions from such party, (ii) the Agent is not a principal or party to the Transaction,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 (including arising from any failure by Dealer or Counterparty to pay or perform any obligation under the Transaction),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Master Confirmation or the Agreement, and (v) each party agrees to proceed solely against the other party, and not the Agent, to collect or recover any money or securities owed to it in connection with the Transaction. Each party hereto acknowledges and agrees that the Agent is an intended third party beneficiary hereunder. Counterparty acknowledges that the Agent is an affiliate of Dealer. Dealer will be acting for its own account in respect of this Master Confirmation and the Transactions contemplated hereunder.] </w:t>
      </w:r>
      <w:r>
        <w:rPr>
          <w:rFonts w:ascii="Times New Roman" w:cs="Times New Roman" w:eastAsia="Times New Roman" w:hAnsi="Times New Roman"/>
          <w:sz w:val="29"/>
          <w:szCs w:val="29"/>
          <w:color w:val="auto"/>
          <w:vertAlign w:val="superscript"/>
        </w:rPr>
        <w:t>2</w:t>
      </w:r>
    </w:p>
    <w:p>
      <w:pPr>
        <w:spacing w:after="0" w:line="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Counterparty agrees to indemnify and hold harmless Dealer, its affiliates and its assignees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(excluding, for the avoidance of doubt, financial losses resulting from the economic terms of the Transactions), claims, damages and liabilities (or actions in respect thereof), joint or several, incurred by or asserted against such Indemnified Party arising out of, in connection with, or relating to any breach of any covenant or representation made by Counterparty in this Master Confirmation, any Supplemental Confirmation or the Agreement. Counterparty will not be liable under the foregoing indemnification provision to the extent that any loss, claim, damage, liability or expense is found in a nonappealable judgment by a court of competent jurisdiction to have resulted from Dealer’s breach of any covenant or representation made by Dealer in this Master Confirmation, any Supplemental Confirmation or the Agreement or any willful misconduct, gross negligence or bad faith of any Indemnified Party.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in connection with the investigation of, preparation for or defense or settlement of any pending or threatened claim covered by this Section 9 or any action, suit or proceeding arising therefrom, whether or not such Indemnified Party is a party thereto and whether or not such claim, action, suit or proceeding is initiated or brought by or on behalf of Counterparty. Counterparty also agrees that no Indemnified Party shall have any liability to Counterparty, or any person asserting claims on behalf of or in right of Counterparty in connection with or as a result of any matter referred to in this Master Confirmation and any Supplemental Confirmation except to the extent that any losses, claims, damages, liabilities or expenses incurred by Counterparty result from the Dealer’s breach of any covenant or representation made by the Dealer in this Master Confirmation, any Supplemental Confirmation or the Agreement or any willful misconduct, gross negligence or bad faith of any Indemnified Party. The provisions of this Section 9 shall survive the completion of the Transactions contemplated by this Master Confirmation and any Supplemental Confirmation and any assignment and/or delegation of the Transactions made pursuant to the Agreement, this Master Confirmation or any Supplemental Confirmation shall inure to the benefit of any permitted assignee of Dealer. For the avoidance of doubt, any payments due as a result of this provision may not be used to set off any obligation of Dealer upon settlement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830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3" w:lineRule="exact"/>
        <w:rPr>
          <w:sz w:val="20"/>
          <w:szCs w:val="20"/>
          <w:color w:val="auto"/>
        </w:rPr>
      </w:pPr>
    </w:p>
    <w:p>
      <w:pPr>
        <w:ind w:left="120" w:hanging="112"/>
        <w:spacing w:after="0"/>
        <w:tabs>
          <w:tab w:leader="none" w:pos="12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i w:val="1"/>
          <w:iCs w:val="1"/>
          <w:color w:val="auto"/>
        </w:rPr>
        <w:t>NTD</w:t>
      </w:r>
      <w:r>
        <w:rPr>
          <w:rFonts w:ascii="Times New Roman" w:cs="Times New Roman" w:eastAsia="Times New Roman" w:hAnsi="Times New Roman"/>
          <w:sz w:val="18"/>
          <w:szCs w:val="18"/>
          <w:color w:val="auto"/>
        </w:rPr>
        <w:t>: add for dealers with affiliated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Beneficial Ownership</w:t>
      </w:r>
      <w:r>
        <w:rPr>
          <w:rFonts w:ascii="Times New Roman" w:cs="Times New Roman" w:eastAsia="Times New Roman" w:hAnsi="Times New Roman"/>
          <w:sz w:val="18"/>
          <w:szCs w:val="18"/>
          <w:color w:val="auto"/>
        </w:rPr>
        <w:t>. Notwithstanding anything to the contrary in the Agreement, this Master Confirmation or any Supplemental Confirmation, in no event shall Dealer be entitled to receive, or be deemed to receive, or, with respect to clause (y) below, have the “right to acquire” (within the meaning of NYSE Rule 312.04(g)), Shares to the extent that, upon such receipt of such Shares, (i) the “beneficial ownership” (within the meaning of Section 13 of the Exchange Act and the rules promulgated thereunder) of Shares by Dealer, any of its affiliates’ business units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would be equal to or greater than the lesser of (x) 4.5% of the outstanding Shares (such condition, an “</w:t>
      </w:r>
      <w:r>
        <w:rPr>
          <w:rFonts w:ascii="Times New Roman" w:cs="Times New Roman" w:eastAsia="Times New Roman" w:hAnsi="Times New Roman"/>
          <w:sz w:val="18"/>
          <w:szCs w:val="18"/>
          <w:b w:val="1"/>
          <w:bCs w:val="1"/>
          <w:color w:val="auto"/>
        </w:rPr>
        <w:t>Excess Section 13 Ownership Position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 4.9% of the outstanding Shares as of the Trade Date for any Transaction, which shall be notified by Counterparty to Dealer on or promptly following the Trade Date and set forth in the Supplemental Confirmation (such number of Shares, the “</w:t>
      </w:r>
      <w:r>
        <w:rPr>
          <w:rFonts w:ascii="Times New Roman" w:cs="Times New Roman" w:eastAsia="Times New Roman" w:hAnsi="Times New Roman"/>
          <w:sz w:val="18"/>
          <w:szCs w:val="18"/>
          <w:b w:val="1"/>
          <w:bCs w:val="1"/>
          <w:color w:val="auto"/>
        </w:rPr>
        <w:t>Threshold Number of Shares</w:t>
      </w:r>
      <w:r>
        <w:rPr>
          <w:rFonts w:ascii="Times New Roman" w:cs="Times New Roman" w:eastAsia="Times New Roman" w:hAnsi="Times New Roman"/>
          <w:sz w:val="18"/>
          <w:szCs w:val="18"/>
          <w:color w:val="auto"/>
        </w:rPr>
        <w:t>” and such condition, the “</w:t>
      </w:r>
      <w:r>
        <w:rPr>
          <w:rFonts w:ascii="Times New Roman" w:cs="Times New Roman" w:eastAsia="Times New Roman" w:hAnsi="Times New Roman"/>
          <w:sz w:val="18"/>
          <w:szCs w:val="18"/>
          <w:b w:val="1"/>
          <w:bCs w:val="1"/>
          <w:color w:val="auto"/>
        </w:rPr>
        <w:t>Excess NYSE Ownership Position</w:t>
      </w:r>
      <w:r>
        <w:rPr>
          <w:rFonts w:ascii="Times New Roman" w:cs="Times New Roman" w:eastAsia="Times New Roman" w:hAnsi="Times New Roman"/>
          <w:sz w:val="18"/>
          <w:szCs w:val="18"/>
          <w:color w:val="auto"/>
        </w:rPr>
        <w:t>”) or (ii) Dealer, Dealer Group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Sections 3-601 through 3-603 of the Maryland Code (Corporations and Associations) or any state or federal bank holding company or banking laws, or any federal, state or local laws, regulations or regulatory orders applicable to ownership of Shares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xml:space="preserve">”), would own, beneficially own, constructively own, control, hold the power to vote or otherwise meet a relevant definition of ownership in excess of a number of Shares equal to (x) the lesser of (A) the maximum number of Shares that would be permitted under Applicable Laws and (B)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or that would give rise to any consequences under the constitutive documents of Counterparty (including, without limitation, Article VII of the Charter and any contract or agreement to which Counterparty is a party), in each case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(such condition described in clause (ii), an “</w:t>
      </w:r>
      <w:r>
        <w:rPr>
          <w:rFonts w:ascii="Times New Roman" w:cs="Times New Roman" w:eastAsia="Times New Roman" w:hAnsi="Times New Roman"/>
          <w:sz w:val="18"/>
          <w:szCs w:val="18"/>
          <w:b w:val="1"/>
          <w:bCs w:val="1"/>
          <w:color w:val="auto"/>
        </w:rPr>
        <w:t>Excess Regulatory Ownership Position</w:t>
      </w:r>
      <w:r>
        <w:rPr>
          <w:rFonts w:ascii="Times New Roman" w:cs="Times New Roman" w:eastAsia="Times New Roman" w:hAnsi="Times New Roman"/>
          <w:sz w:val="18"/>
          <w:szCs w:val="18"/>
          <w:color w:val="auto"/>
        </w:rPr>
        <w:t>”). If any delivery owed to Dealer under any Transaction is not made, in whole or in part, as a result of this provision, (i)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(x) Dealer Group directly or indirectly so beneficially owning in excess of the lesser of (A) 4.5% of the outstanding Shares and (B) the Threshold Number of Shares or (y) the occurrence of an Excess Regulatory Ownership Position and (ii) if such delivery relates to a Physical Settlement of any Transaction, notwithstanding anything to the contrary herein, Dealer shall not be obligated to satisfy the portion of its payment obligation with respect to such Transaction corresponding to any Shares required to be so delivered until the date Counterparty makes such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Non-Confidentiality</w:t>
      </w:r>
      <w:r>
        <w:rPr>
          <w:rFonts w:ascii="Times New Roman" w:cs="Times New Roman" w:eastAsia="Times New Roman" w:hAnsi="Times New Roman"/>
          <w:sz w:val="18"/>
          <w:szCs w:val="18"/>
          <w:color w:val="auto"/>
        </w:rPr>
        <w:t xml:space="preserve">. The parties hereby agree that (i) effective from the date of commencement of discussions concerning the Transactions, Counterparty and each of its employees, representatives, or other agents may disclose to any and all persons, without limitation of any kind, the tax treatment and tax structure of the Transactions and all materials of any kind, including opinions or other tax analyses, provided by Dealer and its affiliates to Counterparty relating to such tax treatment and tax structure;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does not constitute an authorization to disclose the identity of Dealer or its affiliates, agents or advisers, or, except to the extent relating to such tax structure or tax treatment, any specific pricing terms or commercial or financial information, and (ii) Dealer does not assert any claim of proprietary ownership in respect of any description contained herein or therein relating to the use of any entities, plans or arrangements to give rise to a particular United States federal income tax treatment for Counterparty.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Restricted Shares</w:t>
      </w:r>
      <w:r>
        <w:rPr>
          <w:rFonts w:ascii="Times New Roman" w:cs="Times New Roman" w:eastAsia="Times New Roman" w:hAnsi="Times New Roman"/>
          <w:sz w:val="18"/>
          <w:szCs w:val="18"/>
          <w:color w:val="auto"/>
        </w:rPr>
        <w:t>. If Counterparty is unable to comply with the covenant of Counterparty contained in Section 6 above or Dealer otherwise determines in its reasonable opinion that any Shares to be delivered to Dealer by Counterparty under any Transaction may not be freely returned by Dealer to securities lenders as described in the covenant of Counterparty contained in Section 6 above or otherwise constitute “restricted securities” as defined in Rule 144 under the Securities Act, then delivery of any such Settlement Shares (the “</w:t>
      </w:r>
      <w:r>
        <w:rPr>
          <w:rFonts w:ascii="Times New Roman" w:cs="Times New Roman" w:eastAsia="Times New Roman" w:hAnsi="Times New Roman"/>
          <w:sz w:val="18"/>
          <w:szCs w:val="18"/>
          <w:b w:val="1"/>
          <w:bCs w:val="1"/>
          <w:color w:val="auto"/>
        </w:rPr>
        <w:t>Unregistered Settlement Shares</w:t>
      </w:r>
      <w:r>
        <w:rPr>
          <w:rFonts w:ascii="Times New Roman" w:cs="Times New Roman" w:eastAsia="Times New Roman" w:hAnsi="Times New Roman"/>
          <w:sz w:val="18"/>
          <w:szCs w:val="18"/>
          <w:color w:val="auto"/>
        </w:rPr>
        <w:t>”) shall be effected pursuant to Annex A hereto, unless waived by Dealer.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Use of Shares</w:t>
      </w:r>
      <w:r>
        <w:rPr>
          <w:rFonts w:ascii="Times New Roman" w:cs="Times New Roman" w:eastAsia="Times New Roman" w:hAnsi="Times New Roman"/>
          <w:sz w:val="18"/>
          <w:szCs w:val="18"/>
          <w:color w:val="auto"/>
        </w:rPr>
        <w:t>. Dealer acknowledges and agrees that, except in the case of a Private Placement Settlement, Dealer shall use any Shares delivered by Counterparty to Dealer on any Settlement Date to return to securities lenders to close out borrowings created by Dealer or an affiliate of Dealer in connection with Dealer’s (or such affiliate’s) hedging activities related to exposure under the Transactions or otherwise in compliance with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Rule 10b-18</w:t>
      </w:r>
      <w:r>
        <w:rPr>
          <w:rFonts w:ascii="Times New Roman" w:cs="Times New Roman" w:eastAsia="Times New Roman" w:hAnsi="Times New Roman"/>
          <w:sz w:val="18"/>
          <w:szCs w:val="18"/>
          <w:color w:val="auto"/>
        </w:rPr>
        <w:t>. In connection with bids and purchases of Shares in connection with any Net Share Settlement or Cash Settlement of any Transaction, Dealer shall use commercially reasonable efforts to conduct its activities, or cause its affiliates to conduct their activities, in a manner consistent with the requirements of the safe harbor provided by Rule 10b-18 under the Exchange Act, as if such provisions were applicable to such purchases and taking into account any applicable Securities and Exchange Commission no-action letters as appropriate, and subject to any delays between the execution and reporting of a trade of the Shares on the Exchange and other circumstances beyond Dealer’s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Notwithstanding anything to the contrary in the Agreement, the Agreement, this Master Confirmation, any Supplemental Confirmation and all matters arising in connection with the Agreement this Master Confirmation and any Supplemental Confirmation shall be governed by, and construed and enforced in accordance with, the laws of the State of New York (without reference to its choice of laws doctrine other than Title 14 of Article 5 of the New York General Obligations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Set-Off</w:t>
      </w:r>
      <w:r>
        <w:rPr>
          <w:rFonts w:ascii="Times New Roman" w:cs="Times New Roman" w:eastAsia="Times New Roman" w:hAnsi="Times New Roman"/>
          <w:sz w:val="18"/>
          <w:szCs w:val="18"/>
          <w:color w:val="auto"/>
        </w:rPr>
        <w:t>. Each party waives any and all rights it may have to set-off delivery or payment obligations it owes to the other party under any Transaction against any delivery or payment obligations owed to it by the other party, whether arising under the Agreement, under any other agreement between parties hereto,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Staggered Settlement</w:t>
      </w:r>
      <w:r>
        <w:rPr>
          <w:rFonts w:ascii="Times New Roman" w:cs="Times New Roman" w:eastAsia="Times New Roman" w:hAnsi="Times New Roman"/>
          <w:sz w:val="18"/>
          <w:szCs w:val="18"/>
          <w:color w:val="auto"/>
        </w:rPr>
        <w:t>. Notwithstanding anything to the contrary herein, Dealer may, by prior notice to Counterparty,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Waiver of Trial by Jury</w:t>
      </w:r>
      <w:r>
        <w:rPr>
          <w:rFonts w:ascii="Times New Roman" w:cs="Times New Roman" w:eastAsia="Times New Roman" w:hAnsi="Times New Roman"/>
          <w:sz w:val="18"/>
          <w:szCs w:val="18"/>
          <w:color w:val="auto"/>
        </w:rPr>
        <w:t>. 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Jurisdiction</w:t>
      </w:r>
      <w:r>
        <w:rPr>
          <w:rFonts w:ascii="Times New Roman" w:cs="Times New Roman" w:eastAsia="Times New Roman" w:hAnsi="Times New Roman"/>
          <w:sz w:val="18"/>
          <w:szCs w:val="18"/>
          <w:color w:val="auto"/>
        </w:rPr>
        <w:t>.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 NOTHING IN THIS PROVISION SHALL PROHIBIT A PARTY FROM BRINGING AN ACTION TO ENFORCE A MONEY JUDGMENT IN ANY OTHER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Master Confirmation and any Supplemental Confirmation may be executed in any number of counterparts, all of which shall constitute one and the same instrument, and any party hereto may execute this Master Confirmation and any Supplemental Confirmation by signing and delivering one or more counterparts.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Delivery of Cash</w:t>
      </w:r>
      <w:r>
        <w:rPr>
          <w:rFonts w:ascii="Times New Roman" w:cs="Times New Roman" w:eastAsia="Times New Roman" w:hAnsi="Times New Roman"/>
          <w:sz w:val="18"/>
          <w:szCs w:val="18"/>
          <w:color w:val="auto"/>
        </w:rPr>
        <w:t xml:space="preserve">. For the avoidance of doubt, nothing in this Master Confirmation or any Supplemental Confirmation shall be interpreted as requiring Counterparty to deliver cash in respect of the settlement of the Transactions, except in circumstances where the required cash settlement thereof is permitted for classification of the contract as equity by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as in effect on the Trade Date (including, for the avoidance of doubt, where Counterparty elects Cash Settlement). For the avoidance of doubt, the preceding sentence shall not be construed as limiting Section 9 hereunder or any damages that may be payable by Counterparty as a result of a breach of this Master Confirmation or any Supplemental Confirmation.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For the avoidance of doubt, whenever the Calculation Agent, the Hedging Party or the Determining Party is called upon to make an adjustment pursuant to the terms of this Master Confirmation, any Supplemental Confirmation or the Equity Definitions to take into account the effect of an event, the Calculation Agent, the Hedging Party or the Determining Party, as applicable, shall make such adjustment by reference to the effect of such event on the Hedging Party, assuming that the Hedging Party maintains a commercially reasonable hedge position at the time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Other Forward and Similar Dealer Transactions</w:t>
      </w:r>
      <w:r>
        <w:rPr>
          <w:rFonts w:ascii="Times New Roman" w:cs="Times New Roman" w:eastAsia="Times New Roman" w:hAnsi="Times New Roman"/>
          <w:sz w:val="18"/>
          <w:szCs w:val="18"/>
          <w:color w:val="auto"/>
        </w:rPr>
        <w:t>. Counterparty agrees that (x) it shall not cause to occur, or permit to exist, any Forward Hedge Selling Period at any time there is (1) a “Forward Hedge Selling Period” (or equivalent term) relating to any other issuer forward sale or similar transaction (including, without limitation, any “Transaction” under (as and defined under) any substantially identical master forward confirmation) with any financial institution other than Dealer (an “</w:t>
      </w:r>
      <w:r>
        <w:rPr>
          <w:rFonts w:ascii="Times New Roman" w:cs="Times New Roman" w:eastAsia="Times New Roman" w:hAnsi="Times New Roman"/>
          <w:sz w:val="18"/>
          <w:szCs w:val="18"/>
          <w:b w:val="1"/>
          <w:bCs w:val="1"/>
          <w:color w:val="auto"/>
        </w:rPr>
        <w:t>Other Forward Transaction</w:t>
      </w:r>
      <w:r>
        <w:rPr>
          <w:rFonts w:ascii="Times New Roman" w:cs="Times New Roman" w:eastAsia="Times New Roman" w:hAnsi="Times New Roman"/>
          <w:sz w:val="18"/>
          <w:szCs w:val="18"/>
          <w:color w:val="auto"/>
        </w:rPr>
        <w:t>”), (2) any “Unwind Period” (or equivalent term) hereunder under any Other Forward Transaction or under any other issuer forward sale or similar transaction with Dealer (a “</w:t>
      </w:r>
      <w:r>
        <w:rPr>
          <w:rFonts w:ascii="Times New Roman" w:cs="Times New Roman" w:eastAsia="Times New Roman" w:hAnsi="Times New Roman"/>
          <w:sz w:val="18"/>
          <w:szCs w:val="18"/>
          <w:b w:val="1"/>
          <w:bCs w:val="1"/>
          <w:color w:val="auto"/>
        </w:rPr>
        <w:t>Similar Dealer Transaction</w:t>
      </w:r>
      <w:r>
        <w:rPr>
          <w:rFonts w:ascii="Times New Roman" w:cs="Times New Roman" w:eastAsia="Times New Roman" w:hAnsi="Times New Roman"/>
          <w:sz w:val="18"/>
          <w:szCs w:val="18"/>
          <w:color w:val="auto"/>
        </w:rPr>
        <w:t>”) or (3) any other period in which Counterparty directly or indirectly issues and sells Shares pursuant to an underwriting agreement (or similar agreement including, without limitation, any equity distribution agreement) (such period, a “</w:t>
      </w:r>
      <w:r>
        <w:rPr>
          <w:rFonts w:ascii="Times New Roman" w:cs="Times New Roman" w:eastAsia="Times New Roman" w:hAnsi="Times New Roman"/>
          <w:sz w:val="18"/>
          <w:szCs w:val="18"/>
          <w:b w:val="1"/>
          <w:bCs w:val="1"/>
          <w:color w:val="auto"/>
        </w:rPr>
        <w:t>Selling Period</w:t>
      </w:r>
      <w:r>
        <w:rPr>
          <w:rFonts w:ascii="Times New Roman" w:cs="Times New Roman" w:eastAsia="Times New Roman" w:hAnsi="Times New Roman"/>
          <w:sz w:val="18"/>
          <w:szCs w:val="18"/>
          <w:color w:val="auto"/>
        </w:rPr>
        <w:t>”) that Counterparty enters into with any financial institution other than Dealer, and</w:t>
      </w:r>
    </w:p>
    <w:p>
      <w:pPr>
        <w:spacing w:after="0" w:line="3" w:lineRule="exact"/>
        <w:rPr>
          <w:sz w:val="20"/>
          <w:szCs w:val="20"/>
          <w:color w:val="auto"/>
        </w:rPr>
      </w:pPr>
    </w:p>
    <w:p>
      <w:pPr>
        <w:jc w:val="both"/>
        <w:ind w:firstLine="8"/>
        <w:spacing w:after="0" w:line="255"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not cause to occur, or permit to exist, an Unwind Period at any time there is an “Unwind Period” (or equivalent term) under any Other Forward Transaction or any Similar Dealer Transaction, a “Forward Hedge Selling Period” (or equivalent term) relating to any Transaction, any Other Forward Transaction or any Similar Dealer Transaction, or any Selling Period.</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Designation by Dealer</w:t>
      </w:r>
      <w:r>
        <w:rPr>
          <w:rFonts w:ascii="Times New Roman" w:cs="Times New Roman" w:eastAsia="Times New Roman" w:hAnsi="Times New Roman"/>
          <w:sz w:val="17"/>
          <w:szCs w:val="17"/>
          <w:color w:val="auto"/>
        </w:rPr>
        <w:t>. Notwithstanding any other provision of this Master Confirmation or any Supplemental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any Transaction and any such designee may assume such obligations. Dealer shall be discharged of its obligations to Counterparty only to the extent of any such performance.</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Counterparty hereby agrees (a) to check this Master Confirmation carefully and promptly upon receipt so that errors or discrepancies can be promptly identified and rectified and (b) to confirm that the foregoing (in the exact form provided by Dealer) correctly sets forth the terms of the agreement between Dealer and Counterparty hereunder, by manually signing this Master Confirmation or this page hereof as evidence of agreement to such terms and providing the other information requested herein and promptly returning an executed copy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left="45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Forward Sale Confirmation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5" w:name="page146"/>
    <w:bookmarkEnd w:id="145"/>
    <w:p>
      <w:pPr>
        <w:ind w:left="452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CTO REALTY GROWTH, INC.</w:t>
      </w: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Forward Sale Confirmation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Counterparty delivers Unregistered Settlement Shares pursuant to Section 12 above (a “</w:t>
      </w:r>
      <w:r>
        <w:rPr>
          <w:rFonts w:ascii="Times New Roman" w:cs="Times New Roman" w:eastAsia="Times New Roman" w:hAnsi="Times New Roman"/>
          <w:sz w:val="18"/>
          <w:szCs w:val="18"/>
          <w:b w:val="1"/>
          <w:bCs w:val="1"/>
          <w:color w:val="auto"/>
        </w:rPr>
        <w:t>Private Placement Settlement</w:t>
      </w:r>
      <w:r>
        <w:rPr>
          <w:rFonts w:ascii="Times New Roman" w:cs="Times New Roman" w:eastAsia="Times New Roman" w:hAnsi="Times New Roman"/>
          <w:sz w:val="18"/>
          <w:szCs w:val="18"/>
          <w:color w:val="auto"/>
        </w:rPr>
        <w:t>”), then: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all Unregistered Settlement Shares shall be delivered to Dealer (or any affiliate of Dealer designated by Dealer) pursuant to the exemption from the registration requirements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by Section 4(a)(2) thereof;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as of or prior to the date of delivery, Dealer and any potential purchaser of any such shares from Dealer (or any affiliate of Dealer designated by Dealer) identified by Dealer shall be afforded a commercially reasonable opportunity to conduct a due diligence investigation with respect to Counterparty customary in scope for private placements of equity securities of similar size (including, without limitation, the right to have made available to them for inspection all financial and other records, pertinent corporate documents and other information reasonably requested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receiving or being granted access to any such information, Dealer, such affiliate of Dealer or such potential purchaser, as the case may be, may be required by Counterparty to enter into a customary nondisclosure agreement with Counterparty in respect of any such due diligence investigation;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Counterparty to Dealer (or any such affiliate) and the private resale of such shares by Dealer (or any such affiliate), substantially similar to private placement purchase agreements customary for private placements of equity securities of similar size, in form and substance commercially reasonably satisfactory to Dealer, which Private Placement Agreement shall include, without limitation, provisions substantially similar to those contained in such private placement purchase agreements relating, without limitation, to the indemnification of, and contribution in connection with the liability of, Dealer and its affiliates and obligations to use best efforts to obtain customary opinions, accountants’ comfort letters and lawyers’ negative assurance letters, and shall provide for the payment by Counterparty of all commercially reasonable fees and expenses in connection with such resale, including all commercially reasonable fees and expenses of counsel for Dealer,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in connection with the private placement of such shares by Counterparty to Dealer (or any such affiliate) and the private resale of such shares by Dealer (or any such affiliate), Counterparty shall, if so requested by Dealer, prepare, in cooperation with Dealer, a private placement memorandum in form and substance reasonably satisfactory to Dealer.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case of a Private Placement Settlement, Dealer shall, in its good faith discretion, adjust the amount of Unregistered Settlement Shares to be delivered to Dealer hereunder in a commercially reasonable manner to reflect the fact that such Unregistered Settlement Shares may not be freely returned to securities lenders by Dealer and may only be saleable by Dealer at a discount to reflect the lack of liquidity in Unregistered Settlement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Counterparty delivers any Unregistered Settlement Shares in respect of a Transaction, Counterparty agrees that (i) such Shares may be transferred by and among Dealer and its affiliates and (ii) after the applicable “holding period” within the meaning of Rule 144(d) under the Securities Act has elapsed after the applicable Settlement Date,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CONFIRMATION</w:t>
      </w:r>
    </w:p>
    <w:p>
      <w:pPr>
        <w:sectPr>
          <w:pgSz w:w="11900" w:h="16838" w:orient="portrait"/>
          <w:cols w:equalWidth="0" w:num="1">
            <w:col w:w="11240"/>
          </w:cols>
          <w:pgMar w:left="320" w:top="900"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Share Forward Sale Transaction</w:t>
      </w:r>
    </w:p>
    <w:p>
      <w:pPr>
        <w:spacing w:after="0" w:line="21" w:lineRule="exact"/>
        <w:rPr>
          <w:sz w:val="20"/>
          <w:szCs w:val="20"/>
          <w:color w:val="auto"/>
        </w:rPr>
      </w:pPr>
    </w:p>
    <w:p>
      <w:pPr>
        <w:spacing w:after="0"/>
        <w:tabs>
          <w:tab w:leader="none" w:pos="720" w:val="left"/>
          <w:tab w:leader="none" w:pos="1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w:t>
        <w:tab/>
        <w:t>]</w:t>
      </w:r>
    </w:p>
    <w:p>
      <w:pPr>
        <w:spacing w:after="0" w:line="200" w:lineRule="exact"/>
        <w:rPr>
          <w:sz w:val="20"/>
          <w:szCs w:val="20"/>
          <w:color w:val="auto"/>
        </w:rPr>
      </w:pPr>
    </w:p>
    <w:p>
      <w:pPr>
        <w:sectPr>
          <w:pgSz w:w="11900" w:h="16838" w:orient="portrait"/>
          <w:cols w:equalWidth="0" w:num="2">
            <w:col w:w="500" w:space="300"/>
            <w:col w:w="1044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Supplemental Confirmation is to confirm the terms and conditions of the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CTO Realty Growth,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on the Trade Date specified below. This Supplemental Confirmation is a binding contract between Dealer and Counterparty as of the relevant Trade Date for the Transaction referenced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This Supplemental Confirmation supplements, forms part of, and is subject to the Master Confirmation dated as of April [29], 2026 (the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between the Contracting Parties, as amended and supplemented from time to time. All provisions contained in the Master Confirmation govern this Supplemental Confirmation except as expressly modified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terms of the Transaction to which this Supplemental Confirmation relates are as follows:</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Forward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Volume-Weighted Hedge Price: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Stock Loan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Stock Loan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Number of Shares: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basis points per annum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basis points per annum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2880" w:space="720"/>
            <w:col w:w="7640"/>
          </w:cols>
          <w:pgMar w:left="320" w:top="900" w:right="339" w:bottom="1440" w:gutter="0" w:footer="0" w:header="0"/>
          <w:type w:val="continuous"/>
        </w:sectPr>
      </w:pPr>
    </w:p>
    <w:p>
      <w:pPr>
        <w:spacing w:after="0" w:line="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Counterparty hereby agrees (a) to check this Supplemental Confirmation carefully and promptly upon receipt so that errors or discrepancies can be promptly identified and rectified and (b) to confirm that the foregoing (in the exact form provided by Dealer) correctly sets forth the terms of the agreement between Dealer and Counterparty hereunder, by manually signing this Supplemental Confirmation or this page hereof as evidence of agreement to such terms and providing the other information requested herein and promptly returning an executed copy to us.</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[DEALER]</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32"/>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6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10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USD</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10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USD</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10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USD</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10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USD</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8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color w:val="auto"/>
              </w:rPr>
              <w:t>REGULAR DIVIDEND AMOUNTS</w:t>
            </w:r>
          </w:p>
        </w:tc>
      </w:tr>
      <w:tr>
        <w:trPr>
          <w:trHeight w:val="6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any calendar month ending on or prior to [  ]:</w:t>
            </w:r>
          </w:p>
        </w:tc>
        <w:tc>
          <w:tcPr>
            <w:tcW w:w="23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USD[</w:t>
            </w:r>
          </w:p>
        </w:tc>
        <w:tc>
          <w:tcPr>
            <w:tcW w:w="498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any calendar month ending after [  ]:</w:t>
            </w:r>
          </w:p>
        </w:tc>
        <w:tc>
          <w:tcPr>
            <w:tcW w:w="23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USD[</w:t>
            </w:r>
          </w:p>
        </w:tc>
        <w:tc>
          <w:tcPr>
            <w:tcW w:w="498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A-4</w:t>
            </w: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1.5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$250,000,000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 TO THE 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Seller and Manager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the Equity Distribution Agreement, dated November 12, 2024, as amended on April 29,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CTO Realty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[FORWARD PURCHASER] (in its capacity as forward purchaser under any Forward Contract, the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[FORWARD SELLER] (in its capacity as agent for the Company and/or principal in connection with the offering and sale of any Issuance Securities pursuant to the Agreement,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pursuant to the Agreement, the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with the Company and the Forward Purchaser,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 assigned to them in the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entry into new Equity Distribution Agreements, dated the date hereof, by and among the Company and each of Cantor Fitzgerald &amp; Co. and Huntington Securities, Inc., as manager, forward seller and forward purchaser, the Parties desire to amend the Agreement through this Amendment No. 1 to the Equity Distribution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modify the definition of certain defined terms set forth in the Agreement and used herein and to make certain other changes to the Agreement with effect on and after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Parties agree, from and after the Effective Date, that:</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paragraph of Section 1 of the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also entered into separate equity distribution agreements(collectively,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(i) dated as of November 12, 2024, as amended on April 29, 2026, with each of A.G.P./Alliance Global Partners, B. Riley Securities, Inc., Robert W. Baird &amp; Co., Incorporated, Jefferies LLC, JonesTrading Institutional Services LLC, KeyBanc Capital Markets Inc., Lucid Capital Markets, LLC, Raymond James &amp; Associates, Inc., Regions Securities LLC, Truist Securities, Inc. and Wells Fargo Securities, LLC and (ii) dated as of April 29, 2026, with each of Cantor Fitzgerald &amp; Co. and Huntington Securities, Inc. (and, as applicable, their respective affiliates) (each, in its capacity as agent and/or principal, forward seller and forward purchaser thereunder,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(in the case of the Issuance Securities) or borrowing (in the case of the Forward Hedge Securities) and sale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is hereby amended by inserting the words “or all such previously delivered Placement Notices have been terminated or superseded” immediately after the phrase “have all been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applicable EDA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1" w:name="page152"/>
    <w:bookmarkEnd w:id="151"/>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5(w)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and the Prospectus, together with the related schedules and notes, present fairly in all material respects the financial position of the Company at the dates indicated and the results of operations, changes in equity and cash flows of the Company for the periods specified, and such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presented. Except as included or incorporated by reference in the Registration Statement and the Prospectus, no historical or pro forma financial statements or supporting schedules are required to be included in the Registration Statement or the Prospectus under the Securities Act. All disclosures contained or incorporated by reference in the Registration Statement or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5(ccc)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issued by the Company or any of its subsidiaries are rated by a “nationally recognized statistical rating organization,” as such term is defined under Section 3(a)(62) of the Exchange Act; provided, however, that the foregoing shall not apply to any rating assigned to any loan investment (or any participation interest therein) held, originated or sold by the Company or any of its subsidiaries.”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6(h) is hereby deleted in its entirety and replaced with the following:</w:t>
      </w:r>
    </w:p>
    <w:p>
      <w:pPr>
        <w:spacing w:after="0" w:line="223"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Limitation on Managers.</w:t>
      </w:r>
      <w:r>
        <w:rPr>
          <w:rFonts w:ascii="Times New Roman" w:cs="Times New Roman" w:eastAsia="Times New Roman" w:hAnsi="Times New Roman"/>
          <w:sz w:val="18"/>
          <w:szCs w:val="18"/>
          <w:color w:val="auto"/>
        </w:rPr>
        <w:t xml:space="preserve"> The Company agrees that any offer to sell, any solicitation of an offer to buy or any sales of Securities shall only be effected by or through only one of the Manager or the Forward Seller, as the case may be, or the respective Alternative Manager on any single given day, but in no event more than one (the “</w:t>
      </w:r>
      <w:r>
        <w:rPr>
          <w:rFonts w:ascii="Times New Roman" w:cs="Times New Roman" w:eastAsia="Times New Roman" w:hAnsi="Times New Roman"/>
          <w:sz w:val="18"/>
          <w:szCs w:val="18"/>
          <w:u w:val="single" w:color="auto"/>
          <w:color w:val="auto"/>
        </w:rPr>
        <w:t>Current Manager</w:t>
      </w:r>
      <w:r>
        <w:rPr>
          <w:rFonts w:ascii="Times New Roman" w:cs="Times New Roman" w:eastAsia="Times New Roman" w:hAnsi="Times New Roman"/>
          <w:sz w:val="18"/>
          <w:szCs w:val="18"/>
          <w:color w:val="auto"/>
        </w:rPr>
        <w:t xml:space="preserve">”), and the Company shall in no event request that the Manager or the Forward Seller, as the case may be, or one or more of the Alternative Managers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 (i) the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(b) such limitation shall not apply on any day during which no sales are made pursuant to this Agreement and (c) such limitation shall not apply if, prior to any such request to sell Securities, all Securities the Company has previously requested the Manager, the Forward Seller or any Alternative Managers to sell have been sold or the applicable Placement Notice has been terminated or superseded. Notwithstanding the foregoing, a sale may be effected by a second Manager (the “</w:t>
      </w:r>
      <w:r>
        <w:rPr>
          <w:rFonts w:ascii="Times New Roman" w:cs="Times New Roman" w:eastAsia="Times New Roman" w:hAnsi="Times New Roman"/>
          <w:sz w:val="18"/>
          <w:szCs w:val="18"/>
          <w:u w:val="single" w:color="auto"/>
          <w:color w:val="auto"/>
        </w:rPr>
        <w:t>Second Manager</w:t>
      </w:r>
      <w:r>
        <w:rPr>
          <w:rFonts w:ascii="Times New Roman" w:cs="Times New Roman" w:eastAsia="Times New Roman" w:hAnsi="Times New Roman"/>
          <w:sz w:val="18"/>
          <w:szCs w:val="18"/>
          <w:color w:val="auto"/>
        </w:rPr>
        <w:t>”) on a single given day if (i) such sale is executed pursuant to a single privately negotiated transaction, which may include a block trade (a “</w:t>
      </w:r>
      <w:r>
        <w:rPr>
          <w:rFonts w:ascii="Times New Roman" w:cs="Times New Roman" w:eastAsia="Times New Roman" w:hAnsi="Times New Roman"/>
          <w:sz w:val="18"/>
          <w:szCs w:val="18"/>
          <w:u w:val="single" w:color="auto"/>
          <w:color w:val="auto"/>
        </w:rPr>
        <w:t>Single Negotiated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(ii) the Company notifies the applicable Current Manager that a Second Manager was appointed to execute such Single Negotiated Transaction.”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 CONTROVERSY OR DISPUTE ARISING UNDER OR RELATED TO THIS AMENDMENT SHALL BE GOVERNED BY AND CONSTRUED IN ACCORDANCE WITH THE LAWS OF THE STATE OF NEW YORK WITHOUT REGARD TO ITS CHOICE OF LAW PROVISIONS. SPECIFIED TIMES OF DAY REFER TO NEW YORK CITY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New York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 Remains in Effect</w:t>
      </w:r>
      <w:r>
        <w:rPr>
          <w:rFonts w:ascii="Times New Roman" w:cs="Times New Roman" w:eastAsia="Times New Roman" w:hAnsi="Times New Roman"/>
          <w:sz w:val="18"/>
          <w:szCs w:val="18"/>
          <w:color w:val="auto"/>
        </w:rPr>
        <w:t>. Except as provided in this Amendment, all provisions, terms and conditions of the Agreement shall remain in full force and effect. As amended hereby, the Agreement is ratified and confirmed in all respects.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Manager, the Forward Seller, the Forward Purchaser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Philip R. Mays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2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Equity Distribution Agreement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17"/>
          <w:szCs w:val="17"/>
          <w:color w:val="auto"/>
        </w:rPr>
        <w:t>The foregoing Amendment No. 1 to the Agreement is hereby confirmed and accepted as of the date first written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MANAGER</w:t>
            </w:r>
          </w:p>
        </w:tc>
        <w:tc>
          <w:tcPr>
            <w:tcW w:w="4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42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FORWARD SELLER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42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FORWARD PURCHASER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19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04"/>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bullet"/>
      <w:start w:val="1"/>
    </w:lvl>
  </w:abstractNum>
  <w:abstractNum w:abstractNumId="4">
    <w:nsid w:val="79838CB2"/>
    <w:multiLevelType w:val="hybridMultilevel"/>
    <w:lvl w:ilvl="0">
      <w:lvlJc w:val="left"/>
      <w:lvlText w:val="(%1)"/>
      <w:numFmt w:val="lowerRoman"/>
      <w:start w:val="2"/>
    </w:lvl>
  </w:abstractNum>
  <w:abstractNum w:abstractNumId="5">
    <w:nsid w:val="4353D0CD"/>
    <w:multiLevelType w:val="hybridMultilevel"/>
    <w:lvl w:ilvl="0">
      <w:lvlJc w:val="left"/>
      <w:lvlText w:val="(%1)"/>
      <w:numFmt w:val="lowerRoman"/>
      <w:start w:val="4"/>
    </w:lvl>
  </w:abstractNum>
  <w:abstractNum w:abstractNumId="6">
    <w:nsid w:val="B03E0C6"/>
    <w:multiLevelType w:val="hybridMultilevel"/>
    <w:lvl w:ilvl="0">
      <w:lvlJc w:val="left"/>
      <w:lvlText w:val="(%1)"/>
      <w:numFmt w:val="lowerRoman"/>
      <w:start w:val="1"/>
    </w:lvl>
  </w:abstractNum>
  <w:abstractNum w:abstractNumId="7">
    <w:nsid w:val="189A769B"/>
    <w:multiLevelType w:val="hybridMultilevel"/>
    <w:lvl w:ilvl="0">
      <w:lvlJc w:val="left"/>
      <w:lvlText w:val="(%1)"/>
      <w:numFmt w:val="upperLetter"/>
      <w:start w:val="2"/>
    </w:lvl>
  </w:abstractNum>
  <w:abstractNum w:abstractNumId="8">
    <w:nsid w:val="54E49EB4"/>
    <w:multiLevelType w:val="hybridMultilevel"/>
    <w:lvl w:ilvl="0">
      <w:lvlJc w:val="left"/>
      <w:lvlText w:val="(%1)"/>
      <w:numFmt w:val="decimal"/>
      <w:start w:val="3"/>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bullet"/>
      <w:start w:val="1"/>
    </w:lvl>
  </w:abstractNum>
  <w:abstractNum w:abstractNumId="15">
    <w:nsid w:val="1E7FF521"/>
    <w:multiLevelType w:val="hybridMultilevel"/>
    <w:lvl w:ilvl="0">
      <w:lvlJc w:val="left"/>
      <w:lvlText w:val="%1."/>
      <w:numFmt w:val="lowerLetter"/>
      <w:start w:val="4"/>
    </w:lvl>
  </w:abstractNum>
  <w:abstractNum w:abstractNumId="16">
    <w:nsid w:val="7C3DBD3D"/>
    <w:multiLevelType w:val="hybridMultilevel"/>
    <w:lvl w:ilvl="0">
      <w:lvlJc w:val="left"/>
      <w:lvlText w:val="(%1)"/>
      <w:numFmt w:val="lowerRoman"/>
      <w:start w:val="2"/>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1)"/>
      <w:numFmt w:val="upperLetter"/>
      <w:start w:val="2"/>
    </w:lvl>
  </w:abstractNum>
  <w:abstractNum w:abstractNumId="19">
    <w:nsid w:val="22221A70"/>
    <w:multiLevelType w:val="hybridMultilevel"/>
    <w:lvl w:ilvl="0">
      <w:lvlJc w:val="left"/>
      <w:lvlText w:val="(%1)"/>
      <w:numFmt w:val="lowerRoman"/>
      <w:start w:val="2"/>
    </w:lvl>
  </w:abstractNum>
  <w:abstractNum w:abstractNumId="20">
    <w:nsid w:val="4516DDE9"/>
    <w:multiLevelType w:val="hybridMultilevel"/>
    <w:lvl w:ilvl="0">
      <w:lvlJc w:val="left"/>
      <w:lvlText w:val="(%1)"/>
      <w:numFmt w:val="upperLetter"/>
      <w:start w:val="2"/>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1)"/>
      <w:numFmt w:val="lowerRoman"/>
      <w:start w:val="3"/>
    </w:lvl>
  </w:abstractNum>
  <w:abstractNum w:abstractNumId="23">
    <w:nsid w:val="419AC241"/>
    <w:multiLevelType w:val="hybridMultilevel"/>
    <w:lvl w:ilvl="0">
      <w:lvlJc w:val="left"/>
      <w:lvlText w:val="(%1)"/>
      <w:numFmt w:val="lowerRoman"/>
      <w:start w:val="2"/>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1)"/>
      <w:numFmt w:val="lowerRoman"/>
      <w:start w:val="3"/>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2"/>
      <w:numFmt w:val="bullet"/>
      <w:start w:val="1"/>
    </w:lvl>
  </w:abstractNum>
  <w:abstractNum w:abstractNumId="32">
    <w:nsid w:val="5E884ADC"/>
    <w:multiLevelType w:val="hybridMultilevel"/>
    <w:lvl w:ilvl="0">
      <w:lvlJc w:val="left"/>
      <w:lvlText w:val="%1"/>
      <w:numFmt w:val="decimal"/>
      <w:start w:val="10"/>
    </w:lvl>
  </w:abstractNum>
  <w:abstractNum w:abstractNumId="33">
    <w:nsid w:val="51EAD36B"/>
    <w:multiLevelType w:val="hybridMultilevel"/>
    <w:lvl w:ilvl="0">
      <w:lvlJc w:val="left"/>
      <w:lvlText w:val="1"/>
      <w:numFmt w:val="bullet"/>
      <w:start w:val="1"/>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3"/>
    </w:lvl>
  </w:abstractNum>
  <w:abstractNum w:abstractNumId="36">
    <w:nsid w:val="153EA438"/>
    <w:multiLevelType w:val="hybridMultilevel"/>
    <w:lvl w:ilvl="0">
      <w:lvlJc w:val="left"/>
      <w:lvlText w:val="(%1)"/>
      <w:numFmt w:val="lowerRoman"/>
      <w:start w:val="1"/>
    </w:lvl>
  </w:abstractNum>
  <w:abstractNum w:abstractNumId="37">
    <w:nsid w:val="3855585C"/>
    <w:multiLevelType w:val="hybridMultilevel"/>
    <w:lvl w:ilvl="0">
      <w:lvlJc w:val="left"/>
      <w:lvlText w:val="(%1)"/>
      <w:numFmt w:val="lowerRoman"/>
      <w:start w:val="4"/>
    </w:lvl>
  </w:abstractNum>
  <w:abstractNum w:abstractNumId="38">
    <w:nsid w:val="70A64E2A"/>
    <w:multiLevelType w:val="hybridMultilevel"/>
    <w:lvl w:ilvl="0">
      <w:lvlJc w:val="left"/>
      <w:lvlText w:val="(%1)"/>
      <w:numFmt w:val="lowerRoman"/>
      <w:start w:val="10"/>
    </w:lvl>
  </w:abstractNum>
  <w:abstractNum w:abstractNumId="39">
    <w:nsid w:val="6A2342EC"/>
    <w:multiLevelType w:val="hybridMultilevel"/>
    <w:lvl w:ilvl="0">
      <w:lvlJc w:val="left"/>
      <w:lvlText w:val="(%1)"/>
      <w:numFmt w:val="lowerRoman"/>
      <w:start w:val="3"/>
    </w:lvl>
  </w:abstractNum>
  <w:abstractNum w:abstractNumId="40">
    <w:nsid w:val="2A487CB0"/>
    <w:multiLevelType w:val="hybridMultilevel"/>
    <w:lvl w:ilvl="0">
      <w:lvlJc w:val="left"/>
      <w:lvlText w:val="2"/>
      <w:numFmt w:val="bullet"/>
      <w:start w:val="1"/>
    </w:lvl>
  </w:abstractNum>
  <w:abstractNum w:abstractNumId="41">
    <w:nsid w:val="1D4ED43B"/>
    <w:multiLevelType w:val="hybridMultilevel"/>
    <w:lvl w:ilvl="0">
      <w:lvlJc w:val="left"/>
      <w:lvlText w:val="(%1)"/>
      <w:numFmt w:val="lowerLetter"/>
      <w:start w:val="2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bullet"/>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2026-04-29T16:04:22Z</dcterms:created>
  <dcterms:modified xsi:type="dcterms:W3CDTF">2026-04-29T16:04:22Z</dcterms:modified>
</cp:coreProperties>
</file>