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112395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ind w:left="430" w:right="180" w:hanging="430"/>
        <w:spacing w:after="0" w:line="273" w:lineRule="auto"/>
        <w:tabs>
          <w:tab w:leader="none" w:pos="4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2" w:lineRule="exact"/>
        <w:rPr>
          <w:sz w:val="24"/>
          <w:szCs w:val="24"/>
          <w:color w:val="auto"/>
        </w:rPr>
      </w:pPr>
    </w:p>
    <w:p>
      <w:pPr>
        <w:ind w:left="430" w:right="180" w:hanging="430"/>
        <w:spacing w:after="0" w:line="287" w:lineRule="auto"/>
        <w:tabs>
          <w:tab w:leader="none" w:pos="4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40"/>
          <w:szCs w:val="40"/>
          <w:b w:val="1"/>
          <w:bCs w:val="1"/>
          <w:color w:val="auto"/>
        </w:rPr>
        <w:t>CTO REALTY GROWTH, INC.</w:t>
      </w:r>
    </w:p>
    <w:p>
      <w:pPr>
        <w:spacing w:after="0" w:line="5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81" w:lineRule="exact"/>
        <w:rPr>
          <w:sz w:val="24"/>
          <w:szCs w:val="24"/>
          <w:color w:val="auto"/>
        </w:rPr>
      </w:pPr>
    </w:p>
    <w:tbl>
      <w:tblPr>
        <w:tblLayout w:type="fixed"/>
        <w:tblInd w:w="1210" w:type="dxa"/>
        <w:tblCellMar>
          <w:top w:w="0" w:type="dxa"/>
          <w:left w:w="0" w:type="dxa"/>
          <w:bottom w:w="0" w:type="dxa"/>
          <w:right w:w="0" w:type="dxa"/>
        </w:tblCellMar>
      </w:tblP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59-0483700</w:t>
            </w: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4"/>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369 N. New York Avenue, Suite 201</w:t>
            </w:r>
          </w:p>
        </w:tc>
        <w:tc>
          <w:tcPr>
            <w:tcW w:w="1360" w:type="dxa"/>
            <w:vAlign w:val="bottom"/>
          </w:tcPr>
          <w:p>
            <w:pPr>
              <w:spacing w:after="0"/>
              <w:rPr>
                <w:sz w:val="23"/>
                <w:szCs w:val="23"/>
                <w:color w:val="auto"/>
              </w:rPr>
            </w:pPr>
          </w:p>
        </w:tc>
      </w:tr>
      <w:tr>
        <w:trPr>
          <w:trHeight w:val="189"/>
        </w:trPr>
        <w:tc>
          <w:tcPr>
            <w:tcW w:w="5840" w:type="dxa"/>
            <w:vAlign w:val="bottom"/>
          </w:tcPr>
          <w:p>
            <w:pPr>
              <w:jc w:val="center"/>
              <w:ind w:right="309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5840" w:type="dxa"/>
            <w:vAlign w:val="bottom"/>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1360" w:type="dxa"/>
            <w:vAlign w:val="bottom"/>
          </w:tcPr>
          <w:p>
            <w:pPr>
              <w:spacing w:after="0"/>
              <w:rPr>
                <w:sz w:val="20"/>
                <w:szCs w:val="20"/>
                <w:color w:val="auto"/>
              </w:rPr>
            </w:pPr>
          </w:p>
        </w:tc>
      </w:tr>
      <w:tr>
        <w:trPr>
          <w:trHeight w:val="212"/>
        </w:trPr>
        <w:tc>
          <w:tcPr>
            <w:tcW w:w="5840" w:type="dxa"/>
            <w:vAlign w:val="bottom"/>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60" w:type="dxa"/>
            <w:vAlign w:val="bottom"/>
          </w:tcPr>
          <w:p>
            <w:pPr>
              <w:spacing w:after="0"/>
              <w:rPr>
                <w:sz w:val="18"/>
                <w:szCs w:val="18"/>
                <w:color w:val="auto"/>
              </w:rPr>
            </w:pPr>
          </w:p>
        </w:tc>
      </w:tr>
    </w:tbl>
    <w:p>
      <w:pPr>
        <w:spacing w:after="0" w:line="179"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8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0230"/>
          </w:cols>
          <w:pgMar w:left="830" w:top="661" w:right="839" w:bottom="1440" w:gutter="0" w:footer="0" w:header="0"/>
        </w:sectPr>
      </w:pPr>
    </w:p>
    <w:p>
      <w:pPr>
        <w:spacing w:after="0" w:line="233" w:lineRule="exact"/>
        <w:rPr>
          <w:sz w:val="24"/>
          <w:szCs w:val="24"/>
          <w:color w:val="auto"/>
        </w:rPr>
      </w:pPr>
    </w:p>
    <w:p>
      <w:pPr>
        <w:jc w:val="center"/>
        <w:ind w:left="41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2151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8" w:lineRule="exact"/>
        <w:rPr>
          <w:sz w:val="24"/>
          <w:szCs w:val="24"/>
          <w:color w:val="auto"/>
        </w:rPr>
      </w:pPr>
    </w:p>
    <w:p>
      <w:pPr>
        <w:jc w:val="both"/>
        <w:ind w:left="410" w:firstLine="13"/>
        <w:spacing w:after="0" w:line="280" w:lineRule="auto"/>
        <w:rPr>
          <w:sz w:val="20"/>
          <w:szCs w:val="20"/>
          <w:color w:val="auto"/>
        </w:rPr>
      </w:pPr>
      <w:r>
        <w:rPr>
          <w:rFonts w:ascii="Times New Roman" w:cs="Times New Roman" w:eastAsia="Times New Roman" w:hAnsi="Times New Roman"/>
          <w:sz w:val="14"/>
          <w:szCs w:val="14"/>
          <w:b w:val="1"/>
          <w:bCs w:val="1"/>
          <w:color w:val="auto"/>
        </w:rPr>
        <w:t>Common Stock, $0.01 par value per share 6.375% Series A Cumulative Redeemable Preferred Stock, $0.01 par value per share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4"/>
        </w:trPr>
        <w:tc>
          <w:tcPr>
            <w:tcW w:w="3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CTO</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r>
        <w:trPr>
          <w:trHeight w:val="371"/>
        </w:trPr>
        <w:tc>
          <w:tcPr>
            <w:tcW w:w="3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CTO</w:t>
            </w:r>
            <w:r>
              <w:rPr>
                <w:rFonts w:ascii="Times New Roman" w:cs="Times New Roman" w:eastAsia="Times New Roman" w:hAnsi="Times New Roman"/>
                <w:sz w:val="16"/>
                <w:szCs w:val="16"/>
                <w:color w:val="auto"/>
                <w:w w:val="99"/>
              </w:rPr>
              <w:t>-</w:t>
            </w:r>
            <w:r>
              <w:rPr>
                <w:rFonts w:ascii="Times New Roman" w:cs="Times New Roman" w:eastAsia="Times New Roman" w:hAnsi="Times New Roman"/>
                <w:sz w:val="14"/>
                <w:szCs w:val="14"/>
                <w:b w:val="1"/>
                <w:bCs w:val="1"/>
                <w:color w:val="auto"/>
                <w:w w:val="99"/>
              </w:rPr>
              <w:t>PA</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168" w:lineRule="exact"/>
        <w:rPr>
          <w:sz w:val="24"/>
          <w:szCs w:val="24"/>
          <w:color w:val="auto"/>
        </w:rPr>
      </w:pPr>
    </w:p>
    <w:p>
      <w:pPr>
        <w:sectPr>
          <w:pgSz w:w="11900" w:h="16838" w:orient="portrait"/>
          <w:cols w:equalWidth="0" w:num="2">
            <w:col w:w="2990" w:space="600"/>
            <w:col w:w="6640"/>
          </w:cols>
          <w:pgMar w:left="830" w:top="661" w:right="839" w:bottom="1440" w:gutter="0" w:footer="0" w:header="0"/>
          <w:type w:val="continuous"/>
        </w:sectPr>
      </w:pPr>
    </w:p>
    <w:p>
      <w:pPr>
        <w:ind w:left="10" w:right="160" w:firstLine="441"/>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10" w:right="180" w:firstLine="441"/>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left="10" w:right="160" w:firstLine="441"/>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 w:lineRule="exact"/>
        <w:rPr>
          <w:sz w:val="24"/>
          <w:szCs w:val="24"/>
          <w:color w:val="auto"/>
        </w:rPr>
      </w:pPr>
    </w:p>
    <w:p>
      <w:pPr>
        <w:ind w:left="10" w:right="140" w:firstLine="441"/>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July 18, 2024, there were 23,120,163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587375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210185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193040</wp:posOffset>
            </wp:positionV>
            <wp:extent cx="6497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9"/>
          </w:tcPr>
          <w:p>
            <w:pPr>
              <w:ind w:left="1060"/>
              <w:spacing w:after="0"/>
              <w:rPr>
                <w:sz w:val="20"/>
                <w:szCs w:val="20"/>
                <w:color w:val="auto"/>
              </w:rPr>
            </w:pPr>
            <w:r>
              <w:rPr>
                <w:rFonts w:ascii="Times New Roman" w:cs="Times New Roman" w:eastAsia="Times New Roman" w:hAnsi="Times New Roman"/>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84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4"/>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9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Balance Sheets – June 30, 2024 (Unaudited) and December 31, 2023</w:t>
            </w:r>
          </w:p>
        </w:tc>
        <w:tc>
          <w:tcPr>
            <w:tcW w:w="21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and six months ended June 30, 2024 and 2023 (Unaudited)</w:t>
            </w:r>
          </w:p>
        </w:tc>
        <w:tc>
          <w:tcPr>
            <w:tcW w:w="4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Three and six months ended June 30, 2024 and 2023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700" w:type="dxa"/>
            <w:vAlign w:val="bottom"/>
            <w:tcBorders>
              <w:top w:val="single" w:sz="8" w:color="0000EE"/>
            </w:tcBorders>
            <w:gridSpan w:val="18"/>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5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six months ended June 30, 2024 and 2023</w:t>
            </w:r>
          </w:p>
        </w:tc>
        <w:tc>
          <w:tcPr>
            <w:tcW w:w="6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71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Six months ended June 30, 2024 and 2023 (Unaudited)</w:t>
            </w:r>
          </w:p>
        </w:tc>
        <w:tc>
          <w:tcPr>
            <w:tcW w:w="112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32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8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80" w:type="dxa"/>
            <w:vAlign w:val="bottom"/>
            <w:tcBorders>
              <w:top w:val="single" w:sz="8" w:color="0000EE"/>
              <w:bottom w:val="single" w:sz="8" w:color="0000EE"/>
            </w:tcBorders>
            <w:gridSpan w:val="4"/>
          </w:tcPr>
          <w:p>
            <w:pPr>
              <w:ind w:left="80"/>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636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87"/>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10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Land, at Cost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222,232</w:t>
            </w: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601,584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559,389</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Furnishings and Equipment, at Cost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Construction in Process, at Cost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r>
      <w:tr>
        <w:trPr>
          <w:trHeight w:val="210"/>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786,475</w:t>
            </w:r>
          </w:p>
        </w:tc>
      </w:tr>
      <w:tr>
        <w:trPr>
          <w:trHeight w:val="216"/>
        </w:trPr>
        <w:tc>
          <w:tcPr>
            <w:tcW w:w="6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(52,012)</w:t>
            </w:r>
          </w:p>
        </w:tc>
      </w:tr>
      <w:tr>
        <w:trPr>
          <w:trHeight w:val="209"/>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734,463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Alpine Income Property Trust,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Mitigation Credits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Refundable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Assets—See Note 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50"/>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1,009,768</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196"/>
        </w:trPr>
        <w:tc>
          <w:tcPr>
            <w:tcW w:w="6100" w:type="dxa"/>
            <w:vAlign w:val="bottom"/>
            <w:shd w:val="clear" w:color="auto" w:fill="CCEEFF"/>
          </w:tcPr>
          <w:p>
            <w:pPr>
              <w:ind w:left="1180"/>
              <w:spacing w:after="0" w:line="195"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Other Liabilities—See Note 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Revenue—See Note 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482,661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495,370</w:t>
            </w:r>
          </w:p>
        </w:tc>
      </w:tr>
      <w:tr>
        <w:trPr>
          <w:trHeight w:val="209"/>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517,953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532,142</w:t>
            </w: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Contingencies—See Note 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8"/>
        </w:trPr>
        <w:tc>
          <w:tcPr>
            <w:tcW w:w="61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 100,000,000 shares authorized; $0.01 par value, 6.375% Series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Cumulative Redeemable Preferred Stock, $25.00 Per Share Liquidation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Preference, 4,697,225 shares issued and outstanding at June 30, 2024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4"/>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2,978,808 shares issued and outstanding at December 31, 2023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61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 500,000,000 shares authorized; $0.01 par value, 23,115,110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at June 30, 2024 and 22,643,034 shares issued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168,435</w:t>
            </w: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281,944</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r>
      <w:tr>
        <w:trPr>
          <w:trHeight w:val="210"/>
        </w:trPr>
        <w:tc>
          <w:tcPr>
            <w:tcW w:w="6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491,815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457,526</w:t>
            </w:r>
          </w:p>
        </w:tc>
      </w:tr>
      <w:tr>
        <w:trPr>
          <w:trHeight w:val="209"/>
        </w:trPr>
        <w:tc>
          <w:tcPr>
            <w:tcW w:w="6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1,009,768</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20"/>
        </w:trPr>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Fee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Direct Cost of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Gain</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Before Income Tax Benefit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Common</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32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3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Information—See Note 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Basic and Diluted Net Income (Loss) Attributable to</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Stockholders</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22,787,252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22,482,957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22,669,246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22,828,148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22,482,957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22,674,796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22,593,280</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09"/>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09"/>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0"/>
        </w:trPr>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June 30,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April 1, 2024</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169,924</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277,654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14,404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462,241</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26"/>
        </w:trPr>
        <w:tc>
          <w:tcPr>
            <w:tcW w:w="3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Preferred Stock, Net of Underwriting Discount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Expenses</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(8,697)</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(8,697)</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207,882</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268,269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15,386</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491,815</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three months ended June 30, 2023:</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April 1, 2023</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167,436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300,066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10,870</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478,629</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(8,713)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(8,713)</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7,379</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168,103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291,958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478,567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six months ended June 30,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2024</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168,435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281,944</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6,891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457,526</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7,025</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26"/>
        </w:trPr>
        <w:tc>
          <w:tcPr>
            <w:tcW w:w="356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Preferred Stock, Net of Underwriting Discount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32,979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32,996</w:t>
            </w:r>
          </w:p>
        </w:tc>
        <w:tc>
          <w:tcPr>
            <w:tcW w:w="0" w:type="dxa"/>
            <w:vAlign w:val="bottom"/>
          </w:tcPr>
          <w:p>
            <w:pPr>
              <w:spacing w:after="0"/>
              <w:rPr>
                <w:sz w:val="1"/>
                <w:szCs w:val="1"/>
                <w:color w:val="auto"/>
              </w:rPr>
            </w:pPr>
          </w:p>
        </w:tc>
      </w:tr>
      <w:tr>
        <w:trPr>
          <w:trHeight w:val="171"/>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Expenses</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Issuance, Net of Equity Issuance Costs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1,646</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(3,058)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(17,642)</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(17,642)</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0" w:type="dxa"/>
            <w:vAlign w:val="bottom"/>
          </w:tcPr>
          <w:p>
            <w:pPr>
              <w:spacing w:after="0"/>
              <w:rPr>
                <w:sz w:val="1"/>
                <w:szCs w:val="1"/>
                <w:color w:val="auto"/>
              </w:rPr>
            </w:pPr>
          </w:p>
        </w:tc>
      </w:tr>
      <w:tr>
        <w:trPr>
          <w:trHeight w:val="142"/>
        </w:trPr>
        <w:tc>
          <w:tcPr>
            <w:tcW w:w="35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2024</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207,882</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268,269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15,386</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491,815</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For the six months ended June 30, 2023:</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5"/>
                <w:szCs w:val="15"/>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1, 2023</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172,471</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316,279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15,761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504,770</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 Attributable to the Company</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 Repurchase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(5,082)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Vested Restricted Stock and Performance Shares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Exercise of Stock Options and Stock Issuance to Directors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1,624</w:t>
            </w:r>
          </w:p>
        </w:tc>
        <w:tc>
          <w:tcPr>
            <w:tcW w:w="0" w:type="dxa"/>
            <w:vAlign w:val="bottom"/>
          </w:tcPr>
          <w:p>
            <w:pPr>
              <w:spacing w:after="0"/>
              <w:rPr>
                <w:sz w:val="1"/>
                <w:szCs w:val="1"/>
                <w:color w:val="auto"/>
              </w:rPr>
            </w:pPr>
          </w:p>
        </w:tc>
      </w:tr>
      <w:tr>
        <w:trPr>
          <w:trHeight w:val="148"/>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Dividends Declared for the Period</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(2,390)</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for the Period</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(17,738)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(17,738)</w:t>
            </w:r>
          </w:p>
        </w:tc>
        <w:tc>
          <w:tcPr>
            <w:tcW w:w="0" w:type="dxa"/>
            <w:vAlign w:val="bottom"/>
          </w:tcPr>
          <w:p>
            <w:pPr>
              <w:spacing w:after="0"/>
              <w:rPr>
                <w:sz w:val="1"/>
                <w:szCs w:val="1"/>
                <w:color w:val="auto"/>
              </w:rPr>
            </w:pPr>
          </w:p>
        </w:tc>
      </w:tr>
      <w:tr>
        <w:trPr>
          <w:trHeight w:val="149"/>
        </w:trPr>
        <w:tc>
          <w:tcPr>
            <w:tcW w:w="3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142"/>
        </w:trPr>
        <w:tc>
          <w:tcPr>
            <w:tcW w:w="35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168,103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291,958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18,249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478,567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the Company</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7,025</w:t>
            </w:r>
          </w:p>
        </w:tc>
        <w:tc>
          <w:tcPr>
            <w:tcW w:w="1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94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(Loss) Attributable to the Company to Net Cash Provided by</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22,480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Liabilities to Income Property Revenue</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718</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Discount on Convertible Debt</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Real Estate and Intangible Lease Assets and Liabilities</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(4,618)</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Subsurface Interests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Imputed Interest</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Loss on Investment Securities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Extinguishment of Contingent Obligation</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 and Development Costs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Mitigation Credits and Mitigation Credit Rights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(2,811)</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24,640</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2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color w:val="auto"/>
              </w:rPr>
              <w:t>Acquisition of Real Estate and Intangible Lease Assets and Liabilities, Including Capitalized</w:t>
            </w:r>
          </w:p>
        </w:tc>
        <w:tc>
          <w:tcPr>
            <w:tcW w:w="180" w:type="dxa"/>
            <w:vAlign w:val="bottom"/>
          </w:tcPr>
          <w:p>
            <w:pPr>
              <w:spacing w:after="0"/>
              <w:rPr>
                <w:sz w:val="10"/>
                <w:szCs w:val="10"/>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(78,134)</w:t>
            </w:r>
          </w:p>
        </w:tc>
        <w:tc>
          <w:tcPr>
            <w:tcW w:w="200" w:type="dxa"/>
            <w:vAlign w:val="bottom"/>
          </w:tcPr>
          <w:p>
            <w:pPr>
              <w:spacing w:after="0"/>
              <w:rPr>
                <w:sz w:val="10"/>
                <w:szCs w:val="10"/>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(89,574)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Expenditures</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(7,030)</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Plant, and Equipment, Net and Assets Held for Sale</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Subsurface Interests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18,517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Investment Securities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the Sale of Investment Securities</w:t>
            </w: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(40,745)</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(106,424)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(84,000)</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Received Exercise of Stock Options and Common Stock Issuance</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Preferred Stock, Net of Underwriting Discount and Expenses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32,996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Used to Purchase Common and Preferred Stock</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Vesting of Restricted Stock</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(1,274)</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(Cash Paid for) Issuance of Common and Preferred Stock, Net</w:t>
            </w:r>
          </w:p>
        </w:tc>
        <w:tc>
          <w:tcPr>
            <w:tcW w:w="1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(3,058)</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180" w:type="dxa"/>
            <w:vAlign w:val="bottom"/>
          </w:tcPr>
          <w:p>
            <w:pPr>
              <w:spacing w:after="0"/>
              <w:rPr>
                <w:sz w:val="12"/>
                <w:szCs w:val="12"/>
                <w:color w:val="auto"/>
              </w:rPr>
            </w:pP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(17,309)</w:t>
            </w:r>
          </w:p>
        </w:tc>
        <w:tc>
          <w:tcPr>
            <w:tcW w:w="2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4,443</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70,276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1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(11,662)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17,819</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4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6,157</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4,794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1,363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6,157</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 Net of Refunds Received</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Cash Paid for Interest </w:t>
            </w:r>
            <w:r>
              <w:rPr>
                <w:rFonts w:ascii="Times New Roman" w:cs="Times New Roman" w:eastAsia="Times New Roman" w:hAnsi="Times New Roman"/>
                <w:sz w:val="17"/>
                <w:szCs w:val="17"/>
                <w:color w:val="auto"/>
                <w:vertAlign w:val="superscript"/>
              </w:rPr>
              <w:t>(1)</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(10,654)</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(9,589)</w:t>
            </w:r>
          </w:p>
        </w:tc>
        <w:tc>
          <w:tcPr>
            <w:tcW w:w="20" w:type="dxa"/>
            <w:vAlign w:val="bottom"/>
          </w:tcPr>
          <w:p>
            <w:pPr>
              <w:spacing w:after="0"/>
              <w:rPr>
                <w:sz w:val="12"/>
                <w:szCs w:val="12"/>
                <w:color w:val="auto"/>
              </w:rPr>
            </w:pPr>
          </w:p>
        </w:tc>
      </w:tr>
      <w:tr>
        <w:trPr>
          <w:trHeight w:val="149"/>
        </w:trPr>
        <w:tc>
          <w:tcPr>
            <w:tcW w:w="2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14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2,488</w:t>
            </w:r>
          </w:p>
        </w:tc>
        <w:tc>
          <w:tcPr>
            <w:tcW w:w="20" w:type="dxa"/>
            <w:vAlign w:val="bottom"/>
          </w:tcPr>
          <w:p>
            <w:pPr>
              <w:spacing w:after="0"/>
              <w:rPr>
                <w:sz w:val="12"/>
                <w:szCs w:val="12"/>
                <w:color w:val="auto"/>
              </w:rPr>
            </w:pPr>
          </w:p>
        </w:tc>
      </w:tr>
      <w:tr>
        <w:trPr>
          <w:trHeight w:val="148"/>
        </w:trPr>
        <w:tc>
          <w:tcPr>
            <w:tcW w:w="59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and Unpaid</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20" w:type="dxa"/>
            <w:vAlign w:val="bottom"/>
          </w:tcPr>
          <w:p>
            <w:pPr>
              <w:spacing w:after="0"/>
              <w:rPr>
                <w:sz w:val="12"/>
                <w:szCs w:val="12"/>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53"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capitalized interest of $0.1 million during the six months ended June 30, 2024 and 2023.</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BUSINESS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June 30, 2024, we own and manage, sometimes utilizing third-party property management companies, 20 commercial real estate properties in 8 states in the United States, comprising 3.9 million square feet of gross leasable space. In addition to our income property portfolio, as of June 30, 2024, our business included the following:</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Alpine Income Property Trust, Inc.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80"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three commercial loan investments and one preferred equity investment which is classified as a commercial loan investment.</w:t>
      </w:r>
    </w:p>
    <w:p>
      <w:pPr>
        <w:spacing w:after="0" w:line="16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u w:val="single" w:color="auto"/>
          <w:color w:val="auto"/>
        </w:rPr>
        <w:t>Real Estate Operations:</w:t>
      </w:r>
      <w:r>
        <w:rPr>
          <w:rFonts w:ascii="Times New Roman" w:cs="Times New Roman" w:eastAsia="Times New Roman" w:hAnsi="Times New Roman"/>
          <w:sz w:val="18"/>
          <w:szCs w:val="18"/>
          <w:color w:val="auto"/>
        </w:rPr>
        <w:t xml:space="preserve"> An inventory of mitigation credits produced by the Company’s formerly owned mitigation bank. During the six months ended June 30,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u w:val="single" w:color="auto"/>
          <w:color w:val="auto"/>
        </w:rPr>
        <w:t>Investment in PINE:</w:t>
      </w:r>
      <w:r>
        <w:rPr>
          <w:rFonts w:ascii="Times New Roman" w:cs="Times New Roman" w:eastAsia="Times New Roman" w:hAnsi="Times New Roman"/>
          <w:sz w:val="18"/>
          <w:szCs w:val="18"/>
          <w:color w:val="auto"/>
        </w:rPr>
        <w:t xml:space="preserve"> Our business also includes our investment in PINE. As of June 30, 2024, the fair value of our investment totaled $36.6 million, or 15.8%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Information</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2023,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9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results to be expected for the year ending December 31,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June 30, 2024, the Company has an equity investment in PINE.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color w:val="auto"/>
        </w:rPr>
        <w:t>ASC Topic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establishes standards related to the manner in which enterprises report operating segment information. The Company operates in four primary business segments including income properties, management services, commercial loans and investments, and real estate operations, as further discussed within Note 22, “Business Segment Data”. The Company has no other reportable segments. The Company’s chief executive officer, who is the chief operating decision maker, reviews financial information on a disaggregated basis for purposes of allocating and evaluating financial performance.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real estate assets are stated at cost, less accumulated depreciation and amortization. Such assets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Company’s consolidated statement of operations. The amount of depreciation of real estate, exclusive of amortization related to intangible assets, recognized for the three months ended June 30, 2024 and June 30, 2023, was $6.7 million and $6.3 million, respectively. The amount of depreciation of real estate, exclusive of amortization related to intangible assets, recognized for the six months ended June 30, 2024 and June 30, 2023, was $13.1 million and $12.3 million,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bank demand accounts, and money market accounts having original maturities of 90 days or less. The Company’s bank balances as of June 30, 2024 and December 31, 2023 include certain amounts over the Federal Deposit Insurance Corporation limits.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$1.4 million at June 30, 2024, which is being held in three interest and/or real estate tax reserve accounts related to the Company’s commercial loans and investments.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Depending upon the hedge’s value at each balance sheet date, the derivatives are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other assets or accrued and other liabilities on the consolidated balance sheet at their fair value. On the date each</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interest rate swap was entered into, the Company designated the derivatives as a hedge of the variability of cash flows to be paid related to the recognized long-term debt liabilities.</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8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16, “Interest Rate Swaps”).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accounts payable, and accrued and other liabilities at June 30, 2024 and December 31, 2023, approximate fair value because of the short maturity of these instruments. The carrying value of the Company’s Credit Facility (hereinafter defined) as of June 30, 2024 and December 31, 2023, approximates current market rates for revolving credit arrangements with similar risks and maturities. The face value of the Company’s fixed rate commercial loans and investments, the 2026 Term Loan (hereinafter defined), the 2027 Term Loan (hereinafter defined), the 2028 Term Loan (hereinafter defined), mortgage note, and convertible debt held as of June 30, 2024 and December 31, 2023 are measured at fair value based on current market rates for financial instruments with similar risks and maturities (see Note 8, “Fair Value of Financial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840" w:hanging="331"/>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jc w:val="both"/>
        <w:ind w:left="840" w:right="79" w:hanging="331"/>
        <w:spacing w:after="0" w:line="26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Interest Income from Commercial Loans and Investments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Mitigation Credits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$4.3 million and $4.6 million as of June 30, 2024 and December 31, 2023, respectively.</w:t>
      </w:r>
    </w:p>
    <w:p>
      <w:pPr>
        <w:spacing w:after="0" w:line="17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Accounts receivable related to real estate operations, which are classified in other assets on the consolidated balance sheets, totaled $0.6 million as of June 30, 2024 and December 31, 2023. The accounts receivable as of June 30, 2024 and December 31, 2023 are primarily related to the reimbursement of certain infrastructure costs completed by the Company in conjunction with two land sale transactions that closed during the fourth quarter of 2015 as more fully described in Note 11, “Other Assets.”</w:t>
      </w:r>
    </w:p>
    <w:p>
      <w:pPr>
        <w:spacing w:after="0" w:line="183"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amount due from the buyer of the golf operations for the rounds surcharge the Company paid to the City of Daytona Beach, totaled $0.1 million as of June 30, 2024 and December 31, 2023.</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collectability of the aforementioned receivables shall be considered and adjusted through an allowance for doubtful accounts which is included in income property revenue on the consolidated statements of operations. As of June 30, 2024 and December 31, 2023, the Company’s allowance for doubtful accounts totaled $1.9 million and $1.7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for Acquisitions of Real Estate Subject to a Lease</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9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incurs costs related to the development and leasing of its properties. Such costs include, but are not limited to, tenant improvements, leasing commissions, rebranding, facility expansion and other capital improvements, and are included in construction in progress during the development period. When a construction project is considered to be substantially complete, the capitalized costs are reclassified to the appropriate real estate asset and depreciation begins. The Company assesses the level of construction activity to determine the amount, if any, of interest expense to be capitalized to the underlying construction projects.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Real Estate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193"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for the Company’s TRS. Deferred income taxes result primarily from the net tax effect of temporary differences between the carrying amounts of assets and liabilities for financial reporting purposes and the amounts used for income tax purposes (see Note 20,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2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35,640</w:t>
            </w:r>
          </w:p>
        </w:tc>
      </w:tr>
      <w:tr>
        <w:trPr>
          <w:trHeight w:val="216"/>
        </w:trPr>
        <w:tc>
          <w:tcPr>
            <w:tcW w:w="2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Leasing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45,190</w:t>
            </w:r>
          </w:p>
        </w:tc>
      </w:tr>
      <w:tr>
        <w:trPr>
          <w:trHeight w:val="20"/>
        </w:trPr>
        <w:tc>
          <w:tcPr>
            <w:tcW w:w="2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Minimum future base rental receipts under non-cancelable operating leases, excluding percentage rent and other lease payments that are not fixed and determinable, having remaining terms in excess of one year subsequent to June 30, 2024, are summarized as follows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40,010</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75,985</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68,302</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57,281</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45,356</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32,141</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89,058</w:t>
            </w:r>
          </w:p>
        </w:tc>
      </w:tr>
      <w:tr>
        <w:trPr>
          <w:trHeight w:val="20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408,133</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2024 Acquisitions. </w:t>
      </w:r>
      <w:r>
        <w:rPr>
          <w:rFonts w:ascii="Times New Roman" w:cs="Times New Roman" w:eastAsia="Times New Roman" w:hAnsi="Times New Roman"/>
          <w:sz w:val="18"/>
          <w:szCs w:val="18"/>
          <w:color w:val="auto"/>
        </w:rPr>
        <w:t>During the six months ended June 30, 2024, the Company acquired one multi-tenant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one vacant land parcel within an existing multi-tenant property, and one building within an existing multi-tenant income property for an aggregate purchase price of $72.5 million, or a total acquisition cost of $72.6 million, as follows:</w:t>
      </w:r>
    </w:p>
    <w:p>
      <w:pPr>
        <w:spacing w:after="0" w:line="67" w:lineRule="exact"/>
        <w:rPr>
          <w:sz w:val="20"/>
          <w:szCs w:val="20"/>
          <w:color w:val="auto"/>
        </w:rPr>
      </w:pPr>
    </w:p>
    <w:p>
      <w:pPr>
        <w:jc w:val="both"/>
        <w:ind w:left="1160" w:right="79" w:hanging="327"/>
        <w:spacing w:after="0" w:line="261"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Marketplace at Seminole Towne Center, a multi-tenant income property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w:t>
      </w:r>
    </w:p>
    <w:p>
      <w:pPr>
        <w:spacing w:after="0" w:line="71" w:lineRule="exact"/>
        <w:rPr>
          <w:rFonts w:ascii="Times New Roman" w:cs="Times New Roman" w:eastAsia="Times New Roman" w:hAnsi="Times New Roman"/>
          <w:sz w:val="18"/>
          <w:szCs w:val="18"/>
          <w:color w:val="auto"/>
        </w:rPr>
      </w:pPr>
    </w:p>
    <w:p>
      <w:pPr>
        <w:jc w:val="both"/>
        <w:ind w:left="1160" w:right="79" w:hanging="327"/>
        <w:spacing w:after="0" w:line="25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property, totaling 4,000 square feet, within the 28,100 square foot retail portion of Phase II of The Exchange at Gwinnett located in Buford, Georgia for an aggregate purchase price of $2.3 million including capitalized acquisition costs. The weighted average remaining lease term at acquisition is 10.0 years. As a result of this acquisition, the Company has acquired the entire retail portion of Phase II of the Exchange at Gwinnett. The Company previously purchased the Sprouts-anchored Phase I portion of The Exchange at Gwinnett in December 2021.</w:t>
      </w:r>
    </w:p>
    <w:p>
      <w:pPr>
        <w:spacing w:after="0" w:line="79" w:lineRule="exact"/>
        <w:rPr>
          <w:rFonts w:ascii="Times New Roman" w:cs="Times New Roman" w:eastAsia="Times New Roman" w:hAnsi="Times New Roman"/>
          <w:sz w:val="18"/>
          <w:szCs w:val="18"/>
          <w:color w:val="auto"/>
        </w:rPr>
      </w:pPr>
    </w:p>
    <w:p>
      <w:pPr>
        <w:jc w:val="both"/>
        <w:ind w:left="1160" w:right="79" w:hanging="327"/>
        <w:spacing w:after="0" w:line="266"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vacant land parcel, for future development, within the previously acquired West Broad Village property, located in the Short Pump submarket of Richmond, Virginia, for a purchase price of $1.5 million including capitalized acquisition costs.</w:t>
      </w:r>
    </w:p>
    <w:p>
      <w:pPr>
        <w:spacing w:after="0" w:line="68"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Of the aggregate $72.6 million total acquisition cost, $14.4 million was allocated to land, $52.0 million was allocated to buildings and improvements, and $11.2 million was allocated to intangible assets pertaining to the in-place lease value, leasing costs, and above market lease value and $5.0 million was allocated to intangible liabilities for the below market lease value. The amortization period for the intangible assets and liabilities was 4.9 years at acquisition.</w:t>
      </w:r>
    </w:p>
    <w:p>
      <w:pPr>
        <w:spacing w:after="0" w:line="178"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Dispositions. </w:t>
      </w:r>
      <w:r>
        <w:rPr>
          <w:rFonts w:ascii="Times New Roman" w:cs="Times New Roman" w:eastAsia="Times New Roman" w:hAnsi="Times New Roman"/>
          <w:sz w:val="18"/>
          <w:szCs w:val="18"/>
          <w:color w:val="auto"/>
        </w:rPr>
        <w:t>During the six months ended June 30, 2024, the Company sold one mixed use income property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downtown Santa Fe, NM for $20.0 million resulting in a gain of $4.6 million.</w:t>
      </w:r>
    </w:p>
    <w:p>
      <w:pPr>
        <w:spacing w:after="0" w:line="158" w:lineRule="exact"/>
        <w:rPr>
          <w:sz w:val="20"/>
          <w:szCs w:val="20"/>
          <w:color w:val="auto"/>
        </w:rPr>
      </w:pPr>
    </w:p>
    <w:p>
      <w:pPr>
        <w:jc w:val="both"/>
        <w:ind w:left="60" w:right="7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2023 Acquisitions</w:t>
      </w:r>
      <w:r>
        <w:rPr>
          <w:rFonts w:ascii="Times New Roman" w:cs="Times New Roman" w:eastAsia="Times New Roman" w:hAnsi="Times New Roman"/>
          <w:sz w:val="18"/>
          <w:szCs w:val="18"/>
          <w:color w:val="auto"/>
        </w:rPr>
        <w:t>. During the six months ended June 30, 2023, the Company acquired one multi-tenant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and four buildings within an existing multi-tenant income property for an aggregate purchase price of $75.9 million, or a total acquisition cost of $76.0 million, as follows:</w:t>
      </w:r>
    </w:p>
    <w:p>
      <w:pPr>
        <w:spacing w:after="0" w:line="67" w:lineRule="exact"/>
        <w:rPr>
          <w:sz w:val="20"/>
          <w:szCs w:val="20"/>
          <w:color w:val="auto"/>
        </w:rPr>
      </w:pPr>
    </w:p>
    <w:p>
      <w:pPr>
        <w:jc w:val="both"/>
        <w:ind w:left="1160" w:right="79" w:hanging="327"/>
        <w:spacing w:after="0" w:line="261"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Plaza at Rockwall, a multi-tenant income property located in Rockwall, 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160" w:right="79" w:hanging="327"/>
        <w:spacing w:after="0" w:line="25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properties, totaling 24,100 square feet, within the 28,100 square foot retail portion of Phase II of The Exchange at Gwinnett located in Buford, Georgia for an aggregate purchase price of $14.6 million, or a total acquisition cost of $14.7 million including capitalized acquisition costs. The four properties are leased to six different tenants and had a weighted average remaining lease term of 9.9 years at acquisition. The Company previously purchased the Sprouts-anchored Phase I portion of The Exchange at Gwinnett in December 2021.</w:t>
      </w:r>
    </w:p>
    <w:p>
      <w:pPr>
        <w:spacing w:after="0" w:line="226"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2023 Dispositions. </w:t>
      </w:r>
      <w:r>
        <w:rPr>
          <w:rFonts w:ascii="Times New Roman" w:cs="Times New Roman" w:eastAsia="Times New Roman" w:hAnsi="Times New Roman"/>
          <w:sz w:val="18"/>
          <w:szCs w:val="18"/>
          <w:color w:val="auto"/>
        </w:rPr>
        <w:t>During the six months ended June 30, 2023, the Company sold one income property, an outparcel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multi-tenant property known as Eastern Commons, located in Henderson, Nevada, for $2.1 million, resulting in a gain of $0.8 million.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investments in commercial loans or similarly structured investments, such as preferred equity, mezzanine loans or other subordinated debt, have been and are expected to continue to be secured by real estate or the borrower’s pledge of its ownership interest in the entity that owns the real estate. The investments are associated with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92" w:lineRule="exact"/>
        <w:rPr>
          <w:sz w:val="20"/>
          <w:szCs w:val="20"/>
          <w:color w:val="auto"/>
        </w:rPr>
      </w:pPr>
    </w:p>
    <w:p>
      <w:pPr>
        <w:jc w:val="both"/>
        <w:ind w:left="60" w:right="7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On April 18, 2024, the borrower on the mortgage loan secured by the Sabal Pavilion property,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below, repaid the mortgage loan, at a $0.2 million discount, for proceeds to the Company of $15.2 million.</w:t>
      </w:r>
    </w:p>
    <w:p>
      <w:pPr>
        <w:spacing w:after="0" w:line="160"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March 26, 2024, the Company originated a construction loan secured by the property and improvements to be constructed thereon consisting of seven outparcel locations, known as the Hypoluxo Project, located in Lake Worth, Florida for $10.0 million. The construction loan matures on September 26, 2025, bears a fixed interest rate of 11.0%, and requires interest only payments prior to maturity. Funding of the loan will occur as the borrower completes the underlying construction. As of June 30, 2024, the Company had funded $7.1 million to the borrower and received $1.5 million in principal payments, leaving a remaining commitment of $2.9 million to the borrower.</w:t>
      </w:r>
    </w:p>
    <w:p>
      <w:pPr>
        <w:spacing w:after="0" w:line="18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February 2, 2024, the borrower under the construction loan originated in January 2022 and secured by the property and improvements constructed thereon for the second phase of The Exchange at Gwinnett project located in Buford, Georgia repaid the principal balance of $1.9 million, leaving no remaining balance outstanding as of June 30, 2024. There is no remaining commitment to the borrower as of June 30, 2024.</w:t>
      </w:r>
    </w:p>
    <w:p>
      <w:pPr>
        <w:spacing w:after="0" w:line="178"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2023 Activity</w:t>
      </w:r>
      <w:r>
        <w:rPr>
          <w:rFonts w:ascii="Times New Roman" w:cs="Times New Roman" w:eastAsia="Times New Roman" w:hAnsi="Times New Roman"/>
          <w:sz w:val="18"/>
          <w:szCs w:val="18"/>
          <w:color w:val="auto"/>
        </w:rPr>
        <w:t>. On February 21, 2023, the borrower of the mortgage note secured by the 4311 Maple Avenue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Dallas, Texas repaid the principal balance of $0.4 million, leaving no remaining balance outstanding as of March 31, 2023.</w:t>
      </w:r>
    </w:p>
    <w:p>
      <w:pPr>
        <w:spacing w:after="0" w:line="175"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On March 1, 2023, the Company originated a $15.0 million first mortgage loan secured by the Founders Square property located in Dallas, Texas. The loan is interest-only with a term of three years with a fixed interest rate of 8.75%. The Company received an origination fee of 1.0% or $0.15 million.</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the Company funded $2.2 million to the borrower and received $0.6 million in principal repayments under the construction loan originated in January 2022 and secured by the property and improvements to be constructed thereon for the second phase of The Exchange at Gwinnett project located in Buford, Georgia. As of June 30, 2023, there is no remaining commitment to the borrower.</w:t>
      </w:r>
    </w:p>
    <w:p>
      <w:pPr>
        <w:spacing w:after="0" w:line="180"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On December 20, 2023, simultaneous with the sale of the property, the Company originated a $15.4 million first mortgage loan secured by the Sabal Pavilion property located in Tampa, Florida. The loan was interest-only with a term of six months with a fixed interest rate of 7.50%. During the six months ended June 30, 2024, the borrower repaid the mortgage loan, at a $0.2 million discount, for proceeds to the Company of $15.2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1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Watters Creek Investment. </w:t>
      </w:r>
      <w:r>
        <w:rPr>
          <w:rFonts w:ascii="Times New Roman" w:cs="Times New Roman" w:eastAsia="Times New Roman" w:hAnsi="Times New Roman"/>
          <w:sz w:val="18"/>
          <w:szCs w:val="18"/>
          <w:color w:val="auto"/>
        </w:rPr>
        <w:t>On April 7, 2022, the Company entered into a preferred equity agreement to provide $30.0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funding towards the total investment in Watters Creek at Montgomery Farm, a grocery-anchored, mixed-use property located in Allen, Texas (the “Watters Creek Investment”). The Watters Creek Investment matures on April 6, 2025, has two one-year extension options, bears a fixed interest rate of 8.50% at the time of acquisition with increases during the initial term as well as the option terms, and requires payments of interest only prior to maturity. At closing, an origination fee of $0.15 million was received by the Company. The Watters Creek Investment represents $30.0 million, or approximately 23%, of funding towards the total investment in Watters Creek at Montgomery Farm, a grocery-anchored, mixed-use property located in Allen, Texas (the “Watters Creek Property”). The remaining funding is comprised of a combination of third-party sponsorship equity and a secured first mortgage.</w:t>
      </w:r>
    </w:p>
    <w:p>
      <w:pPr>
        <w:spacing w:after="0" w:line="190" w:lineRule="exact"/>
        <w:rPr>
          <w:sz w:val="20"/>
          <w:szCs w:val="20"/>
          <w:color w:val="auto"/>
        </w:rPr>
      </w:pPr>
    </w:p>
    <w:p>
      <w:pPr>
        <w:jc w:val="both"/>
        <w:ind w:left="60" w:right="160" w:firstLine="513"/>
        <w:spacing w:after="0" w:line="253" w:lineRule="auto"/>
        <w:rPr>
          <w:sz w:val="20"/>
          <w:szCs w:val="20"/>
          <w:color w:val="auto"/>
        </w:rPr>
      </w:pPr>
      <w:r>
        <w:rPr>
          <w:rFonts w:ascii="Times New Roman" w:cs="Times New Roman" w:eastAsia="Times New Roman" w:hAnsi="Times New Roman"/>
          <w:sz w:val="18"/>
          <w:szCs w:val="18"/>
          <w:color w:val="auto"/>
        </w:rPr>
        <w:t xml:space="preserve">The Company’s variable interest in the entity underlying the Watters Creek Investment is primarily due to the inherent credit risk associated with the $30.0 million fixed-return preferred investment. The day-to-day operations, including asset management and leasing, of the Watters Creek Property are managed by an unrelated third-party. Pursuant to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determined we are not the primary beneficiary of the entity underlying the Watters Creek Investment; accordingly, the entity was not consolidated. The investment was recorded in the consolidated balance sheets as a commercial loan investment at the time of acquisition. The significant factors related to this determination included, but were not limited to, the Company not having the power to direct the activities of the entity underlying the Watters Creek Investment due to (i) the day-to-day operations being managed by an unrelated third-party and (ii) the Company’s position as minority lender with fixed returns and maturity dates for the repayment of the $30.0 million preferred investment.</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June 30, 2024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8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6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c>
          <w:tcPr>
            <w:tcW w:w="0" w:type="dxa"/>
            <w:vAlign w:val="bottom"/>
          </w:tcPr>
          <w:p>
            <w:pPr>
              <w:spacing w:after="0"/>
              <w:rPr>
                <w:sz w:val="1"/>
                <w:szCs w:val="1"/>
                <w:color w:val="auto"/>
              </w:rPr>
            </w:pPr>
          </w:p>
        </w:tc>
      </w:tr>
      <w:tr>
        <w:trPr>
          <w:trHeight w:val="18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c>
          <w:tcPr>
            <w:tcW w:w="0" w:type="dxa"/>
            <w:vAlign w:val="bottom"/>
          </w:tcPr>
          <w:p>
            <w:pPr>
              <w:spacing w:after="0"/>
              <w:rPr>
                <w:sz w:val="1"/>
                <w:szCs w:val="1"/>
                <w:color w:val="auto"/>
              </w:rPr>
            </w:pPr>
          </w:p>
        </w:tc>
      </w:tr>
      <w:tr>
        <w:trPr>
          <w:trHeight w:val="155"/>
        </w:trPr>
        <w:tc>
          <w:tcPr>
            <w:tcW w:w="350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2022</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April 2025</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29,961</w:t>
            </w:r>
          </w:p>
        </w:tc>
        <w:tc>
          <w:tcPr>
            <w:tcW w:w="1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9.00%</w:t>
            </w:r>
          </w:p>
        </w:tc>
        <w:tc>
          <w:tcPr>
            <w:tcW w:w="0" w:type="dxa"/>
            <w:vAlign w:val="bottom"/>
          </w:tcPr>
          <w:p>
            <w:pPr>
              <w:spacing w:after="0"/>
              <w:rPr>
                <w:sz w:val="1"/>
                <w:szCs w:val="1"/>
                <w:color w:val="auto"/>
              </w:rPr>
            </w:pPr>
          </w:p>
        </w:tc>
      </w:tr>
      <w:tr>
        <w:trPr>
          <w:trHeight w:val="162"/>
        </w:trPr>
        <w:tc>
          <w:tcPr>
            <w:tcW w:w="36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0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14,917</w:t>
            </w:r>
          </w:p>
        </w:tc>
        <w:tc>
          <w:tcPr>
            <w:tcW w:w="160" w:type="dxa"/>
            <w:vAlign w:val="bottom"/>
          </w:tcPr>
          <w:p>
            <w:pPr>
              <w:spacing w:after="0"/>
              <w:rPr>
                <w:sz w:val="14"/>
                <w:szCs w:val="14"/>
                <w:color w:val="auto"/>
              </w:rPr>
            </w:pPr>
          </w:p>
        </w:tc>
        <w:tc>
          <w:tcPr>
            <w:tcW w:w="6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02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Construction Loan - Hypoluxo - Lake Worth, FL</w:t>
            </w:r>
          </w:p>
        </w:tc>
        <w:tc>
          <w:tcPr>
            <w:tcW w:w="10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2024</w:t>
            </w:r>
          </w:p>
        </w:tc>
        <w:tc>
          <w:tcPr>
            <w:tcW w:w="118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2025</w:t>
            </w: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16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9"/>
              </w:rPr>
              <w:t>11.00%</w:t>
            </w:r>
          </w:p>
        </w:tc>
        <w:tc>
          <w:tcPr>
            <w:tcW w:w="0" w:type="dxa"/>
            <w:vAlign w:val="bottom"/>
          </w:tcPr>
          <w:p>
            <w:pPr>
              <w:spacing w:after="0"/>
              <w:rPr>
                <w:sz w:val="1"/>
                <w:szCs w:val="1"/>
                <w:color w:val="auto"/>
              </w:rPr>
            </w:pPr>
          </w:p>
        </w:tc>
      </w:tr>
      <w:tr>
        <w:trPr>
          <w:trHeight w:val="155"/>
        </w:trPr>
        <w:tc>
          <w:tcPr>
            <w:tcW w:w="3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55,400</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51,038</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50,833</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(510)</w:t>
            </w: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60" w:type="dxa"/>
            <w:vAlign w:val="bottom"/>
            <w:tcBorders>
              <w:top w:val="single" w:sz="8" w:color="CCEEFF"/>
              <w:bottom w:val="single" w:sz="8" w:color="CCEEFF"/>
            </w:tcBorders>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50,323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0" w:right="180" w:firstLine="441"/>
        <w:spacing w:after="0" w:line="253"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2023 (in thousands):</w:t>
      </w:r>
    </w:p>
    <w:tbl>
      <w:tblPr>
        <w:tblLayout w:type="fixed"/>
        <w:tblInd w:w="40" w:type="dxa"/>
        <w:tblCellMar>
          <w:top w:w="0" w:type="dxa"/>
          <w:left w:w="0" w:type="dxa"/>
          <w:bottom w:w="0" w:type="dxa"/>
          <w:right w:w="0" w:type="dxa"/>
        </w:tblCellMar>
      </w:tblPr>
      <w:tr>
        <w:trPr>
          <w:trHeight w:val="155"/>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rPr>
              <w:t>Original</w:t>
            </w:r>
          </w:p>
        </w:tc>
        <w:tc>
          <w:tcPr>
            <w:tcW w:w="760" w:type="dxa"/>
            <w:vAlign w:val="bottom"/>
            <w:gridSpan w:val="3"/>
          </w:tcPr>
          <w:p>
            <w:pPr>
              <w:jc w:val="center"/>
              <w:ind w:right="160"/>
              <w:spacing w:after="0" w:line="155" w:lineRule="exact"/>
              <w:rPr>
                <w:sz w:val="20"/>
                <w:szCs w:val="20"/>
                <w:color w:val="auto"/>
              </w:rPr>
            </w:pPr>
            <w:r>
              <w:rPr>
                <w:rFonts w:ascii="Times New Roman" w:cs="Times New Roman" w:eastAsia="Times New Roman" w:hAnsi="Times New Roman"/>
                <w:sz w:val="15"/>
                <w:szCs w:val="15"/>
                <w:b w:val="1"/>
                <w:bCs w:val="1"/>
                <w:color w:val="auto"/>
                <w:w w:val="98"/>
              </w:rPr>
              <w:t>Current</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2"/>
        </w:trPr>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9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Maturity</w:t>
            </w:r>
          </w:p>
        </w:tc>
        <w:tc>
          <w:tcPr>
            <w:tcW w:w="100" w:type="dxa"/>
            <w:vAlign w:val="bottom"/>
          </w:tcPr>
          <w:p>
            <w:pPr>
              <w:spacing w:after="0"/>
              <w:rPr>
                <w:sz w:val="14"/>
                <w:szCs w:val="14"/>
                <w:color w:val="auto"/>
              </w:rPr>
            </w:pPr>
          </w:p>
        </w:tc>
        <w:tc>
          <w:tcPr>
            <w:tcW w:w="6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00" w:type="dxa"/>
            <w:vAlign w:val="bottom"/>
          </w:tcPr>
          <w:p>
            <w:pPr>
              <w:spacing w:after="0"/>
              <w:rPr>
                <w:sz w:val="14"/>
                <w:szCs w:val="14"/>
                <w:color w:val="auto"/>
              </w:rPr>
            </w:pPr>
          </w:p>
        </w:tc>
        <w:tc>
          <w:tcPr>
            <w:tcW w:w="6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7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Coupon</w:t>
            </w:r>
          </w:p>
        </w:tc>
      </w:tr>
      <w:tr>
        <w:trPr>
          <w:trHeight w:val="18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Rate</w:t>
            </w:r>
          </w:p>
        </w:tc>
      </w:tr>
      <w:tr>
        <w:trPr>
          <w:trHeight w:val="155"/>
        </w:trPr>
        <w:tc>
          <w:tcPr>
            <w:tcW w:w="3920" w:type="dxa"/>
            <w:vAlign w:val="bottom"/>
            <w:tcBorders>
              <w:top w:val="single" w:sz="8" w:color="auto"/>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Construction Loan – The Exchange At Gwinnett – Buford, GA</w:t>
            </w:r>
          </w:p>
        </w:tc>
        <w:tc>
          <w:tcPr>
            <w:tcW w:w="16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January 2022</w:t>
            </w:r>
          </w:p>
        </w:tc>
        <w:tc>
          <w:tcPr>
            <w:tcW w:w="16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January 2024</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8,700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1,857</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1,854</w:t>
            </w:r>
          </w:p>
        </w:tc>
        <w:tc>
          <w:tcPr>
            <w:tcW w:w="16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7.25%</w:t>
            </w:r>
          </w:p>
        </w:tc>
      </w:tr>
      <w:tr>
        <w:trPr>
          <w:trHeight w:val="162"/>
        </w:trPr>
        <w:tc>
          <w:tcPr>
            <w:tcW w:w="40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Preferred Investment – Watters Creek – Allen, TX</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April 2022</w:t>
            </w:r>
          </w:p>
        </w:tc>
        <w:tc>
          <w:tcPr>
            <w:tcW w:w="9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April 2025</w:t>
            </w: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29,937</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40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Founders Square – Dallas, TX</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2023</w:t>
            </w:r>
          </w:p>
        </w:tc>
        <w:tc>
          <w:tcPr>
            <w:tcW w:w="9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March 2026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14,892</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62"/>
        </w:trPr>
        <w:tc>
          <w:tcPr>
            <w:tcW w:w="40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Promissory Note – Main Street – Daytona Beach,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2023</w:t>
            </w:r>
          </w:p>
        </w:tc>
        <w:tc>
          <w:tcPr>
            <w:tcW w:w="9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May 2033</w:t>
            </w: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w:t>
            </w:r>
          </w:p>
        </w:tc>
        <w:tc>
          <w:tcPr>
            <w:tcW w:w="160" w:type="dxa"/>
            <w:vAlign w:val="bottom"/>
          </w:tcPr>
          <w:p>
            <w:pPr>
              <w:spacing w:after="0"/>
              <w:rPr>
                <w:sz w:val="14"/>
                <w:szCs w:val="14"/>
                <w:color w:val="auto"/>
              </w:rPr>
            </w:pP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7.00%</w:t>
            </w:r>
          </w:p>
        </w:tc>
      </w:tr>
      <w:tr>
        <w:trPr>
          <w:trHeight w:val="162"/>
        </w:trPr>
        <w:tc>
          <w:tcPr>
            <w:tcW w:w="40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Sabal Pavilion – Tampa,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December 2023</w:t>
            </w:r>
          </w:p>
        </w:tc>
        <w:tc>
          <w:tcPr>
            <w:tcW w:w="9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June 2024</w:t>
            </w: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15,400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15,393</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7.50%</w:t>
            </w:r>
          </w:p>
        </w:tc>
      </w:tr>
      <w:tr>
        <w:trPr>
          <w:trHeight w:val="195"/>
        </w:trPr>
        <w:tc>
          <w:tcPr>
            <w:tcW w:w="39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69,500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62,657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62,476</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r>
      <w:tr>
        <w:trPr>
          <w:trHeight w:val="143"/>
        </w:trPr>
        <w:tc>
          <w:tcPr>
            <w:tcW w:w="408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5"/>
                <w:szCs w:val="15"/>
                <w:color w:val="auto"/>
              </w:rPr>
              <w:t>(627)</w:t>
            </w:r>
          </w:p>
        </w:tc>
        <w:tc>
          <w:tcPr>
            <w:tcW w:w="560" w:type="dxa"/>
            <w:vAlign w:val="bottom"/>
            <w:shd w:val="clear" w:color="auto" w:fill="CCEEFF"/>
          </w:tcPr>
          <w:p>
            <w:pPr>
              <w:spacing w:after="0"/>
              <w:rPr>
                <w:sz w:val="12"/>
                <w:szCs w:val="12"/>
                <w:color w:val="auto"/>
              </w:rPr>
            </w:pPr>
          </w:p>
        </w:tc>
      </w:tr>
      <w:tr>
        <w:trPr>
          <w:trHeight w:val="155"/>
        </w:trPr>
        <w:tc>
          <w:tcPr>
            <w:tcW w:w="40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61,849</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80" w:firstLine="441"/>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portfolio at June 30, 2024 and December 31, 2023 consisted of the following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62,657</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50,323</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61,849</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40" w:top="513" w:right="1339" w:bottom="1440" w:gutter="0" w:footer="0" w:header="0"/>
        </w:sectPr>
      </w:pPr>
    </w:p>
    <w:p>
      <w:pPr>
        <w:spacing w:after="0" w:line="2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20"/>
          </w:cols>
          <w:pgMar w:left="1440" w:top="513" w:right="1339"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MANAGEMENT SERVICES BUSINESS</w:t>
      </w:r>
    </w:p>
    <w:p>
      <w:pPr>
        <w:spacing w:after="0" w:line="227" w:lineRule="exact"/>
        <w:rPr>
          <w:sz w:val="20"/>
          <w:szCs w:val="20"/>
          <w:color w:val="auto"/>
        </w:rPr>
      </w:pPr>
    </w:p>
    <w:p>
      <w:pPr>
        <w:jc w:val="both"/>
        <w:ind w:left="60" w:right="79" w:firstLine="441"/>
        <w:spacing w:after="0" w:line="284" w:lineRule="auto"/>
        <w:rPr>
          <w:sz w:val="20"/>
          <w:szCs w:val="20"/>
          <w:color w:val="auto"/>
        </w:rPr>
      </w:pPr>
      <w:r>
        <w:rPr>
          <w:rFonts w:ascii="Times New Roman" w:cs="Times New Roman" w:eastAsia="Times New Roman" w:hAnsi="Times New Roman"/>
          <w:sz w:val="18"/>
          <w:szCs w:val="18"/>
          <w:color w:val="auto"/>
        </w:rPr>
        <w:t xml:space="preserve">The Company’s management fee income is within the scope of FASB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Management fee income is recognized as revenue over time, over the period the services are performed.</w:t>
      </w:r>
    </w:p>
    <w:p>
      <w:pPr>
        <w:spacing w:after="0" w:line="158"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Alpine Income Property Trust. </w:t>
      </w:r>
      <w:r>
        <w:rPr>
          <w:rFonts w:ascii="Times New Roman" w:cs="Times New Roman" w:eastAsia="Times New Roman" w:hAnsi="Times New Roman"/>
          <w:sz w:val="18"/>
          <w:szCs w:val="18"/>
          <w:color w:val="auto"/>
        </w:rPr>
        <w:t>Pursuant to the Company’s management agreement with PINE,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a base management fee equal to 0.375% per quarter of PINE’s total equity (as defined in the management agreement and based on a 1.5% annual rate), calculated and payable in cash, quarterly in arrears. The Company also has an opportunity to achieve additional cash flows as manager of PINE pursuant to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2023.</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earned management fee revenue from PINE totaling $1.0 million and $1.1 million, respectively. During the six months ended June 30, 2024 and 2023, the Company earned management fee revenue from PINE totaling $2.1 million and $2.2 million, respectively. Dividend income for each of the three month periods ended June 30, 2024 and 2023 totaled $0.6 million. Dividend income for the six months ended June 30, 2024 and 2023 totaled $1.3 million and $1.2 million, respectively. Management fee revenue from PINE, included in management services, and dividend income, included in investment and other income (loss), are reflected in the accompanying consolidated statements of operations.</w:t>
      </w:r>
    </w:p>
    <w:p>
      <w:pPr>
        <w:spacing w:after="0" w:line="18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amounts due from PINE as of June 30, 2024 and December 31, 2023 which are included in other assets on the consolidated balance sheets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18"/>
                <w:szCs w:val="18"/>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Fee due From PINE</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Receivable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26, 2019, as part of PINE’s IPO,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October 26, 2021, the Board authorized the purchase by the Company of up to $5.0 million in shares of common stock of PINE (the “Prior PINE Share Purchase Authorization”). Pursuant to the Prior PINE Share Purchase Authorization, during the year ended December 31, 2022, CTO purchased 155,665 shares of PINE common stock in the open market for $2.7 million, or an average price per share of $17.57. Pursuant to the Prior PINE Share Purchase Authorization, during the year ended December 31, 2021, the Company purchased 8,088 shares of PINE common stock on the open market for a total of $0.1 million, or an average price of $17.65 per share.</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February 16, 2023, the Board cancelled the Prior PINE Share Purchase Authorization and authorized the purchase by the Company of up to $2.1 million in shares of common stock of PINE (the “February 2023 PINE Share Purchase Authorization”). Pursuant to the February 2023 PINE Share Purchase Authorization, during the nine months ended September 30, 2023, the Company purchased 129,271 shares of PINE common stock on the open market for a total of $2.1 million, or an average price of $16.21 per share, which completed the February 2023 PINE Share Purchase Authorization.</w:t>
      </w:r>
    </w:p>
    <w:p>
      <w:pPr>
        <w:spacing w:after="0" w:line="18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December 12, 2023, the Board authorized the purchase by the Company of up to $2.0 million in shares of common stock of PINE (the “December 2023 PINE Share Purchase Authorization”). No purchases of PINE common stock were made pursuant to the December 2023 PINE Share Purchase Authorization during the three months ended December 31, 2023. Pursuant to the December 2023 PINE Share Purchase Authorization, during the six months ended June 30,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purchased 16,983 shares of PINE common stock on the open market for a total of $0.3 million, or an average price of $14.95 per share.</w:t>
      </w:r>
    </w:p>
    <w:p>
      <w:pPr>
        <w:spacing w:after="0" w:line="16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June 30, 2024, CTO owns, in the aggregate, 1,223,854 OP Units and 1,125,797 shares of PINE common stock, representing an investment totaling $36.6 million, or 15.8% of PINE’s outstanding equity.</w:t>
      </w:r>
    </w:p>
    <w:p>
      <w:pPr>
        <w:spacing w:after="0" w:line="20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Portfolio Management Agreement. </w:t>
      </w:r>
      <w:r>
        <w:rPr>
          <w:rFonts w:ascii="Times New Roman" w:cs="Times New Roman" w:eastAsia="Times New Roman" w:hAnsi="Times New Roman"/>
          <w:sz w:val="18"/>
          <w:szCs w:val="18"/>
          <w:color w:val="auto"/>
        </w:rPr>
        <w:t>On December 4, 2023, the Company entered into an asset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third party to manage a portfolio of multi-tenant and single-tenant assets (the “Portfolio Management Agreement”). Although the Company has no direct relationship with the third party, PINE is a lender to the third-party pursuant to a mortgage note originated by PINE which is secured by the portfolio. The Company receives (or expects to receive) asset management fees, disposition management fees, leasing commissions, and other fees related to the Company’s management and administration of the portfolio pursuant to the Portfolio Management Agreement. The Company also entered into a revenue sharing agreement with PINE whereby PINE will receive the portion of fees earned by the Company under the Portfolio Management Agreement which are attributable to the single tenant properties within the portfolio. During the three and six months ended June 30, 2024, the Company recognized less than $0.1 million and $0.1 million, respectively, of revenue pursuant to the Portfolio Management Agreement, which is included in management fee income on the Company’s consolidated statement of operations.</w:t>
      </w:r>
    </w:p>
    <w:p>
      <w:pPr>
        <w:spacing w:after="0" w:line="232"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Asset Management Agreement. </w:t>
      </w:r>
      <w:r>
        <w:rPr>
          <w:rFonts w:ascii="Times New Roman" w:cs="Times New Roman" w:eastAsia="Times New Roman" w:hAnsi="Times New Roman"/>
          <w:sz w:val="18"/>
          <w:szCs w:val="18"/>
          <w:color w:val="auto"/>
        </w:rPr>
        <w:t>On February 16, 2024, the Company entered into the Subsurface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a third party in conjunction with the sale of the Company’s remaining Subsurface Interests as further described in Note 6, “Real Estate Operations” below. The Company is expected to receive management and other fees pursuant to the Subsurface Management Agreement. During the three and six months ended June 30, 2024, the Company recognized less than $0.1 million of revenue pursuant to the Subsurface Management Agreement, which is included in management fee income on the Company’s consolidated statement of operations.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 and development costs at June 30, 2024 and December 31, 2023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09"/>
        </w:trPr>
        <w:tc>
          <w:tcPr>
            <w:tcW w:w="49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Subsurface Interests</w:t>
            </w:r>
          </w:p>
        </w:tc>
        <w:tc>
          <w:tcPr>
            <w:tcW w:w="15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0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Land and Development Costs</w:t>
            </w:r>
          </w:p>
        </w:tc>
        <w:tc>
          <w:tcPr>
            <w:tcW w:w="1520" w:type="dxa"/>
            <w:vAlign w:val="bottom"/>
            <w:tcBorders>
              <w:top w:val="single" w:sz="8" w:color="auto"/>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0"/>
        </w:trPr>
        <w:tc>
          <w:tcPr>
            <w:tcW w:w="49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Subsurface Interests. </w:t>
      </w:r>
      <w:r>
        <w:rPr>
          <w:rFonts w:ascii="Times New Roman" w:cs="Times New Roman" w:eastAsia="Times New Roman" w:hAnsi="Times New Roman"/>
          <w:sz w:val="18"/>
          <w:szCs w:val="18"/>
          <w:color w:val="auto"/>
        </w:rPr>
        <w:t>As of December 31, 2023, the Company owned 352,000 acres of Subsurface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sold its remaining acres of Subsurface Interests during the six months ended June 30, 2024 for $5.0 million, or a gain on sale of $4.5 million.</w:t>
      </w:r>
    </w:p>
    <w:p>
      <w:pPr>
        <w:spacing w:after="0" w:line="21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historically leased certain of the Subsurface Interests to mineral exploration firms for exploration. The Company’s subsurface historical operations consisted of revenue from the leasing of exploration rights and in some instances, additional revenues from royalties applicable to production from the leased acreage, which revenues are included within real estate operations in the consolidated statements of operations. There were no sales of subsurface oil, gas, and mineral rights during the six months ended June 30, 2024. During the three and six months ended June 30, 2023, the Company sold subsurface oil, gas, and mineral rights of 604 acres for a sales price of $0.1 million and 3,016 acres for a sales price of $0.4 million, respectively.</w:t>
      </w:r>
    </w:p>
    <w:p>
      <w:pPr>
        <w:spacing w:after="0" w:line="21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historically released surface entry rights or other rights upon request of a surface owner for a negotiated release fee typically based on a percentage of the surface value. Cash payments for the release of surface entry rights totaled $0.1 million and $0.2 million in the six months ended June 30, 2024 and 2023, respectively.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Mitigation Credits. </w:t>
      </w:r>
      <w:r>
        <w:rPr>
          <w:rFonts w:ascii="Times New Roman" w:cs="Times New Roman" w:eastAsia="Times New Roman" w:hAnsi="Times New Roman"/>
          <w:sz w:val="18"/>
          <w:szCs w:val="18"/>
          <w:color w:val="auto"/>
        </w:rPr>
        <w:t>The Company owns an inventory of mitigation credits with a cost basis of $0.4 million as of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As of December 31, 2023, the Company owned mitigation credits with an aggregate cost basis of $1.0 million.</w:t>
      </w:r>
    </w:p>
    <w:p>
      <w:pPr>
        <w:spacing w:after="0" w:line="201"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Revenues and the cost of sales of mitigation credit sales are reported as revenues from, and direct costs of, real estate operations, respectively, in the consolidated statements of operations. During the six months ended June 30, 2024, 10.14 mitigation credits were sold for $1.3 million, resulting in a gain on sale of $0.3 million. During the six months ended June 30, 2023, 8.41 mitigation credits were sold for $1.0 million, resulting in a gain on sale of $0.3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INVESTMENT SECURITIES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of June 30, 2024, the Company owns, in the aggregate and on a fully diluted basis, 2.35 million shares of PINE, or 15.8% of PINE’s total shares outstanding for an investment value of $36.6 million, which total includes 1.2 million OP Units, or 8.2%, which the Company received in exchange for the contribution of certain income properties to the PINE Operating Partnership, in addition to 1,125,797 shares of common stock owned by the Company, or 7.6%. The Company has elected the fair value option related to the aggregate investment in securities of PINE pursuant to ASC 825, otherwise such investments would have been accounted for under the equity method. For detailed financial information regarding PINE, please refer to its financial statements, which are publicly available on the website of the Securities and Exchange Commission at http://www.sec.gov under the ticker symbol “PINE.”</w:t>
      </w:r>
    </w:p>
    <w:p>
      <w:pPr>
        <w:spacing w:after="0" w:line="19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loss in the accompanying consolidated statements of operations.</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Company’s available-for-sale securities as of June 30, 2024 and December 31, 2023 are summarized below (in thousands):</w:t>
      </w:r>
    </w:p>
    <w:tbl>
      <w:tblPr>
        <w:tblLayout w:type="fixed"/>
        <w:tblInd w:w="4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3"/>
              <w:spacing w:after="0"/>
              <w:rPr>
                <w:sz w:val="20"/>
                <w:szCs w:val="20"/>
                <w:color w:val="auto"/>
              </w:rPr>
            </w:pPr>
            <w:r>
              <w:rPr>
                <w:rFonts w:ascii="Times New Roman" w:cs="Times New Roman" w:eastAsia="Times New Roman" w:hAnsi="Times New Roman"/>
                <w:sz w:val="18"/>
                <w:szCs w:val="18"/>
                <w:b w:val="1"/>
                <w:bCs w:val="1"/>
                <w:color w:val="auto"/>
                <w:w w:val="99"/>
              </w:rPr>
              <w:t>Gains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Losses in</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 1 Inputs)</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200" w:type="dxa"/>
            <w:vAlign w:val="bottom"/>
          </w:tcPr>
          <w:p>
            <w:pPr>
              <w:spacing w:after="0"/>
              <w:rPr>
                <w:sz w:val="18"/>
                <w:szCs w:val="18"/>
                <w:color w:val="auto"/>
              </w:rPr>
            </w:pP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(4,210)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36,561</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36,561</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200" w:type="dxa"/>
            <w:vAlign w:val="bottom"/>
          </w:tcPr>
          <w:p>
            <w:pPr>
              <w:spacing w:after="0"/>
              <w:rPr>
                <w:sz w:val="18"/>
                <w:szCs w:val="18"/>
                <w:color w:val="auto"/>
              </w:rPr>
            </w:pPr>
          </w:p>
        </w:tc>
        <w:tc>
          <w:tcPr>
            <w:tcW w:w="1100" w:type="dxa"/>
            <w:vAlign w:val="bottom"/>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43,735</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39,445</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FAIR VALUE OF FINANCIAL INSTRUMENTS</w:t>
      </w:r>
    </w:p>
    <w:p>
      <w:pPr>
        <w:spacing w:after="0" w:line="21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June 30, 2024 and December 31, 2023 (in thousands):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20"/>
                <w:szCs w:val="20"/>
                <w:color w:val="auto"/>
              </w:rPr>
            </w:pPr>
          </w:p>
        </w:tc>
        <w:tc>
          <w:tcPr>
            <w:tcW w:w="218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4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1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 - Level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r>
      <w:tr>
        <w:trPr>
          <w:trHeight w:val="234"/>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482,661</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466,301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495,370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473,807</w:t>
            </w:r>
          </w:p>
        </w:tc>
      </w:tr>
    </w:tbl>
    <w:p>
      <w:pPr>
        <w:spacing w:after="0" w:line="16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To determine estimated fair values of the financial instruments listed above, market rates of interest, which include credit assumptions, were used to discount contractual cash flows. The estimated fair values are not necessarily indicative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the amount the Company could realize on disposition of the financial instruments. The use of different market assumptions or estimation methodologies could have a material effect on the estimated fair value amounts.</w:t>
      </w:r>
    </w:p>
    <w:p>
      <w:pPr>
        <w:spacing w:after="0" w:line="148" w:lineRule="exact"/>
        <w:rPr>
          <w:sz w:val="20"/>
          <w:szCs w:val="20"/>
          <w:color w:val="auto"/>
        </w:rPr>
      </w:pPr>
    </w:p>
    <w:p>
      <w:pPr>
        <w:jc w:val="both"/>
        <w:ind w:left="60" w:right="79" w:firstLine="441"/>
        <w:spacing w:after="0" w:line="247" w:lineRule="auto"/>
        <w:rPr>
          <w:sz w:val="20"/>
          <w:szCs w:val="20"/>
          <w:color w:val="auto"/>
        </w:rPr>
      </w:pPr>
      <w:r>
        <w:rPr>
          <w:rFonts w:ascii="Times New Roman" w:cs="Times New Roman" w:eastAsia="Times New Roman" w:hAnsi="Times New Roman"/>
          <w:sz w:val="18"/>
          <w:szCs w:val="18"/>
          <w:color w:val="auto"/>
        </w:rPr>
        <w:t>The following table presents the fair value of assets measured on a recurring basis by level as of June 30, 2024 and December 31, 2023 (in thousands). See Note 16, “Interest Rate Swaps” for further disclosure related to the Company’s interest rate swaps.</w:t>
      </w:r>
    </w:p>
    <w:tbl>
      <w:tblPr>
        <w:tblLayout w:type="fixed"/>
        <w:tblInd w:w="4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7"/>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r>
      <w:tr>
        <w:trPr>
          <w:trHeight w:val="180"/>
        </w:trPr>
        <w:tc>
          <w:tcPr>
            <w:tcW w:w="3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120" w:type="dxa"/>
            <w:vAlign w:val="bottom"/>
          </w:tcPr>
          <w:p>
            <w:pPr>
              <w:spacing w:after="0"/>
              <w:rPr>
                <w:sz w:val="15"/>
                <w:szCs w:val="15"/>
                <w:color w:val="auto"/>
              </w:rPr>
            </w:pPr>
          </w:p>
        </w:tc>
        <w:tc>
          <w:tcPr>
            <w:tcW w:w="11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03"/>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99"/>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36,561</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36,561</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- 2026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- 2027 Term Loan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Flow Hedge - 2028 Term Loan Interest Rate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Flow Hedge - Credit Facility Interest Rate Swaps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39,445</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r>
    </w:tbl>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INTANGIBLE ASSETS AND LIABILITIES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2024 and December 31, 2023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right"/>
              <w:ind w:right="60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2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r>
      <w:tr>
        <w:trPr>
          <w:trHeight w:val="238"/>
        </w:trPr>
        <w:tc>
          <w:tcPr>
            <w:tcW w:w="58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90,246</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20" w:type="dxa"/>
            <w:vAlign w:val="bottom"/>
          </w:tcPr>
          <w:p>
            <w:pPr>
              <w:spacing w:after="0"/>
              <w:rPr>
                <w:sz w:val="18"/>
                <w:szCs w:val="18"/>
                <w:color w:val="auto"/>
              </w:rPr>
            </w:pPr>
          </w:p>
        </w:tc>
      </w:tr>
      <w:tr>
        <w:trPr>
          <w:trHeight w:val="216"/>
        </w:trPr>
        <w:tc>
          <w:tcPr>
            <w:tcW w:w="5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20" w:type="dxa"/>
            <w:vAlign w:val="bottom"/>
          </w:tcPr>
          <w:p>
            <w:pPr>
              <w:spacing w:after="0"/>
              <w:rPr>
                <w:sz w:val="18"/>
                <w:szCs w:val="18"/>
                <w:color w:val="auto"/>
              </w:rPr>
            </w:pPr>
          </w:p>
        </w:tc>
      </w:tr>
      <w:tr>
        <w:trPr>
          <w:trHeight w:val="21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146,753</w:t>
            </w:r>
          </w:p>
        </w:tc>
        <w:tc>
          <w:tcPr>
            <w:tcW w:w="20" w:type="dxa"/>
            <w:vAlign w:val="bottom"/>
          </w:tcPr>
          <w:p>
            <w:pPr>
              <w:spacing w:after="0"/>
              <w:rPr>
                <w:sz w:val="18"/>
                <w:szCs w:val="18"/>
                <w:color w:val="auto"/>
              </w:rPr>
            </w:pPr>
          </w:p>
        </w:tc>
      </w:tr>
      <w:tr>
        <w:trPr>
          <w:trHeight w:val="216"/>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(59,055)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(49,644)</w:t>
            </w:r>
          </w:p>
        </w:tc>
        <w:tc>
          <w:tcPr>
            <w:tcW w:w="20" w:type="dxa"/>
            <w:vAlign w:val="bottom"/>
          </w:tcPr>
          <w:p>
            <w:pPr>
              <w:spacing w:after="0"/>
              <w:rPr>
                <w:sz w:val="18"/>
                <w:szCs w:val="18"/>
                <w:color w:val="auto"/>
              </w:rPr>
            </w:pPr>
          </w:p>
        </w:tc>
      </w:tr>
      <w:tr>
        <w:trPr>
          <w:trHeight w:val="210"/>
        </w:trPr>
        <w:tc>
          <w:tcPr>
            <w:tcW w:w="58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97,109</w:t>
            </w:r>
          </w:p>
        </w:tc>
        <w:tc>
          <w:tcPr>
            <w:tcW w:w="20" w:type="dxa"/>
            <w:vAlign w:val="bottom"/>
          </w:tcPr>
          <w:p>
            <w:pPr>
              <w:spacing w:after="0"/>
              <w:rPr>
                <w:sz w:val="18"/>
                <w:szCs w:val="18"/>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(19,373)</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20" w:type="dxa"/>
            <w:vAlign w:val="bottom"/>
          </w:tcPr>
          <w:p>
            <w:pPr>
              <w:spacing w:after="0"/>
              <w:rPr>
                <w:sz w:val="18"/>
                <w:szCs w:val="18"/>
                <w:color w:val="auto"/>
              </w:rPr>
            </w:pPr>
          </w:p>
        </w:tc>
      </w:tr>
      <w:tr>
        <w:trPr>
          <w:trHeight w:val="210"/>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(19,373)</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(14,848)</w:t>
            </w:r>
          </w:p>
        </w:tc>
        <w:tc>
          <w:tcPr>
            <w:tcW w:w="20" w:type="dxa"/>
            <w:vAlign w:val="bottom"/>
          </w:tcPr>
          <w:p>
            <w:pPr>
              <w:spacing w:after="0"/>
              <w:rPr>
                <w:sz w:val="18"/>
                <w:szCs w:val="18"/>
                <w:color w:val="auto"/>
              </w:rPr>
            </w:pPr>
          </w:p>
        </w:tc>
      </w:tr>
      <w:tr>
        <w:trPr>
          <w:trHeight w:val="216"/>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0" w:type="dxa"/>
            <w:vAlign w:val="bottom"/>
          </w:tcPr>
          <w:p>
            <w:pPr>
              <w:spacing w:after="0"/>
              <w:rPr>
                <w:sz w:val="18"/>
                <w:szCs w:val="18"/>
                <w:color w:val="auto"/>
              </w:rPr>
            </w:pPr>
          </w:p>
        </w:tc>
      </w:tr>
      <w:tr>
        <w:trPr>
          <w:trHeight w:val="21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86,668</w:t>
            </w: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six months ended June 30, 2024 and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1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4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r>
      <w:tr>
        <w:trPr>
          <w:trHeight w:val="216"/>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to Income Properties Revenue</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w:t>
            </w: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Accretion to</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Intangible</w:t>
            </w:r>
          </w:p>
        </w:tc>
      </w:tr>
      <w:tr>
        <w:trPr>
          <w:trHeight w:val="216"/>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Assets</w:t>
            </w:r>
          </w:p>
        </w:tc>
      </w:tr>
      <w:tr>
        <w:trPr>
          <w:trHeight w:val="23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8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Liabilities</w:t>
            </w:r>
          </w:p>
        </w:tc>
      </w:tr>
      <w:tr>
        <w:trPr>
          <w:trHeight w:val="210"/>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w:t>
            </w: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17,544</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w:t>
            </w: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10,234</w:t>
            </w: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r>
      <w:tr>
        <w:trPr>
          <w:trHeight w:val="216"/>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r>
      <w:tr>
        <w:trPr>
          <w:trHeight w:val="20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81,633</w:t>
            </w:r>
          </w:p>
        </w:tc>
      </w:tr>
      <w:tr>
        <w:trPr>
          <w:trHeight w:val="20"/>
        </w:trPr>
        <w:tc>
          <w:tcPr>
            <w:tcW w:w="4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June 30, 2024, the weighted average amortization period of total intangible assets and liabilities was 6.0 years and 5.7 years, respectively.</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PROVISION FOR IMPAIRMENT</w:t>
      </w:r>
    </w:p>
    <w:p>
      <w:pPr>
        <w:spacing w:after="0" w:line="214"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Properties. </w:t>
      </w:r>
      <w:r>
        <w:rPr>
          <w:rFonts w:ascii="Times New Roman" w:cs="Times New Roman" w:eastAsia="Times New Roman" w:hAnsi="Times New Roman"/>
          <w:sz w:val="18"/>
          <w:szCs w:val="18"/>
          <w:color w:val="auto"/>
        </w:rPr>
        <w:t>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85"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or six months ended June 30, 2024 or 2023.</w:t>
      </w:r>
    </w:p>
    <w:p>
      <w:pPr>
        <w:spacing w:after="0" w:line="160"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Pursuant to ASC 326, Financial Instruments - Credit Losses,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and records a provision for current expected credit losses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4"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a $0.1 million impairment charge, comprised of a $0.2 million charge related to the discount provided to the borrower on their early repayment of the Sabal Pavilion loan, as described in Note 4, “Commercial Loans and Investments”, offset by a $0.1 million reduction in our CECL allowance due to a net decrease in principal outstanding. During the six months ended June 30, 2023, the Company recorded a $0.5 million impairment charge, representing the provision for credit losses related to our commercial loans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11. OTHER ASSETS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6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Other assets consisted of the following as of June 30, 2024 and December 31, 2023 (in thousands):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20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Income Property Tenant Receivables, Net of Allowance for Doubtful Accounts </w:t>
            </w:r>
            <w:r>
              <w:rPr>
                <w:rFonts w:ascii="Times New Roman" w:cs="Times New Roman" w:eastAsia="Times New Roman" w:hAnsi="Times New Roman"/>
                <w:sz w:val="24"/>
                <w:szCs w:val="24"/>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Property Straight-line Rent Adjustment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6,033</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Property Leasing Commissions and Costs, Net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Leases - Right-of-Use Asset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Golf Rounds Surcharge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Infrastructure Reimbursement Receivables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6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from Alpine Income Property Trust, Inc.</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62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09"/>
        </w:trPr>
        <w:tc>
          <w:tcPr>
            <w:tcW w:w="62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34,953</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ind w:left="380" w:hanging="330"/>
        <w:spacing w:after="0" w:line="214" w:lineRule="auto"/>
        <w:tabs>
          <w:tab w:leader="none" w:pos="38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Allowance for doubtful accounts was $1.9 million and $1.7 million as of June 30, 2024 and December 31, 2023, respectively.</w:t>
      </w:r>
    </w:p>
    <w:p>
      <w:pPr>
        <w:spacing w:after="0" w:line="179"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Infrastructure Reimbursement Receivables. </w:t>
      </w:r>
      <w:r>
        <w:rPr>
          <w:rFonts w:ascii="Times New Roman" w:cs="Times New Roman" w:eastAsia="Times New Roman" w:hAnsi="Times New Roman"/>
          <w:sz w:val="18"/>
          <w:szCs w:val="18"/>
          <w:color w:val="auto"/>
        </w:rPr>
        <w:t>As of June 30, 2024 and December 31, 2023, the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receivables were all related to two land sale transactions which closed in the fourth quarter of 2015 within the Tomoka Town Center.</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“2021 Registration Statement”). The Securities and Exchange Commission declared the 2021 Registration Statement effective on April 19, 2021.</w:t>
      </w:r>
    </w:p>
    <w:p>
      <w:pPr>
        <w:spacing w:after="0" w:line="18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October 11, 2022, the Company filed a new shelf registration statement on Form S-3, relating to the registration and potential issuance of its common stock, preferred stock, debt securities, warrants, rights, and units with a maximum aggregate offering price of up to $500.0 million (the “2022 Registration Statement”). The Securities and Exchange Commission declared the 2022 Registration Statement effective on October 26, 2022. The 2021 Registration Statement was terminated concurrently with the effectiveness of the 2022 Registration Statement.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EQUITY OFFERING</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December 5, 2022, the Company completed a follow-on public offering of 3,450,000 shares of common stock, which included the full exercise of the underwriters’ option to purchase an additional 450,000 shares of common stock. Upon closing, the Company issued 3,450,000 shares and received net proceeds of $62.4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2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30, 2021, the Company implemented a $150.0 million “at-the-market” equity offering program (the “2021 ATM Program”) pursuant to which the Company sold shares of the Company’s common stock. During the year ended December 31, 2022, the Company sold 961,261 shares under the 2021 ATM Program for gross proceeds of $21.1 million at a weighted average price of $21.99 per share, generating net proceeds of $20.8 million after deducting transaction fees totaling less than $0.3 million. The Company was not active under the 2021 ATM Program during the year ended December 31, 2021. The 2021 ATM Program was terminated in connection with the establishment of the 2022 ATM Program (hereinafter defined).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October 28, 2022, the Company implemented a $150.0 million “at-the-market” equity offering program (the “2022 ATM Program”) pursuant to which the Company may sell, from time to time, shares of the Company’s common stock. During the year ended December 31, 2022, the Company sold 604,765 shares under the 2022 ATM Program for gross proceeds of $12.3 million at a weighted average price of $20.29 per share, generating net proceeds of $12.1 million after deducting transaction fees totaling $0.2 million. The Company was not active under the 2022 ATM Program during the year ended December 31, 2023. During the six months ended June 30, 2024, the Company sold 374,817 shares under the 2022 ATM Program for gross proceeds of $6.5 million at a weighted average price of $17.43 per share, generating net proceeds of $6.4 million after deducting transaction fees of $0.1 million. As of June 30, 2024, $131.2 million of availability remained under the 2022 ATM Program.</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27"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June 28, 2021, the Company priced a public offering of 3,000,000 shares of its 6.375% Series A Cumulative Redeemable Preferred Stock (the “Series A Preferred Stock”) at a public offering price of $25.00 per share. The offering closed on July 6, 2021 and generated total net proceeds to the Company of $72.4 million, after deducting the underwriting discount and expenses.</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April 4, 2024, the Company priced a public offering of 1,500,000 additional shares of the Series A Preferred Stock, liquidation preference $25.00 per share, at a public offering price of $20.00 per share. The Company also granted the underwriters a 30-day option to purchase up to an additional 225,000 shares of the Series A Preferred Stock to cover over-allotments, which the underwriters exercised with respect to 218,417 shares on April 9, 2024. Upon closing on April 11, 2024, 1,718,417 shares of the Series A Preferred Stock (including the 218,417 shares of Series A Preferred Stock issued pursuant to the underwriters’ option) were issued generating net proceeds of $33.1 million, after deducting the underwriting discount and offering expenses payable by the Company.</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Series A Preferred Stock ranks senior to the Company’s common stock with respect to dividend rights and rights upon liquidation, dissolution or winding up of the Company. The Series A Preferred Stock has no maturity date and will remain outstanding unless redeemed.</w:t>
      </w:r>
    </w:p>
    <w:p>
      <w:pPr>
        <w:spacing w:after="0" w:line="1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Series A Preferred Stock is not redeemable by the Company prior to July 6, 2026 except under limited circumstances intended to preserve the Company’s qualification as a REIT for U.S. federal income tax purposes or upon the occurrence of a change of control, as defined in the Articles Supplementary designating the Series A Preferred Stock (the “Articles Supplementary”). Upon such change in control, the Company may redeem, at its election, the Series A Preferred Stock at a redemption price of $25.00 per share plus any accumulated and unpaid dividends up to, but excluding the date of redemption, and in limited circumstances, the holders of preferred stock shares may convert some or all of their Series A Preferred Stock into shares of the Company’s common stock at conversion rates set forth in the Articles Supplementary.</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14, “Share Repurchases” for the Company’s Series A Preferred Stock repurchase activity.</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elect to make dividend payments in excess of operating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outlines dividends declared and paid for each issuance of CTO’s stock during the three and six months ended June 30, 2024 and 2023 (in thousands, except per share data):</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24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2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Dividends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16"/>
        </w:trPr>
        <w:tc>
          <w:tcPr>
            <w:tcW w:w="242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16"/>
        </w:trPr>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420" w:type="dxa"/>
            <w:vAlign w:val="bottom"/>
            <w:shd w:val="clear" w:color="auto" w:fill="CCEEFF"/>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Common Stock</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2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Dividends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16"/>
        </w:trPr>
        <w:tc>
          <w:tcPr>
            <w:tcW w:w="242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color w:val="auto"/>
              </w:rPr>
              <w:t>Per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COMMON STOCK AND EARNINGS PER SHARE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common stockholders during the period by the weighted average number of shares of common stock outstanding during the period. Diluted earnings per common share is based on the assumption of the vesting of restricted stock at the beginning of each period using the treasury stock method at average cost for the periods. Effective as of January 1, 2022, diluted earnings per common share also reflects the 2025 Notes (hereinafter defined) on an if-converted basis.</w:t>
      </w:r>
    </w:p>
    <w:p>
      <w:pPr>
        <w:spacing w:after="0" w:line="170"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for each of the periods presented (in thousands, except share and per share data):</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20" w:type="dxa"/>
            <w:vAlign w:val="bottom"/>
          </w:tcPr>
          <w:p>
            <w:pPr>
              <w:spacing w:after="0"/>
              <w:rPr>
                <w:sz w:val="19"/>
                <w:szCs w:val="19"/>
                <w:color w:val="auto"/>
              </w:rPr>
            </w:pPr>
          </w:p>
        </w:tc>
        <w:tc>
          <w:tcPr>
            <w:tcW w:w="2020" w:type="dxa"/>
            <w:vAlign w:val="bottom"/>
            <w:gridSpan w:val="5"/>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172"/>
        </w:trPr>
        <w:tc>
          <w:tcPr>
            <w:tcW w:w="4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360"/>
              <w:spacing w:after="0" w:line="172"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15"/>
              <w:spacing w:after="0" w:line="172"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ind w:left="60"/>
              <w:spacing w:after="0" w:line="172" w:lineRule="exact"/>
              <w:rPr>
                <w:sz w:val="20"/>
                <w:szCs w:val="20"/>
                <w:color w:val="auto"/>
              </w:rPr>
            </w:pPr>
            <w:r>
              <w:rPr>
                <w:rFonts w:ascii="Times New Roman" w:cs="Times New Roman" w:eastAsia="Times New Roman" w:hAnsi="Times New Roman"/>
                <w:sz w:val="17"/>
                <w:szCs w:val="17"/>
                <w:b w:val="1"/>
                <w:bCs w:val="1"/>
                <w:color w:val="auto"/>
              </w:rPr>
              <w:t>June 30,</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95"/>
              <w:spacing w:after="0" w:line="172" w:lineRule="exact"/>
              <w:rPr>
                <w:sz w:val="20"/>
                <w:szCs w:val="20"/>
                <w:color w:val="auto"/>
              </w:rPr>
            </w:pPr>
            <w:r>
              <w:rPr>
                <w:rFonts w:ascii="Times New Roman" w:cs="Times New Roman" w:eastAsia="Times New Roman" w:hAnsi="Times New Roman"/>
                <w:sz w:val="17"/>
                <w:szCs w:val="17"/>
                <w:b w:val="1"/>
                <w:bCs w:val="1"/>
                <w:color w:val="auto"/>
              </w:rPr>
              <w:t>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Earnings: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Used in Basic EPS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(688)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(6,583)</w:t>
            </w:r>
          </w:p>
        </w:tc>
        <w:tc>
          <w:tcPr>
            <w:tcW w:w="0" w:type="dxa"/>
            <w:vAlign w:val="bottom"/>
          </w:tcPr>
          <w:p>
            <w:pPr>
              <w:spacing w:after="0"/>
              <w:rPr>
                <w:sz w:val="1"/>
                <w:szCs w:val="1"/>
                <w:color w:val="auto"/>
              </w:rPr>
            </w:pPr>
          </w:p>
        </w:tc>
      </w:tr>
      <w:tr>
        <w:trPr>
          <w:trHeight w:val="205"/>
        </w:trPr>
        <w:tc>
          <w:tcPr>
            <w:tcW w:w="45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Add Back: Effect of Dilutive Interest Related to 2025 Notes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50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(688)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3,967</w:t>
            </w:r>
          </w:p>
        </w:tc>
        <w:tc>
          <w:tcPr>
            <w:tcW w:w="1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(6,583)</w:t>
            </w:r>
          </w:p>
        </w:tc>
        <w:tc>
          <w:tcPr>
            <w:tcW w:w="0" w:type="dxa"/>
            <w:vAlign w:val="bottom"/>
          </w:tcPr>
          <w:p>
            <w:pPr>
              <w:spacing w:after="0"/>
              <w:rPr>
                <w:sz w:val="1"/>
                <w:szCs w:val="1"/>
                <w:color w:val="auto"/>
              </w:rPr>
            </w:pPr>
          </w:p>
        </w:tc>
      </w:tr>
      <w:tr>
        <w:trPr>
          <w:trHeight w:val="251"/>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Used in Diluted EPS</w:t>
            </w:r>
          </w:p>
        </w:tc>
        <w:tc>
          <w:tcPr>
            <w:tcW w:w="100" w:type="dxa"/>
            <w:vAlign w:val="bottom"/>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and Diluted Shares: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22,787,252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22,482,957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22,669,246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22,593,280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Common Shares Applicable to Unvested Restricted Stock</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Using the Treasury Stock Method</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45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Common Shares Applicable to Dilutive Effect of 2025 Notes</w:t>
            </w:r>
          </w:p>
        </w:tc>
        <w:tc>
          <w:tcPr>
            <w:tcW w:w="1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Diluted</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22,828,148</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22,482,957</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22,674,796</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22,593,280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 Information:</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(Loss) Attributable to Common Stockholders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55880</wp:posOffset>
            </wp:positionV>
            <wp:extent cx="141414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3" w:lineRule="exact"/>
        <w:rPr>
          <w:sz w:val="20"/>
          <w:szCs w:val="20"/>
          <w:color w:val="auto"/>
        </w:rPr>
      </w:pPr>
    </w:p>
    <w:p>
      <w:pPr>
        <w:jc w:val="both"/>
        <w:ind w:left="380" w:right="79" w:hanging="330"/>
        <w:spacing w:after="0" w:line="211" w:lineRule="auto"/>
        <w:tabs>
          <w:tab w:leader="none" w:pos="3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2025 Convertible Senior Notes effective January 1, 2022 due to the implementation of ASU 2020-06 which requires presentation on an if-converted basis. For the three and six months ended June 30, 2024 and 2023, a total of $0.5 million and $1.1 million of interest was not included, respectively, as the impact of the 2025 Notes, if-converted, would have been antidilutive to net income (loss) attributable to common stockholders for the respective periods.</w:t>
      </w:r>
    </w:p>
    <w:p>
      <w:pPr>
        <w:jc w:val="both"/>
        <w:ind w:left="380" w:right="79" w:hanging="330"/>
        <w:spacing w:after="0" w:line="207" w:lineRule="auto"/>
        <w:tabs>
          <w:tab w:leader="none" w:pos="3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 total of 3.6 million shares representing the dilutive impact of the 2025 Notes, upon adoption of ASU 2020-06 effective January 1, 2022, were not included in the computation of diluted net income per share attributable to common stockholders for the three and six months ended June 30, 2024, because they were antidilutive to net income (loss) attributable to common stockholders for the respective periods. A total of 3.3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2023, because they were antidilutive to net income (loss) attributable to common stockholders for the respective periods.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There were 40,896 and 5,550 potentially dilutive shares related to the Company’s restricted stock for the three and six months ended June 30, 2024. There were no potentially dilutive securities for the three and six months ended June 30, 2023 related to the Company’s stock options and restricted stock. The effect of 33,582 dilutive restricted stock units were not included for the six months ended June 30, 2023, as the effect would be anti-dilutive.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SHARE REPURCHASES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COMMON STOCK REPURCHASE PROGRAM</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In February 2020, the Company’s Board approved a $10.0 million common stock repurchase program (the “$10.0 Million Common Stock Repurchase Program”). During the year ended December 31, 2020, the Company repurchased 265,695 shares of its common stock on the open market for a total cost of $4.1 million, or an average price per share of $15.43. During the year ended December 31, 2021, the Company repurchased 121,659 shares of its common stock on the open market for a total cost of $2.2 million, or an average price per share of $18.16. During the year ended December 31, 2022, the Company repurchased 145,724 shares of its common stock on the open market for a total cost of $2.8 million, or an average price per share of $19.15. No repurchases were made pursuant to the $10.0 Million Common Stock Repurchase Program during the year ended December 31, 2023.</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common stock repurchase program (the “February 2023 $5.0 Million Common Stock Repurchase Program”), which eliminated the unutilized portion of the $10.0 Million Common Stock Repurchase Program. Pursuant to the February 2023 $5.0 Million Common Stock Repurchase Program, the Company was authorized to repurchase shares of its common stock for a total purchase price of up to $5.0 million. During the three months ended March 31, 2023, the Company repurchased 303,354 shares of its common stock on the open market for a total cost of $5.0 million, or an average price per share of $16.48, pursuant to the February 2023 $5.0 Million Common Stock Repurchase Program. Accordingly, as of March 31, 2023, no shares of the Company’s common stock remained available for repurchase under the February 2023 $5.0 Million Common Stock Repurchase Program.</w:t>
      </w:r>
    </w:p>
    <w:p>
      <w:pPr>
        <w:spacing w:after="0" w:line="19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April 25, 2023, the Company’s Board of Directors approved a common stock repurchase program, (the “April 2023 $5.0 Million Common Stock Repurchase Program”). Pursuant to the April 2023 $5.0 Million Common Stock Repurchase Program, the Company was authorized to repurchase shares of its common stock for a total purchase price of up to $5.0 million. During the year ended December 31, 2023, the Company repurchased 62,015 shares of its common stock on the open market for a total cost of $1.0 million, or an average price per share of $15.72. The April 2023 $5.0 Million Common Stock Repurchase Program was terminated in connection with the establishment of the December 2023 $5.0 Million Common Stock Repurchase Program (hereinafter defined).</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December 12, 2023, the Company’s Board of Directors approved a common stock repurchase program, which is expected to be in effect until the approved dollar amount has been used to repurchase shares (the “December 2023 $5.0 Million Common Stock Repurchase Program”). Pursuant to the December 2023 $5.0 Million Common Stock Repurchase Program, the Company may repurchase shares of its common stock for a total purchase price of up to $5.0 million. Shares may be purchased under the December 2023 $5.0 Million Common Stock Repurchase Program in open market transactions, including through block purchases, through privately negotiated transactions or pursuant to any trading plan that may be adopted in accordance with Rule 10b5-1 under the Securities Exchange Act of 1934, as amended (the “Exchange Act”). The December 2023 $5.0 Million Common Stock Repurchase Program does not obligate the Company to acquire any particular amount of shares of its common stock and may be modified or suspended. During the six months ended June 30, 2024, the Company repurchased 40,726 shares of its common stock on the open market for a total cost of $0.7 million, or an average price per share of $16.28, pursuant to the December 2023 $5.0 Million Common Stock Repurchase Program, leaving $4.3 million remaining of the December 2023 $5.0 Million Common Stock Repurchase Program as of June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SERIES A PREFERRED STOCK REPURCHASE PROGRAM</w:t>
      </w:r>
    </w:p>
    <w:p>
      <w:pPr>
        <w:spacing w:after="0" w:line="268"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Series A Preferred Stock repurchase program, which is expected to be in effect until the approved dollar amount has been used to repurchase shares (the “Series A Preferred Stock Repurchase Program”). Pursuant to the Series A Preferred Stock Repurchase Program, the Company may repurchase shares of its Series A Preferred Stock for a total purchase price of up to $3.0 million. Shares may be purchased under the Series A Preferred Stock Repurchase Program in open market transactions, including through block purchases,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80"/>
        <w:spacing w:after="0" w:line="255" w:lineRule="auto"/>
        <w:rPr>
          <w:sz w:val="20"/>
          <w:szCs w:val="20"/>
          <w:color w:val="auto"/>
        </w:rPr>
      </w:pPr>
      <w:r>
        <w:rPr>
          <w:rFonts w:ascii="Times New Roman" w:cs="Times New Roman" w:eastAsia="Times New Roman" w:hAnsi="Times New Roman"/>
          <w:sz w:val="18"/>
          <w:szCs w:val="18"/>
          <w:color w:val="auto"/>
        </w:rPr>
        <w:t>through privately negotiated transactions or pursuant to any trading plan that may be adopted in accordance with Rule 10b5-1 under the Exchange Act. The Series A Preferred Stock Repurchase Program does not obligate the Company to acquire any particular amount of shares of its Series A Preferred Stock and may be modified or suspended. The Company did not purchase any shares of its Series A Preferred Stock under the Series A Preferred Stock Repurchase Program during the six months ended June 30, 2024. During the six months ended June 30, 2023, the Company repurchased 746 shares of Series A Preferred Stock on the open market for a total cost of less than $0.1 million, or an average price per share of $18.82.</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Wtd. Avg. Rate as</w:t>
            </w: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Face Value Debt</w:t>
            </w:r>
          </w:p>
        </w:tc>
        <w:tc>
          <w:tcPr>
            <w:tcW w:w="20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of June 30, 2024</w:t>
            </w:r>
          </w:p>
        </w:tc>
        <w:tc>
          <w:tcPr>
            <w:tcW w:w="0" w:type="dxa"/>
            <w:vAlign w:val="bottom"/>
          </w:tcPr>
          <w:p>
            <w:pPr>
              <w:spacing w:after="0"/>
              <w:rPr>
                <w:sz w:val="1"/>
                <w:szCs w:val="1"/>
                <w:color w:val="auto"/>
              </w:rPr>
            </w:pPr>
          </w:p>
        </w:tc>
      </w:tr>
      <w:tr>
        <w:trPr>
          <w:trHeight w:val="191"/>
        </w:trPr>
        <w:tc>
          <w:tcPr>
            <w:tcW w:w="284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8"/>
                <w:szCs w:val="18"/>
                <w:color w:val="auto"/>
              </w:rPr>
              <w:t>SOFR + 0.10% +</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2027</w:t>
            </w: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[1.25% - 2.20%]</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198"/>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[1.25% - 2.20%]</w:t>
            </w:r>
          </w:p>
        </w:tc>
        <w:tc>
          <w:tcPr>
            <w:tcW w:w="200" w:type="dxa"/>
            <w:vAlign w:val="bottom"/>
          </w:tcPr>
          <w:p>
            <w:pPr>
              <w:spacing w:after="0"/>
              <w:rPr>
                <w:sz w:val="20"/>
                <w:szCs w:val="20"/>
                <w:color w:val="auto"/>
              </w:rPr>
            </w:pP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198"/>
        </w:trPr>
        <w:tc>
          <w:tcPr>
            <w:tcW w:w="2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2027</w:t>
            </w: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[1.25% - 2.20%]</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98"/>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2028 Term Loan </w:t>
            </w:r>
            <w:r>
              <w:rPr>
                <w:rFonts w:ascii="Times New Roman" w:cs="Times New Roman" w:eastAsia="Times New Roman" w:hAnsi="Times New Roman"/>
                <w:sz w:val="26"/>
                <w:szCs w:val="26"/>
                <w:color w:val="auto"/>
                <w:vertAlign w:val="superscript"/>
              </w:rPr>
              <w:t>(4)</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2028</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[1.20% - 2.15%]</w:t>
            </w:r>
          </w:p>
        </w:tc>
        <w:tc>
          <w:tcPr>
            <w:tcW w:w="200" w:type="dxa"/>
            <w:vAlign w:val="bottom"/>
          </w:tcPr>
          <w:p>
            <w:pPr>
              <w:spacing w:after="0"/>
              <w:rPr>
                <w:sz w:val="20"/>
                <w:szCs w:val="20"/>
                <w:color w:val="auto"/>
              </w:rPr>
            </w:pP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198"/>
        </w:trPr>
        <w:tc>
          <w:tcPr>
            <w:tcW w:w="28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3.875% Convertible Senior Notes</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2025</w:t>
            </w: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2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April 2025</w:t>
            </w: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3.875%</w:t>
            </w:r>
          </w:p>
        </w:tc>
        <w:tc>
          <w:tcPr>
            <w:tcW w:w="2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200" w:type="dxa"/>
            <w:vAlign w:val="bottom"/>
          </w:tcPr>
          <w:p>
            <w:pPr>
              <w:spacing w:after="0"/>
              <w:rPr>
                <w:sz w:val="18"/>
                <w:szCs w:val="18"/>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2026</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4.060%</w:t>
            </w:r>
          </w:p>
        </w:tc>
        <w:tc>
          <w:tcPr>
            <w:tcW w:w="200" w:type="dxa"/>
            <w:vAlign w:val="bottom"/>
          </w:tcPr>
          <w:p>
            <w:pPr>
              <w:spacing w:after="0"/>
              <w:rPr>
                <w:sz w:val="18"/>
                <w:szCs w:val="18"/>
                <w:color w:val="auto"/>
              </w:rPr>
            </w:pPr>
          </w:p>
        </w:tc>
        <w:tc>
          <w:tcPr>
            <w:tcW w:w="14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0"/>
        </w:trPr>
        <w:tc>
          <w:tcPr>
            <w:tcW w:w="28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Face Value Debt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right="100" w:hanging="330"/>
        <w:spacing w:after="0" w:line="181"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$150.0 million of the Credit Facility balance to fix SOFR and achieve a weighted average fixed swap rate of 3.47% plus the 10 bps SOFR adjustment plus the applicable spread.</w:t>
      </w:r>
    </w:p>
    <w:p>
      <w:pPr>
        <w:ind w:left="380" w:right="80" w:hanging="330"/>
        <w:spacing w:after="0" w:line="182" w:lineRule="auto"/>
        <w:tabs>
          <w:tab w:leader="none" w:pos="445"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$65.0 million 2026 Term Loan balance to fix SOFR and achieve a weighted average fixed swap rate of 1.27% plus the 10 bps SOFR adjustment plus the applicable spread.</w:t>
      </w:r>
    </w:p>
    <w:p>
      <w:pPr>
        <w:ind w:left="380" w:right="100" w:hanging="330"/>
        <w:spacing w:after="0" w:line="182" w:lineRule="auto"/>
        <w:tabs>
          <w:tab w:leader="none" w:pos="38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The Company utilized interest rate swaps on the $100.0 million 2027 Term Loan balance to fix SOFR and achieve a fixed swap rate of 1.35% plus the 10 bps SOFR adjustment plus the applicable spread.</w:t>
      </w:r>
    </w:p>
    <w:p>
      <w:pPr>
        <w:ind w:left="380" w:right="100" w:hanging="330"/>
        <w:spacing w:after="0" w:line="185"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Company utilized interest rate swaps on the $100.0 million 2028 Term Loan balance to fix SOFR and achieve a weighted average fixed swap rate of 3.78% plus the 10 bps SOFR adjustment plus the applicable spread.</w:t>
      </w:r>
    </w:p>
    <w:p>
      <w:pPr>
        <w:spacing w:after="0" w:line="180" w:lineRule="exact"/>
        <w:rPr>
          <w:sz w:val="20"/>
          <w:szCs w:val="20"/>
          <w:color w:val="auto"/>
        </w:rPr>
      </w:pPr>
    </w:p>
    <w:p>
      <w:pPr>
        <w:jc w:val="both"/>
        <w:ind w:left="60" w:right="8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The Credit Facility, with Bank of Montreal (“BMO”) as the administrative agent for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and, as amended, the “Credit Agreement”). As a result of the March 2021 Revolver Amendment and the Eighth Amendment, both as defined below, The Huntington National Bank, PNC Bank, National Association, and Regions Bank, were added as lenders to the Company’s Credit Facility.</w:t>
      </w:r>
    </w:p>
    <w:p>
      <w:pPr>
        <w:spacing w:after="0" w:line="185" w:lineRule="exact"/>
        <w:rPr>
          <w:sz w:val="20"/>
          <w:szCs w:val="20"/>
          <w:color w:val="auto"/>
        </w:rPr>
      </w:pPr>
    </w:p>
    <w:p>
      <w:pPr>
        <w:jc w:val="both"/>
        <w:ind w:left="60" w:right="80" w:firstLine="441"/>
        <w:spacing w:after="0" w:line="253" w:lineRule="auto"/>
        <w:rPr>
          <w:sz w:val="20"/>
          <w:szCs w:val="20"/>
          <w:color w:val="auto"/>
        </w:rPr>
      </w:pPr>
      <w:r>
        <w:rPr>
          <w:rFonts w:ascii="Times New Roman" w:cs="Times New Roman" w:eastAsia="Times New Roman" w:hAnsi="Times New Roman"/>
          <w:sz w:val="18"/>
          <w:szCs w:val="18"/>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SOFR plus 0.10% plus 125 basis points to SOFR plus 0.10% plus 220 basis points based on the total balance outstanding under the Credit Facility as a percentage of the total asset value of the Company, as defined in the 2017 Amended Credit Facility, as amended by the Eighth Amendment. The Credit Facility also accrues a fee of 15 to 25 basis points for any unused portion of the borrowing capacity based on whether the unused portion is greater or less than 50% of the total borrowing capacity. Pursuant to the Eighth Amendment, the Credit Facility matures on January 31, 2027, with the ability to extend the term for 1 year.</w:t>
      </w:r>
    </w:p>
    <w:p>
      <w:pPr>
        <w:spacing w:after="0" w:line="192" w:lineRule="exact"/>
        <w:rPr>
          <w:sz w:val="20"/>
          <w:szCs w:val="20"/>
          <w:color w:val="auto"/>
        </w:rPr>
      </w:pPr>
    </w:p>
    <w:p>
      <w:pPr>
        <w:jc w:val="both"/>
        <w:ind w:left="60" w:right="100" w:firstLine="441"/>
        <w:spacing w:after="0" w:line="282" w:lineRule="auto"/>
        <w:rPr>
          <w:sz w:val="20"/>
          <w:szCs w:val="20"/>
          <w:color w:val="auto"/>
        </w:rPr>
      </w:pPr>
      <w:r>
        <w:rPr>
          <w:rFonts w:ascii="Times New Roman" w:cs="Times New Roman" w:eastAsia="Times New Roman" w:hAnsi="Times New Roman"/>
          <w:sz w:val="18"/>
          <w:szCs w:val="18"/>
          <w:color w:val="auto"/>
        </w:rPr>
        <w:t>On November 26, 2019, the Company entered into the third amendment to the 2017 Amended Credit Facility (the “November 2019 Revolver Amendment”), which further amends the 2017 Amended Credit Facility. The November 2019</w:t>
      </w:r>
    </w:p>
    <w:p>
      <w:pPr>
        <w:sectPr>
          <w:pgSz w:w="11900" w:h="16838" w:orient="portrait"/>
          <w:cols w:equalWidth="0" w:num="1">
            <w:col w:w="9040"/>
          </w:cols>
          <w:pgMar w:left="1440" w:top="513" w:right="1419" w:bottom="1440" w:gutter="0" w:footer="0" w:header="0"/>
        </w:sectPr>
      </w:pP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3" w:right="1419"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1, 2020, the Company entered into the fourth amendment to the 2017 Amended Credit Facility (the “July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 Revolver Amendment”) whereby the tangible net worth covenant was adjusted to be more reflective of market terms.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2020 Revolver Amendment was effective as of March 31, 2020.</w:t>
      </w:r>
    </w:p>
    <w:p>
      <w:pPr>
        <w:spacing w:after="0" w:line="207"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53"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a term loan in the aggregate amount of $50.0 million (the “2026 Term Loan”), (iii) updates to certain financing rate provisions provided therein, and</w:t>
      </w:r>
    </w:p>
    <w:p>
      <w:pPr>
        <w:spacing w:after="0" w:line="3" w:lineRule="exact"/>
        <w:rPr>
          <w:sz w:val="20"/>
          <w:szCs w:val="20"/>
          <w:color w:val="auto"/>
        </w:rPr>
      </w:pPr>
    </w:p>
    <w:p>
      <w:pPr>
        <w:jc w:val="both"/>
        <w:ind w:left="60" w:right="59" w:hanging="10"/>
        <w:spacing w:after="0" w:line="253" w:lineRule="auto"/>
        <w:tabs>
          <w:tab w:leader="none" w:pos="3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six months ended June 30, 2021, the Company exercised the 2026 Term Loan accordion option for $15.0 million, increasing total lender commitments to $65.0 million.</w:t>
      </w:r>
    </w:p>
    <w:p>
      <w:pPr>
        <w:spacing w:after="0" w:line="187"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5, 2021, the Company entered into the seventh amendment to the 2017 Amended Credit Facility (the “November 2021 Revolver Amendment”). The November 2021 Revolver Amendment included, among other things, (i) addition of a term loan in the aggregate amount of $100.0 million (the “2027 Term Loan”)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On September 20, 2022, the Company entered into the eighth amendment to the 2017 Amended Credit Facility (the “Eighth Amendment”), which includes among other things: (i) the origination of a term loan, in the amount of $100.0 million (the “2028 Term Loan”), (ii) the increase of the revolving credit commitment from up to $210.0 million to up to $300.0 million, (iii) an accordion option that allows the Company to request additional revolving loan commitments and additional term loan commitments, provided, (a) the aggregate amount of revolving loan commitments shall not exceed $750,000,000 and (b) the aggregate amount of term loan commitments shall not exceed $500,000,000, (iv) an extension of the maturity date to January 31, 2027, (v) a sustainability-linked pricing component pursuant to which the Company will receive interest rate reductions based on its performance against certain sustainability performance targets, (vi) the release of the Pledge Collateral, as defined in the Eighth Amendment, and (vii) the joinder of PNC Bank, National Association (“PNC”) as a Term Loan Lender, as defined in the Credit Agreement, and PNC and Regions Bank as Revolving Lenders, as defined in the Credit Agreement.</w:t>
      </w:r>
    </w:p>
    <w:p>
      <w:pPr>
        <w:spacing w:after="0" w:line="165" w:lineRule="exact"/>
        <w:rPr>
          <w:sz w:val="20"/>
          <w:szCs w:val="20"/>
          <w:color w:val="auto"/>
        </w:rPr>
      </w:pPr>
    </w:p>
    <w:p>
      <w:pPr>
        <w:jc w:val="both"/>
        <w:ind w:left="60" w:right="59" w:firstLine="441"/>
        <w:spacing w:after="0" w:line="312" w:lineRule="auto"/>
        <w:rPr>
          <w:sz w:val="20"/>
          <w:szCs w:val="20"/>
          <w:color w:val="auto"/>
        </w:rPr>
      </w:pPr>
      <w:r>
        <w:rPr>
          <w:rFonts w:ascii="Times New Roman" w:cs="Times New Roman" w:eastAsia="Times New Roman" w:hAnsi="Times New Roman"/>
          <w:sz w:val="17"/>
          <w:szCs w:val="17"/>
          <w:color w:val="auto"/>
        </w:rPr>
        <w:t>On December 20, 2023, the Company entered into the ninth amendment to the 2017 Amended Credit Facility (the “Ninth Amendment”), which revises certain non-monetary limitations as described in more detail in the Ninth Amendment.</w:t>
      </w:r>
    </w:p>
    <w:p>
      <w:pPr>
        <w:spacing w:after="0" w:line="9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At June 30, 2024, the current commitment level under the Credit Facility was $300.0 million, and the undrawn commitment under the Credit Facility totaled $150.0 million. As of June 30, 2024, the Credit Facility had a $150.0 million balance outstanding.</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78"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Mortgage Notes Payable</w:t>
      </w:r>
      <w:r>
        <w:rPr>
          <w:rFonts w:ascii="Times New Roman" w:cs="Times New Roman" w:eastAsia="Times New Roman" w:hAnsi="Times New Roman"/>
          <w:sz w:val="18"/>
          <w:szCs w:val="18"/>
          <w:color w:val="auto"/>
        </w:rPr>
        <w:t>. On March 3, 2022, in connection with the acquisition of Price Plaza Shopping Center,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an existing $17.8 million secured fixed-rate mortgage note payable, which bears interest at a fixed rate of 4.06% and matures in August 2026.</w:t>
      </w:r>
    </w:p>
    <w:p>
      <w:pPr>
        <w:spacing w:after="0" w:line="173"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Convertible Debt</w:t>
      </w:r>
      <w:r>
        <w:rPr>
          <w:rFonts w:ascii="Times New Roman" w:cs="Times New Roman" w:eastAsia="Times New Roman" w:hAnsi="Times New Roman"/>
          <w:sz w:val="18"/>
          <w:szCs w:val="18"/>
          <w:color w:val="auto"/>
        </w:rPr>
        <w:t>. The Company had an initial aggregate principal amount of $75.0 million of 3.875% Convertible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(the “2025 Notes”). During the year ended December 31, 2020, the Company repurchased $12.5 million aggregate principal amount of 2025 Notes at a $2.6 million discount, resulting in a gain on extinguishment of debt of $1.1 million.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June 30, 2024.</w:t>
      </w:r>
    </w:p>
    <w:p>
      <w:pPr>
        <w:spacing w:after="0" w:line="184"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February 16, 2023, the Company’s Board of Directors approved a 2025 Notes repurchase program, which is expected to be in effect until the approved dollar amount has been used to repurchase 2025 Notes (the “2025 Notes Repurchase Program”). Pursuant to the 2025 Notes Repurchase Program, the Company may repurchase, in one or more transactions, 2025 Notes in the aggregate principal amount of not more than $4.74 million. The 2025 Notes Repurchase Program does not obligate the Company to acquire any particular amount of 2025 Notes and may be modified or suspended. The Company was not active under the 2025 Notes Repurchase Program during the six months ended June 30, 2024 and 2023.</w:t>
      </w:r>
    </w:p>
    <w:p>
      <w:pPr>
        <w:spacing w:after="0" w:line="18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second quarter 2024 dividend, the conversion rate is equal to 70.0257 shares of common stock for each $1,000 principal amount of 2025 Notes, which represents an adjusted conversion price of $14.28 per share of common stock. At the maturity date, the Company is required to settle the 2025 Notes in cash.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In the event a holder surrenders its 2025 Notes for conversion, the Company may, at its election, settle the conversion in cash, shares of the Company’s common stock, or a combination of cash and shares of the Company’s common stock. The Company’s ultimate election regarding settlement of 2025 Notes upon any conversion thereof will be made based on a variety of factors, including but not limited to economic and market conditions, and the Company’s liquidity.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9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June 30, 2024, the unamortized debt discount of our 2025 Notes was $0.1 million, which represents the cash component of the discount.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3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2026 Term Loan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Term Loan</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2028 Term Loan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3.875% Convertible Senior Notes, net of</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w:t>
            </w: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Mortgage Note Payable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Financing Costs, net of Accumulated</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482,661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495,370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Payments applicable to reduction of principal amounts as of June 30, 2024 will be required as follows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560" w:type="dxa"/>
            <w:vAlign w:val="bottom"/>
          </w:tcPr>
          <w:p>
            <w:pPr>
              <w:spacing w:after="0"/>
              <w:rPr>
                <w:sz w:val="20"/>
                <w:szCs w:val="20"/>
                <w:color w:val="auto"/>
              </w:rPr>
            </w:pPr>
          </w:p>
        </w:tc>
        <w:tc>
          <w:tcPr>
            <w:tcW w:w="206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82,800</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5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483,834</w:t>
            </w:r>
          </w:p>
        </w:tc>
      </w:tr>
      <w:tr>
        <w:trPr>
          <w:trHeight w:val="20"/>
        </w:trPr>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value of long-term debt as of June 30, 2024 consisted of the following (in thousands):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483,834</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Convertible Debt</w:t>
            </w:r>
          </w:p>
        </w:tc>
        <w:tc>
          <w:tcPr>
            <w:tcW w:w="6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600" w:type="dxa"/>
            <w:vAlign w:val="bottom"/>
            <w:tcBorders>
              <w:bottom w:val="single" w:sz="8" w:color="auto"/>
            </w:tcBorders>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482,661</w:t>
            </w:r>
          </w:p>
        </w:tc>
      </w:tr>
      <w:tr>
        <w:trPr>
          <w:trHeight w:val="20"/>
        </w:trPr>
        <w:tc>
          <w:tcPr>
            <w:tcW w:w="6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60" w:right="59" w:firstLine="441"/>
        <w:spacing w:after="0" w:line="242" w:lineRule="auto"/>
        <w:rPr>
          <w:sz w:val="20"/>
          <w:szCs w:val="20"/>
          <w:color w:val="auto"/>
        </w:rPr>
      </w:pPr>
      <w:r>
        <w:rPr>
          <w:rFonts w:ascii="Times New Roman" w:cs="Times New Roman" w:eastAsia="Times New Roman" w:hAnsi="Times New Roman"/>
          <w:sz w:val="18"/>
          <w:szCs w:val="18"/>
          <w:color w:val="auto"/>
        </w:rPr>
        <w:t>In addition to the $1.0 million of financing costs, net of accumulated amortization included in the table above, as of June 30, 2024, the Company also had financing costs, net of accumulated amortization related to the Credit Facility of $1.3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six months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2024 and 2023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8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Pr>
          <w:p>
            <w:pPr>
              <w:spacing w:after="0"/>
              <w:rPr>
                <w:sz w:val="18"/>
                <w:szCs w:val="18"/>
                <w:color w:val="auto"/>
              </w:rPr>
            </w:pPr>
          </w:p>
        </w:tc>
        <w:tc>
          <w:tcPr>
            <w:tcW w:w="12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w:t>
            </w: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198"/>
        </w:trPr>
        <w:tc>
          <w:tcPr>
            <w:tcW w:w="35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Discount on Convertible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9"/>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w:t>
            </w:r>
          </w:p>
        </w:tc>
      </w:tr>
      <w:tr>
        <w:trPr>
          <w:trHeight w:val="196"/>
        </w:trPr>
        <w:tc>
          <w:tcPr>
            <w:tcW w:w="2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16"/>
        </w:trPr>
        <w:tc>
          <w:tcPr>
            <w:tcW w:w="35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Total Interest Paid </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9,589</w:t>
            </w: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53"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capitalized interest of $0.1 million during the three and six months ended June 30, 2024 and 2023.</w:t>
      </w:r>
    </w:p>
    <w:p>
      <w:pPr>
        <w:spacing w:after="0" w:line="1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June 30, 2024 and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INTEREST RATE SWAPS</w:t>
      </w:r>
    </w:p>
    <w:p>
      <w:pPr>
        <w:spacing w:after="0" w:line="21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2024 and 2023. Accordingly, the changes in fair value on the interest rate swaps have been classified in accumulated other comprehensive income. The fair value of the interest rate swap agreements are included in other assets and accrued and other liabilities, respectively, on the consolidated balance sheets. Information related to the Company’s interest rate swap agreements as of June 30, 2024 is presented below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Hedged Item </w:t>
            </w:r>
            <w:r>
              <w:rPr>
                <w:rFonts w:ascii="Times New Roman" w:cs="Times New Roman" w:eastAsia="Times New Roman" w:hAnsi="Times New Roman"/>
                <w:sz w:val="24"/>
                <w:szCs w:val="24"/>
                <w:b w:val="1"/>
                <w:bCs w:val="1"/>
                <w:color w:val="auto"/>
                <w:vertAlign w:val="superscript"/>
              </w:rPr>
              <w:t>(1)</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8"/>
        </w:trPr>
        <w:tc>
          <w:tcPr>
            <w:tcW w:w="1840" w:type="dxa"/>
            <w:vAlign w:val="bottom"/>
            <w:gridSpan w:val="3"/>
            <w:vMerge w:val="continue"/>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96"/>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 + 0.10%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8/31/2021</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3/10/2026</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0.70%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3/10/2026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3/10/2031</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3.80%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3/29/2024</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1/31/2027</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1.35%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4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1/30/2032</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3.75%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9/30/2022</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9/30/2022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3.78%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02"/>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2028</w:t>
            </w:r>
          </w:p>
        </w:tc>
        <w:tc>
          <w:tcPr>
            <w:tcW w:w="14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1/31/2028</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1/31/2033</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3.81%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3.27%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w:t>
            </w:r>
          </w:p>
        </w:tc>
        <w:tc>
          <w:tcPr>
            <w:tcW w:w="0" w:type="dxa"/>
            <w:vAlign w:val="bottom"/>
          </w:tcPr>
          <w:p>
            <w:pPr>
              <w:spacing w:after="0"/>
              <w:rPr>
                <w:sz w:val="1"/>
                <w:szCs w:val="1"/>
                <w:color w:val="auto"/>
              </w:rPr>
            </w:pPr>
          </w:p>
        </w:tc>
      </w:tr>
      <w:tr>
        <w:trPr>
          <w:trHeight w:val="203"/>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tcPr>
          <w:p>
            <w:pPr>
              <w:spacing w:after="0"/>
              <w:rPr>
                <w:sz w:val="17"/>
                <w:szCs w:val="17"/>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3.26%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0" w:type="dxa"/>
            <w:vAlign w:val="bottom"/>
          </w:tcPr>
          <w:p>
            <w:pPr>
              <w:spacing w:after="0"/>
              <w:rPr>
                <w:sz w:val="1"/>
                <w:szCs w:val="1"/>
                <w:color w:val="auto"/>
              </w:rPr>
            </w:pPr>
          </w:p>
        </w:tc>
      </w:tr>
      <w:tr>
        <w:trPr>
          <w:trHeight w:val="203"/>
        </w:trPr>
        <w:tc>
          <w:tcPr>
            <w:tcW w:w="1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1/31/2023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1/31/2030</w:t>
            </w:r>
          </w:p>
        </w:tc>
        <w:tc>
          <w:tcPr>
            <w:tcW w:w="140" w:type="dxa"/>
            <w:vAlign w:val="bottom"/>
            <w:shd w:val="clear" w:color="auto" w:fill="CCEEFF"/>
          </w:tcPr>
          <w:p>
            <w:pPr>
              <w:spacing w:after="0"/>
              <w:rPr>
                <w:sz w:val="17"/>
                <w:szCs w:val="17"/>
                <w:color w:val="auto"/>
              </w:rPr>
            </w:pPr>
          </w:p>
        </w:tc>
        <w:tc>
          <w:tcPr>
            <w:tcW w:w="2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3.36% + 0.10%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0"/>
        </w:trPr>
        <w:tc>
          <w:tcPr>
            <w:tcW w:w="18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2/1/2024</w:t>
            </w:r>
          </w:p>
        </w:tc>
        <w:tc>
          <w:tcPr>
            <w:tcW w:w="1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1/31/2028</w:t>
            </w:r>
          </w:p>
        </w:tc>
        <w:tc>
          <w:tcPr>
            <w:tcW w:w="140" w:type="dxa"/>
            <w:vAlign w:val="bottom"/>
          </w:tcPr>
          <w:p>
            <w:pPr>
              <w:spacing w:after="0"/>
              <w:rPr>
                <w:sz w:val="18"/>
                <w:szCs w:val="18"/>
                <w:color w:val="auto"/>
              </w:rPr>
            </w:pPr>
          </w:p>
        </w:tc>
        <w:tc>
          <w:tcPr>
            <w:tcW w:w="25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3.85% + 0.10%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4"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On September 30, 2022, the Company converted its existing interest rate swaps from 1-month LIBOR to SOFR.</w:t>
      </w:r>
    </w:p>
    <w:p>
      <w:pPr>
        <w:ind w:left="380" w:right="79" w:hanging="330"/>
        <w:spacing w:after="0" w:line="180" w:lineRule="auto"/>
        <w:tabs>
          <w:tab w:leader="none" w:pos="3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Company entered into forward swaps to further fix interest rates through periods that the Company reasonably expects to extend its current term loans.</w:t>
      </w:r>
    </w:p>
    <w:p>
      <w:pPr>
        <w:spacing w:after="0" w:line="16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2024, there were no events of default related to the Company’s interest rate swap agreements.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17. ACCRUED AND OTHER 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0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220" w:type="dxa"/>
            <w:vAlign w:val="bottom"/>
          </w:tcPr>
          <w:p>
            <w:pPr>
              <w:spacing w:after="0"/>
              <w:rPr>
                <w:sz w:val="24"/>
                <w:szCs w:val="24"/>
                <w:color w:val="auto"/>
              </w:rPr>
            </w:pPr>
          </w:p>
        </w:tc>
        <w:tc>
          <w:tcPr>
            <w:tcW w:w="14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vMerge w:val="continue"/>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tcPr>
          <w:p>
            <w:pPr>
              <w:spacing w:after="0"/>
              <w:rPr>
                <w:sz w:val="20"/>
                <w:szCs w:val="20"/>
                <w:color w:val="auto"/>
              </w:rPr>
            </w:pPr>
          </w:p>
        </w:tc>
        <w:tc>
          <w:tcPr>
            <w:tcW w:w="40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Reserve for Tenant Improvements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Environmental Reserve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0" w:type="dxa"/>
            <w:vAlign w:val="bottom"/>
          </w:tcPr>
          <w:p>
            <w:pPr>
              <w:spacing w:after="0"/>
              <w:rPr>
                <w:sz w:val="1"/>
                <w:szCs w:val="1"/>
                <w:color w:val="auto"/>
              </w:rPr>
            </w:pPr>
          </w:p>
        </w:tc>
      </w:tr>
      <w:tr>
        <w:trPr>
          <w:trHeight w:val="216"/>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09"/>
        </w:trPr>
        <w:tc>
          <w:tcPr>
            <w:tcW w:w="6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for Tenant Improvements. </w:t>
      </w:r>
      <w:r>
        <w:rPr>
          <w:rFonts w:ascii="Times New Roman" w:cs="Times New Roman" w:eastAsia="Times New Roman" w:hAnsi="Times New Roman"/>
          <w:sz w:val="18"/>
          <w:szCs w:val="18"/>
          <w:color w:val="auto"/>
        </w:rPr>
        <w:t>In connection with recent acquisitions, the Company received an aggregate of $5.8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the sellers of certain properties for tenant improvement allowances, leasing commissions and other capital improvements. These amounts are included in accrued and other liabilities on the consolidated balance sheets. Through June 30, 2024, payments totaling $4.6 million were made leaving a remaining reserve for tenant improvements of $1.2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18. DEFERRED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Reserve from Commercial Loans and Investments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Contributions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10"/>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Interest Reserve from Commercial Loans and Investments</w:t>
      </w:r>
      <w:r>
        <w:rPr>
          <w:rFonts w:ascii="Times New Roman" w:cs="Times New Roman" w:eastAsia="Times New Roman" w:hAnsi="Times New Roman"/>
          <w:sz w:val="18"/>
          <w:szCs w:val="18"/>
          <w:color w:val="auto"/>
        </w:rPr>
        <w:t>. In connection with three of the Company’s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investments, the borrower has deposited interest and/or real estate tax reserves in accounts held by the Company. Those accounts balances are included in restricted cash on the Company’s consolidated balance sheets with the corresponding liability recorded in deferred revenue as seen above. Pursuant to each respective agreement, interest reserves are either (i) utilized to fund the monthly interest due on the loan or (ii) maintained throughout the term of the loan.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229" w:lineRule="exact"/>
        <w:rPr>
          <w:sz w:val="20"/>
          <w:szCs w:val="20"/>
          <w:color w:val="auto"/>
        </w:rPr>
      </w:pPr>
    </w:p>
    <w:p>
      <w:pPr>
        <w:jc w:val="both"/>
        <w:ind w:left="60" w:right="59" w:firstLine="486"/>
        <w:spacing w:after="0" w:line="282" w:lineRule="auto"/>
        <w:rPr>
          <w:sz w:val="20"/>
          <w:szCs w:val="20"/>
          <w:color w:val="auto"/>
        </w:rPr>
      </w:pPr>
      <w:r>
        <w:rPr>
          <w:rFonts w:ascii="Times New Roman" w:cs="Times New Roman" w:eastAsia="Times New Roman" w:hAnsi="Times New Roman"/>
          <w:sz w:val="18"/>
          <w:szCs w:val="18"/>
          <w:color w:val="auto"/>
        </w:rPr>
        <w:t>A summary of share activity for all equity classified stock compensation during the six months ended June 30, 2024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3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r>
      <w:tr>
        <w:trPr>
          <w:trHeight w:val="21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at 1/1/2024</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 6/30/2024</w:t>
            </w:r>
          </w:p>
        </w:tc>
      </w:tr>
      <w:tr>
        <w:trPr>
          <w:trHeight w:val="185"/>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Market Condition Vesting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100,391</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(85,938)</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(43,825)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208,003</w:t>
            </w:r>
          </w:p>
        </w:tc>
      </w:tr>
      <w:tr>
        <w:trPr>
          <w:trHeight w:val="18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Classified - Three Year Vest Restricted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3"/>
        </w:trPr>
        <w:tc>
          <w:tcPr>
            <w:tcW w:w="3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216,357</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107,191</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(75,434)</w:t>
            </w:r>
          </w:p>
        </w:tc>
        <w:tc>
          <w:tcPr>
            <w:tcW w:w="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(51,045)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197,069</w:t>
            </w:r>
          </w:p>
        </w:tc>
      </w:tr>
      <w:tr>
        <w:trPr>
          <w:trHeight w:val="22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Shares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453,732</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207,582</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(161,372)</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(94,870)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405,072</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recognized in the financial statements for stock-based compensation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4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4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Share-Based Plans Charged Against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0"/>
        </w:trPr>
        <w:tc>
          <w:tcPr>
            <w:tcW w:w="4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EQUITY-CLASSIFIED STOCK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 Peer Group Market Condition Vesting</w:t>
      </w:r>
    </w:p>
    <w:p>
      <w:pPr>
        <w:spacing w:after="0" w:line="121"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100,391 performance shares during the six months ended June 30, 2024.</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Compensation cost is recognized regardless of the achievement of the market conditions, provided the requisite service period is met.</w:t>
      </w:r>
    </w:p>
    <w:p>
      <w:pPr>
        <w:spacing w:after="0" w:line="16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June 30, 2024, there was $2.3 million of unrecognized compensation cost, adjusted for estimated forfeitures, related to the non-vested performance share awards, which will be recognized over a remaining weighted average period of 2.0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six months ended June 30, 2024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Shares With Market Conditions</w:t>
            </w: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09"/>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1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r>
      <w:tr>
        <w:trPr>
          <w:trHeight w:val="20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208,003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0"/>
        </w:trPr>
        <w:tc>
          <w:tcPr>
            <w:tcW w:w="5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Restricted shares have been granted to certain employees under the 2010 Plan. Certain of the restricted shares vest on each of the first, second, and third anniversaries of January 28 of the applicable year provided the grantee is an employee of the Company on those dates. Certain other restricted share awards, granted on July 1, 2022, vest entirely on the third anniversary of the grant date, or July 1, 2025, provided the grantee is an employee of the Company on that date. In addition, any unvested portion of the restricted shares will vest upon a change in control. The Company granted a total of 107,191 shares of restricted Company common stock during the six months ended June 30, 2024.</w:t>
      </w:r>
    </w:p>
    <w:p>
      <w:pPr>
        <w:spacing w:after="0" w:line="187"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fair value of the restricted stock awards was calculated by multiplying the number of shares issued by the Company’s stock price at the grant date. Compensation cost is recognized on a straight-line basis over the applicable vesting period.</w:t>
      </w:r>
    </w:p>
    <w:p>
      <w:pPr>
        <w:spacing w:after="0" w:line="1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June 30, 2024, there was $2.5 million of unrecognized compensation cost, adjusted for estimated forfeitures, related to the non-vested restricted share awards, which will be recognized over a remaining weighted average period of 1.9 years.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six months ended June 30, 2024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Shares</w:t>
            </w: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2024</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216,357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(75,434)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(51,045)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1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June 30, 2024</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197,069</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last day of the quarter, rounded down to the nearest whole number of shares.</w:t>
      </w:r>
    </w:p>
    <w:p>
      <w:pPr>
        <w:spacing w:after="0" w:line="183"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Each non-employee director serving as of the beginning of each calendar year shall receive an annual award of the Company’s common stock. The value of such award totaled $62,500 and $35,000 for the six months ended June 30, 2024 and 2023, respectively, (the “Annual Award”). The number of shares awarded is calculated based on the trailing 20-day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average price of the Company’s common stock as of the date two business days prior to the date of the award, rounded down to the nearest whole number of shares. Non-employee directors do not receive meeting fees, but do receive additional retainers for service on Board committees, as set forth in the Company’s Non-Employee Director Compensation Policy available on the Company’s website (www.ctoreit.com).</w:t>
      </w:r>
    </w:p>
    <w:p>
      <w:pPr>
        <w:spacing w:after="0" w:line="22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and 2023, the expense recognized for the value of the Company’s common stock received by non-employee directors totaled $0.5 million, or 29,014 shares, and $0.3 million, or 17,203 shares, respectively. The expense recognized includes the Annual Award received during the first quarter of each respective year, which totaled $0.3 million and $0.2 million during each of the six month periods ended June 30, 2024 and 2023, respectively.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INCOME TAXES</w:t>
      </w:r>
    </w:p>
    <w:p>
      <w:pPr>
        <w:spacing w:after="0" w:line="256"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are subject to applicable U.S. federal, state and local corporate income tax on their taxable income. For the taxable year ended December 31, 2023, the Company held a total of two TRSs, each subject to taxation and the separate filing of its corporate income tax returns. As of January 1, 2024, the Company consolidated its TRSs into one TRS subject to taxation and the filing of a single corporate income tax return.</w:t>
      </w:r>
    </w:p>
    <w:p>
      <w:pPr>
        <w:spacing w:after="0" w:line="235"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has disposed of certain, primarily single-tenant, REIT assets after the REIT conversion within the 5-year period. All such sales were completed using 1031 Exchanges or other deferred tax structures to mitigate the built-in gain tax liability of conversion.</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 Expenditures</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June 30, 2024, are as follows (in thousands):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June 30, 2024</w:t>
            </w: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4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Funded</w:t>
            </w:r>
          </w:p>
        </w:tc>
        <w:tc>
          <w:tcPr>
            <w:tcW w:w="4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Commitment</w:t>
            </w:r>
          </w:p>
        </w:tc>
        <w:tc>
          <w:tcPr>
            <w:tcW w:w="4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BUSINESS SEGMENT DATA</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operates in four primary business segments: income properties, management services, commercial loans and investments, and real estate operations. Our income property operations consist of income-producing properties, and our business plan is focused on investing in additional income-producing properties. Our income property operations accounted for 92.1% and 90.0% of our identifiable assets as of June 30, 2024 and December 31, 2023, and 88.6% and 89.0% of our consolidated revenues for the six months ended June 30, 2024 and 2023, respectively. Our management fee income consists primarily of the management fees earned for the management of PINE as well as from the Portfolio Management Agreement and the Subsurface Management Agreement. As of June 30, 2024, our commercial loans and investments portfolio consisted of three commercial loan investments and one preferred equity investment which is classified as a commercial loan investment. Our real estate operations consist of revenues generated from the sale of and royalty income related to our interests in subsurface oil, gas, and mineral rights, and the sale of mitigation credits.</w:t>
      </w:r>
    </w:p>
    <w:p>
      <w:pPr>
        <w:spacing w:after="0" w:line="19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and six months ended June 30, 2024 and 2023 is as follows (in thousands):</w:t>
      </w:r>
    </w:p>
    <w:p>
      <w:pPr>
        <w:spacing w:after="0" w:line="5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200" w:type="dxa"/>
            <w:vAlign w:val="bottom"/>
          </w:tcPr>
          <w:p>
            <w:pPr>
              <w:spacing w:after="0"/>
              <w:rPr>
                <w:sz w:val="18"/>
                <w:szCs w:val="18"/>
                <w:color w:val="auto"/>
              </w:rPr>
            </w:pPr>
          </w:p>
        </w:tc>
        <w:tc>
          <w:tcPr>
            <w:tcW w:w="2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49"/>
        </w:trPr>
        <w:tc>
          <w:tcPr>
            <w:tcW w:w="3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50,764</w:t>
            </w:r>
          </w:p>
        </w:tc>
        <w:tc>
          <w:tcPr>
            <w:tcW w:w="0" w:type="dxa"/>
            <w:vAlign w:val="bottom"/>
          </w:tcPr>
          <w:p>
            <w:pPr>
              <w:spacing w:after="0"/>
              <w:rPr>
                <w:sz w:val="1"/>
                <w:szCs w:val="1"/>
                <w:color w:val="auto"/>
              </w:rPr>
            </w:pPr>
          </w:p>
        </w:tc>
      </w:tr>
      <w:tr>
        <w:trPr>
          <w:trHeight w:val="197"/>
        </w:trPr>
        <w:tc>
          <w:tcPr>
            <w:tcW w:w="3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17,798</w:t>
            </w:r>
          </w:p>
        </w:tc>
        <w:tc>
          <w:tcPr>
            <w:tcW w:w="4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46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35,668</w:t>
            </w:r>
          </w:p>
        </w:tc>
        <w:tc>
          <w:tcPr>
            <w:tcW w:w="200" w:type="dxa"/>
            <w:vAlign w:val="bottom"/>
          </w:tcPr>
          <w:p>
            <w:pPr>
              <w:spacing w:after="0"/>
              <w:rPr>
                <w:sz w:val="18"/>
                <w:szCs w:val="18"/>
                <w:color w:val="auto"/>
              </w:rPr>
            </w:pPr>
          </w:p>
        </w:tc>
        <w:tc>
          <w:tcPr>
            <w:tcW w:w="2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Corporate Expense</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4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Properties</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4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81,550</w:t>
            </w:r>
          </w:p>
        </w:tc>
        <w:tc>
          <w:tcPr>
            <w:tcW w:w="46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78,119</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0"/>
        </w:trPr>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20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83,142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Identifiable assets of each segment as of June 30, 2024 and December 31, 2023 are as follows (in thousands):</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0"/>
        </w:trPr>
        <w:tc>
          <w:tcPr>
            <w:tcW w:w="5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929,795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887,345</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62,099</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1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26,585</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36,486</w:t>
            </w:r>
          </w:p>
        </w:tc>
      </w:tr>
      <w:tr>
        <w:trPr>
          <w:trHeight w:val="210"/>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989,668</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primarily includes the identifiable assets of the Company’s Subsurface Interests and mitigation credits. Corporate and other assets consist primarily of cash and restricted cash, property, plant, and equipment related to the other operations, as well as the general and corporate operations. The management services and real estate operations segments had no capital expenditures during the six months ended June 30, 2024 or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23. SUBSEQUENT EVENTS</w:t>
      </w:r>
    </w:p>
    <w:p>
      <w:pPr>
        <w:spacing w:after="0" w:line="229" w:lineRule="exact"/>
        <w:rPr>
          <w:sz w:val="20"/>
          <w:szCs w:val="20"/>
          <w:color w:val="auto"/>
        </w:rPr>
      </w:pPr>
    </w:p>
    <w:p>
      <w:pPr>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July 25, 2024, the date the consolidated financial statements were issued. There were no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52" w:lineRule="auto"/>
        <w:rPr>
          <w:sz w:val="20"/>
          <w:szCs w:val="20"/>
          <w:color w:val="auto"/>
        </w:rPr>
      </w:pPr>
      <w:r>
        <w:rPr>
          <w:rFonts w:ascii="Times New Roman" w:cs="Times New Roman" w:eastAsia="Times New Roman" w:hAnsi="Times New Roman"/>
          <w:sz w:val="18"/>
          <w:szCs w:val="18"/>
          <w:color w:val="auto"/>
        </w:rPr>
        <w:t>Statements contained in this Quarterly Report on Form 10-Q that are not historical facts are forward-looking statements within the meaning of Section 27A of the Securities Act of 1933 and Section 21E of the Securities Exchange Act of 1934, as amended (the “Exchange Act”).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4" w:lineRule="exact"/>
        <w:rPr>
          <w:sz w:val="20"/>
          <w:szCs w:val="20"/>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ownership of commercial real estate that could affect the performance and value of our properties;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tenants successfully operating their businesses, and their failure to do so could materially and adversely affect us;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traditional retail tenants face from e-commerce retail sales, or the integration of brick and mortar stores with e-commerce retail operators, could adversely affect our business;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the acquisition of income properties and more established entities or other investors may be able to compete more effectively for acquisition opportunities than we can;</w:t>
      </w:r>
    </w:p>
    <w:p>
      <w:pPr>
        <w:ind w:left="700" w:hanging="209"/>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asset acquisitions or dispositions;</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revenues from our income property portfolio or certain tenants would adversely impact our results of operations and cash flows;</w:t>
      </w: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downturn in economic conditions could adversely impact our business, particularly with regard to our ability to maintain revenues from our income-producing assets;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our investment strategy is focused on investing in commercial loans and investments which may involve credit risk or the risk that our borrowers will fail to pay scheduled contractual payments to us when due;</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when a borrower defaults on a loan and the value of the underlying collateral is less than the amount due;</w:t>
      </w:r>
    </w:p>
    <w:p>
      <w:pPr>
        <w:ind w:left="700" w:hanging="209"/>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investments are generally illiquid;</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utilizing the Section 1031 like-kind exchange structure in deploying the proceeds from dispositions of income properties, or our Section 1031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obtain debt or equity capital on favorable terms, if at all, or additional borrowings may impact our liquidity or ability to monetize any assets securing such borrowings;</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service or pay our debt;</w:t>
      </w:r>
    </w:p>
    <w:p>
      <w:pPr>
        <w:ind w:left="680" w:right="79" w:hanging="198"/>
        <w:spacing w:after="0" w:line="25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properties could be adversely affected in the event of natural disasters, pandemics, or other significant disruptions;</w:t>
      </w:r>
    </w:p>
    <w:p>
      <w:pPr>
        <w:ind w:left="680" w:right="79" w:hanging="198"/>
        <w:spacing w:after="0" w:line="260"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80" w:right="79" w:hanging="198"/>
        <w:spacing w:after="0" w:line="257"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qualified as real estate investment trust (“REIT”) for U.S. federal income tax purposes would cause us to be taxed as a regular corporation, which would substantially reduce funds available for distribution to stockholders;</w:t>
      </w:r>
    </w:p>
    <w:p>
      <w:pPr>
        <w:spacing w:after="0" w:line="1"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REIT requirements could limit our financial flexibility;</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operating as a REIT;</w:t>
      </w:r>
    </w:p>
    <w:p>
      <w:pPr>
        <w:spacing w:after="0" w:line="9" w:lineRule="exact"/>
        <w:rPr>
          <w:rFonts w:ascii="Times New Roman" w:cs="Times New Roman" w:eastAsia="Times New Roman" w:hAnsi="Times New Roman"/>
          <w:sz w:val="18"/>
          <w:szCs w:val="18"/>
          <w:color w:val="auto"/>
        </w:rPr>
      </w:pPr>
    </w:p>
    <w:p>
      <w:pPr>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consistent with the REIT requirements, and expectations as to timing and amounts of such dividends;</w:t>
      </w: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revoke our REIT status without stockholder approval;</w:t>
      </w:r>
    </w:p>
    <w:p>
      <w:pPr>
        <w:spacing w:after="0" w:line="9" w:lineRule="exact"/>
        <w:rPr>
          <w:rFonts w:ascii="Times New Roman" w:cs="Times New Roman" w:eastAsia="Times New Roman" w:hAnsi="Times New Roman"/>
          <w:sz w:val="18"/>
          <w:szCs w:val="18"/>
          <w:color w:val="auto"/>
        </w:rPr>
      </w:pPr>
    </w:p>
    <w:p>
      <w:pPr>
        <w:ind w:left="700" w:hanging="209"/>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changes in U.S. federal and state income tax laws, including changes to the REIT requirements;</w:t>
      </w:r>
    </w:p>
    <w:p>
      <w:pPr>
        <w:spacing w:after="0" w:line="9" w:lineRule="exact"/>
        <w:rPr>
          <w:rFonts w:ascii="Times New Roman" w:cs="Times New Roman" w:eastAsia="Times New Roman" w:hAnsi="Times New Roman"/>
          <w:sz w:val="18"/>
          <w:szCs w:val="18"/>
          <w:color w:val="auto"/>
        </w:rPr>
      </w:pPr>
    </w:p>
    <w:p>
      <w:pPr>
        <w:jc w:val="both"/>
        <w:ind w:left="680" w:right="79" w:hanging="198"/>
        <w:spacing w:after="0" w:line="25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including unstable macroeconomic conditions due to, among other things, political unrest and economic uncertainty due to terrorism or war, inflation, rising interest rates and distress in the banking sector; and</w:t>
      </w:r>
    </w:p>
    <w:p>
      <w:pPr>
        <w:spacing w:after="0" w:line="1" w:lineRule="exact"/>
        <w:rPr>
          <w:rFonts w:ascii="Times New Roman" w:cs="Times New Roman" w:eastAsia="Times New Roman" w:hAnsi="Times New Roman"/>
          <w:sz w:val="18"/>
          <w:szCs w:val="18"/>
          <w:color w:val="auto"/>
        </w:rPr>
      </w:pPr>
    </w:p>
    <w:p>
      <w:pPr>
        <w:jc w:val="both"/>
        <w:ind w:left="680" w:right="79" w:hanging="198"/>
        <w:spacing w:after="0" w:line="253"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(such as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2023),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are a publicly traded, self-managed equity REIT that focuses on the ownership, management, and repositioning of high-quality retail and mixed-use properties located primarily in what we believe to be faster growing, business-friendly markets exhibiting accommodative business tax policies, outsized relative job and population growth, and where retail demand exceeds supply. We have pursued our investment strategy by investing primarily through fee simple ownership of our properties, commercial loans and preferred equity.</w:t>
      </w:r>
    </w:p>
    <w:p>
      <w:pPr>
        <w:spacing w:after="0" w:line="183"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June 30, 2024, we own and manage, sometimes utilizing third-party property management companies, 20 commercial real estate properties in 8 states in the United States, comprising 3.9 million square feet of gross leasable space. In addition to our income property portfolio, as of June 30, 2024, our business included the following:</w:t>
      </w:r>
    </w:p>
    <w:p>
      <w:pPr>
        <w:spacing w:after="0" w:line="176"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u w:val="single" w:color="auto"/>
          <w:color w:val="auto"/>
        </w:rPr>
        <w:t>Management Services:</w:t>
      </w:r>
      <w:r>
        <w:rPr>
          <w:rFonts w:ascii="Times New Roman" w:cs="Times New Roman" w:eastAsia="Times New Roman" w:hAnsi="Times New Roman"/>
          <w:sz w:val="18"/>
          <w:szCs w:val="18"/>
          <w:color w:val="auto"/>
        </w:rPr>
        <w:t xml:space="preserve"> A fee-based management business that is engaged in managing PINE as well as: (i) a portfolio of assets pursuant to the Portfolio Management Agreement (hereinafter defined) and (ii) Subsurface Interests (hereinafter defined) pursuant to the Subsurface Management Agreement (hereinafter defined), as further described in Note 5, “Management Services Business”.</w:t>
      </w:r>
    </w:p>
    <w:p>
      <w:pPr>
        <w:spacing w:after="0" w:line="180"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u w:val="single" w:color="auto"/>
          <w:color w:val="auto"/>
        </w:rPr>
        <w:t>Commercial Loans and Investments:</w:t>
      </w:r>
      <w:r>
        <w:rPr>
          <w:rFonts w:ascii="Times New Roman" w:cs="Times New Roman" w:eastAsia="Times New Roman" w:hAnsi="Times New Roman"/>
          <w:sz w:val="18"/>
          <w:szCs w:val="18"/>
          <w:color w:val="auto"/>
        </w:rPr>
        <w:t xml:space="preserve"> A portfolio of three commercial loan investments and one preferred equity investment which is classified as a commercial loan investment.</w:t>
      </w:r>
    </w:p>
    <w:p>
      <w:pPr>
        <w:spacing w:after="0" w:line="162"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u w:val="single" w:color="auto"/>
          <w:color w:val="auto"/>
        </w:rPr>
        <w:t>Real Estate Operations:</w:t>
      </w:r>
      <w:r>
        <w:rPr>
          <w:rFonts w:ascii="Times New Roman" w:cs="Times New Roman" w:eastAsia="Times New Roman" w:hAnsi="Times New Roman"/>
          <w:sz w:val="18"/>
          <w:szCs w:val="18"/>
          <w:color w:val="auto"/>
        </w:rPr>
        <w:t xml:space="preserve"> An inventory of mitigation credits produced by the Company’s formerly owned mitigation bank. During the six months ended June 30, 2024, the Company sold its portfolio of subsurface mineral interests associated with approximately 352,000 surface acres in 19 counties in the State of Florida (“Subsurface Interests”), as further described in Note 6, “Real Estate Operations”. As part of the Subsurface Interests sale, the Company entered into a management agreement with the buyer to provide ongoing management services (the “Subsurface Management Agreement”).</w:t>
      </w:r>
    </w:p>
    <w:p>
      <w:pPr>
        <w:spacing w:after="0" w:line="18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business also includes our investment in PINE. As of June 30, 2024, the fair value of our investment totaled $36.6 million, or 15.8%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amount by which our investment will increase in value, or the timing thereof. Any dividends received from PINE are included in investment and other income (loss) on the accompanying consolidated statements of operations.</w:t>
      </w:r>
    </w:p>
    <w:p>
      <w:pPr>
        <w:spacing w:after="0" w:line="162"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and target markets, including markets we believe to be faster growing, business-friendly markets exhibiting accommodative business tax policies, outsized relative job and population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use a Section 1031 like-kind exchange structure, etc.).</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During the six months ended June 30, 2024, the Company sold one income property for a sales price of $20.0 million and a gain on sale of $4.6 million.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current portfolio of 14 multi-tenant properties generates $75.5 million of revenue from annualized straight-line base lease payments and had a weighted average remaining lease term of 5.7 years as of June 30, 2024. Our current portfolio of 6 single-tenant income properties generates $5.6 million of revenues from annualized straight-line base lease payments and had a weighted average remaining lease term of 5.0 years as of June 30, 2024.</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June 30, 2024 is presented in the following summary and indicates the changes as compared to the three months ended June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three months ended June 30, 2024 increased to $28.8 million, compared to $26.0 million during the three months ended June 30, 2023. The $2.8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which was offset by reduced revenues from our real estate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$25.9 million and $17.8 million, respectively, during the three months ended June 30, 2024, compared to total revenue and operating income of $22.8 million and $16.1 million, respectively, for the three months ended June 30, 2023. The direct costs of revenues for our income property operations totaled $8.1 million and $6.7 million for the three months ended June 30, 2024 and 2023, respectively. The increase in revenues of $3.1 million, or 13.7%, during the three months ended June 30, 2024 is primarily related to the overall growth and lease up of the Company’s income property portfolio, as well as the timing of acquisitions versus dispositions. The increase in operating income of $1.7 million from our income property operations reflects increased rent revenues related to net investment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Revenue from our management services from PINE totaled $1.0 million and $1.1 million during the three months ended June 30, 2024 and 2023, respectively, which decrease is due to the decrease in PINE’s total equity. Management services during the three months ended June 30, 2024 also included less than $0.1 million of revenue, from each of the asset management agreement with a third party to manage a portfolio of multi-tenant and single-tenant assets (the “Portfolio Management Agreement”) and the Subsurface Management Agreement, with no such revenue recognized during the three months ended June 30,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$1.4 million and $1.1 million during the three months ended June 30, 2024 and 2023, respectively. The increase is primarily due to increased income as a result of the timing of investments made related to new loan originations during the three months ended December 31, 2023, and the three months ended March 31, 2024, partially offset by a reduction in interest income attributable to the repayment of one loan during the three months ended June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and 2023, operating income from real estate operations was $0.1 million and $0.5 million on revenues totaling $0.4 million and $1.1 million, respectively. During the three months ended June 30, 2024, there was $0.6 million less in mitigation credit sales revenue as compared to the same period in 2023, which led to $0.4 million less in the cost of sales on mitigation credit sales during the three months ended June 30, 2024, in addition to a reduction of subsurface sale revenues of $0.2 million as compared to the same period in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June 30, 2024 is presented in the following summary and indicates the changes as compared to the three months ended June 30, 2023 (in thousands):</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significant increase in managed income property assets, partially offset by a decrease in executive compensation during the three months ended June 30, 2024.</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$11.5 million and $10.8 million during the three months ended June 30, 2024 and 2023, respectively. The increase of $0.7 million is due to the overall growth in the Company’s income property portfolio.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Dispositions of Assets. </w:t>
      </w:r>
      <w:r>
        <w:rPr>
          <w:rFonts w:ascii="Times New Roman" w:cs="Times New Roman" w:eastAsia="Times New Roman" w:hAnsi="Times New Roman"/>
          <w:sz w:val="18"/>
          <w:szCs w:val="18"/>
          <w:color w:val="auto"/>
        </w:rPr>
        <w:t>There were no income property dispositions during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During the three months ended June 30, 2023, the Company sold one income property, an outparcel of the multi-tenant property known as Eastern Commons, located in Henderson, Nevada, for $2.1 million, resulting in a gain of $0.8 million.</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w:t>
      </w:r>
      <w:r>
        <w:rPr>
          <w:rFonts w:ascii="Times New Roman" w:cs="Times New Roman" w:eastAsia="Times New Roman" w:hAnsi="Times New Roman"/>
          <w:sz w:val="18"/>
          <w:szCs w:val="18"/>
          <w:color w:val="auto"/>
        </w:rPr>
        <w:t>There were no impairment charges on the Company’s income property portfolio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and 2023. The Company recorded impairment charges of $0.1 million during the three months ended June 30, 2024, which was comprised of a $0.2 million charge related to the discount provided to the borrower on their early repayment of the Sabal Pavilion loan, as described in Note 4, “Commercial Loans and Investments”, offset by a $0.1 million reduction in our current expected credit losses (“CECL”) allowance due to a net decrease in principal outstanding. No such impairment charges were recorded during the three months ended June 30,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the closing stock price of PINE increased by $0.28 per share, with a closing price of $15.56 on June 30, 2024. During the three months ended June 30, 2023, the closing stock price of PINE decreased by $0.58 per share, with a closing price of $16.25 on June 30, 2023. The change in stock price resulted in an unrealized non-cash gain (loss) on the Company’s investment in PINE in the amount of $0.7 million and ($1.4) million which is included in investment and other income (loss) in the consolidated statements of operations for the three months ended June 30, 2024 and 2023, respectively.</w:t>
      </w:r>
    </w:p>
    <w:p>
      <w:pPr>
        <w:spacing w:after="0" w:line="18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$0.6 million during each of the three month periods ended June 30, 2024 and 2023.</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derecognized a contingent obligation through a $2.3 million increase in investment and other income (loss) during the three months ended June 30, 2023, pursuant to a lease amendment whereby the Company’s obligation to fund certain tenant improvements was eliminated. The liability was previously included in Accrued and Other Liabilities on the Company’s consolidated balance sheets.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expense totaled $5.6 million and $5.2 million for the three months ended June 30, 2024 and 2023, respectively. The increase of $0.4 million is primarily related to increases in the Company’s fixed rates on the 2026 Term Loan and the 2027 Term Loan due to swaps effective on March 29, 2024, which were partially offset by a reduction in interest on the Credit Facility due to a lower average outstanding balance during the three months ended June 30, 2024, as compared to the same period in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Net income (loss) attributable to the Company totaled $1.2 million and $1.8 million during the three months ended June 30, 2024 and 2023, respectively. The $0.6 million decrease in net income is attributable to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six months ended June 30, 2024 is presented in the following summary and indicates the changes as compared to the six months ended June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1240" w:type="dxa"/>
            <w:vAlign w:val="bottom"/>
            <w:tcBorders>
              <w:top w:val="single" w:sz="8" w:color="auto"/>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3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w:t>
            </w:r>
          </w:p>
        </w:tc>
        <w:tc>
          <w:tcPr>
            <w:tcW w:w="140" w:type="dxa"/>
            <w:vAlign w:val="bottom"/>
          </w:tcPr>
          <w:p>
            <w:pPr>
              <w:spacing w:after="0"/>
              <w:rPr>
                <w:sz w:val="18"/>
                <w:szCs w:val="18"/>
                <w:color w:val="auto"/>
              </w:rPr>
            </w:pPr>
          </w:p>
        </w:tc>
        <w:tc>
          <w:tcPr>
            <w:tcW w:w="32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50,764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6,208</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Total revenue for the six months ended increased to $57.0 million, compared to $50.8 million during the six months ended June 30, 2023. The $6.2 million increase in total revenue is primarily attributable to increased income produced by the Company’s recent income property acquisitions versus that of properties disposed of by the Company during the comparative period as well as more same store revenue from our properties owned during each period. Additionally, revenues from our commercial loans and investments increased as a result of the change in the commercial loan and investment portfolio.</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$50.5 million and $35.7 million, respectively, during the six months ended June 30, 2024, compared to total revenue and operating income of $45.2 million and $31.4 million, respectively, for the six months ended June 30, 2023. The direct costs of revenues for our income property operations totaled $14.8 million and $13.8 million for the six months ended June 30, 2024 and 2023, respectively. The increase in revenues of $5.3 million, or 11.8%, during the six months ended June 30, 2024 is primarily related to the overall growth and lease up of the Company’s income property portfolio, as well as the timing of acquisitions versus dispositions. The increase in operating income of $4.3 million from our income property operations reflects increased rent revenues related to net investments as well as leasing activity.</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Revenue from our management services from PINE totaled $2.1 million and $2.2 million during the six months ended June 30, 2024 and 2023, respectively, which decrease is due to the decrease in PINE’s total equity. Management services during the six months ended June 30, 2024 also included $0.1 million of revenue, from each of the Portfolio Management Agreement and the Subsurface Management Agreement, with no such revenue recognized during the six months ended June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Interest income from our commercial loans and investments totaled $2.8 million and $1.9 million during the six months ended June 30, 2024 and 2023, respectively. The increase is primarily due to increased income as a result of the timing of investments made related to new loan originations during the twelve-month period ended June 30, 2024, partially offset by a reduction in interest income attributable to the repayment of one loan during the three months ended June 30,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and 2023, operating income from real estate operations was $0.4 million and $0.8 million on revenues totaling $1.4 million and $1.5 million, respectively. The $0.4 million decrease in operating income is due to more mitigation credit sales during the six months ended June 30, 2024 having an increased cost basis compared to mitigation credit sales during the six months ended June 30, 2023.</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six months ended June 30, 2024 is presented in the following summary and indicates the changes as compared to the six months ended June 30, 2023 (in thousands):</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7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June 30,</w:t>
            </w: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5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191"/>
        </w:trPr>
        <w:tc>
          <w:tcPr>
            <w:tcW w:w="3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6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6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primary reason for the increase in total general and administrative expenses is the overall higher employee count as a result of the increased operating activity from the significant increase in managed income property assets, partially offset by reduced executive compensation during the six months ended June 30, 2024.</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$22.5 million and $21.1 million during the six months ended June 30, 2024 and 2023, respectively. The increase of $1.4 million is due to the overall growth in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 and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Gain on Disposition of Assets. </w:t>
      </w:r>
      <w:r>
        <w:rPr>
          <w:rFonts w:ascii="Times New Roman" w:cs="Times New Roman" w:eastAsia="Times New Roman" w:hAnsi="Times New Roman"/>
          <w:sz w:val="18"/>
          <w:szCs w:val="18"/>
          <w:color w:val="auto"/>
        </w:rPr>
        <w:t>During the six months ended June 30, 2024, the Company sold one mixed use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in downtown Santa Fe, NM for $20.0 million, resulting in a gain of $4.6 million. Additionally, during the six months ended June 30, 2024, the Company sold its portfolio of Subsurface Interests for $5.0 million, resulting in a gain of $4.5 million. During the six months ended June 30, 2023, the Company sold one income property, an outparcel of the multi-tenant property known as Eastern Commons, located in Henderson, Nevada, for $2.1 million, resulting in a gain of $0.8 million.</w:t>
      </w:r>
    </w:p>
    <w:p>
      <w:pPr>
        <w:spacing w:after="0" w:line="18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Provision for Impairment. </w:t>
      </w:r>
      <w:r>
        <w:rPr>
          <w:rFonts w:ascii="Times New Roman" w:cs="Times New Roman" w:eastAsia="Times New Roman" w:hAnsi="Times New Roman"/>
          <w:sz w:val="18"/>
          <w:szCs w:val="18"/>
          <w:color w:val="auto"/>
        </w:rPr>
        <w:t>There were no impairment charges on the Company’s income property portfolio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2024 and 2023. The Company recorded impairment charges of $0.1 million and $0.5 million during the six months ended June 30, 2024 and 2023, respectively, representing the provision for credit losses related to our commercial loans and investments. The $0.1 million of impairment charges during the six months ended June 30, 2024, was comprised of a $0.2 million charge related to the discount provided to the borrower on their early repayment of the Sabal Pavilion loan, as described in Note 4, “Commercial Loans and Investments”, offset by a $0.1 million reduction in our CECL allowance due to a net decrease in principal outstanding.</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closing stock price of PINE decreased by $1.35 per share, with a closing price of $15.56 on June 30, 2024. During the six months ended June 30, 2023, the closing stock price of PINE decreased by $2.83 per share, with a closing price of $16.25 on June 30, 2023. The change in stock price resulted in unrealized non-cash losses on the Company’s investment in PINE in the amount of $3.1 million and $6.2 million which is included in investment and other income (loss) in the consolidated statements of operations for the six months ended June 30, 2024 and 2023, respectively.</w:t>
      </w:r>
    </w:p>
    <w:p>
      <w:pPr>
        <w:spacing w:after="0" w:line="187"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$1.3 million and $1.2 million during the six months ended June 30, 2024 and 2023, respectively.</w:t>
      </w:r>
    </w:p>
    <w:p>
      <w:pPr>
        <w:spacing w:after="0" w:line="16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derecognized a contingent obligation through a $2.3 million increase in investment and other income (loss) during the six months ended June 30, 2023, pursuant to a lease amendment whereby the Company’s obligation to fund certain tenant improvements was eliminated. The liability was previously included in Accrued and Other Liabilities on the Company’s consolidated balance sheets.</w:t>
      </w:r>
    </w:p>
    <w:p>
      <w:pPr>
        <w:sectPr>
          <w:pgSz w:w="11900" w:h="16838" w:orient="portrait"/>
          <w:cols w:equalWidth="0" w:num="1">
            <w:col w:w="9019"/>
          </w:cols>
          <w:pgMar w:left="1440" w:top="513" w:right="1440"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014"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expense totaled $11.1 million and $9.8 million for the six months ended June 30, 2024 and 2023, respectively. The increase of $1.3 million is partially related to increases in the Company’s fixed rates on the 2026 Term Loan and the 2027 Term Loan due to swaps effective on March 29, 2024, as well as a higher average outstanding balance on the Company’s Credit Facility during the six months ended June 30, 2024, as compared to the same period in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Net income (loss) attributable to the Company totaled $3.1 million and $(4.2) million during the six months ended June 30, 2024 and 2023, respectively. The $7.3 million increase in net income is attributable to the factors described above, most notably the $8.2 million increase in gain on disposition of assets as described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$4.8 million at June 30, 2024, while restricted cash totaled $1.4 million, see Note 2, “Summary of Significant Accounting Policies” under the heading Restricted Cash for the Company’s disclosure related to its restricted cash balance at June 30, 2024.</w:t>
      </w:r>
    </w:p>
    <w:p>
      <w:pPr>
        <w:spacing w:after="0" w:line="1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operating activities totaled $24.6 million during the six months ended June 30, 2024, as compared to $25.0 million during the six months ended June 30, 2023, a decrease of $0.4 million. The primary reason for the decrease is an increase in interest expense as the result of higher overall debt balances during the six months ended June 30, 2024, offset by increased cash flows provided by income properties, which is the result of the overall growth and lease up of the Company’s income property portfolio, as well as increased cash flows from our commercial loans and investments.</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Our cash flows used in investing activities totaled $40.7 million during the six months ended June 30, 2024, as compared to $106.4 million during the six months ended June 30, 2023, a decrease in cash outflows of $65.7 million. The decrease in cash used in investing activities is primarily the result of a decrease in acquisition activity of income properties, net of sales of income properties and principal repayments received on commercial loan investments, for a decrease in net cash used of $56.6 million during the six months ended June 30, 2024 as compared to the same period in 2023.</w:t>
      </w:r>
    </w:p>
    <w:p>
      <w:pPr>
        <w:spacing w:after="0" w:line="18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financing activities totaled $4.4 million for the six months ended June 30, 2024, compared to $70.3 million for the six months ended June 30, 2023, a decrease in cash inflows of $65.9 million. The decrease is primarily related to a $108.9 million decrease in cash inflows provided by net debt activity, partially offset by proceeds from preferred equity issuances of $33.0 million, proceeds from common stock issuances of $6.4 million and a decrease in cash outflows of $4.4 million due to fewer repurchases of the Company’s common and preferred stock during the six months ended June 30, 2024 as compared to the same period in 2023.</w:t>
      </w:r>
    </w:p>
    <w:p>
      <w:pPr>
        <w:spacing w:after="0" w:line="185"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At June 30, 2024, the current commitment level under the Credit Facility was $300.0 million.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undrawn commitment under the Credit Facility totaled $150.0 million. As of June 30, 2024, the Credit Facility had a $150.0 million balance outstanding. See Note 15, “Long-Term Debt” for the Company’s disclosure related to its long-term debt balance at June 30, 2024.</w:t>
      </w:r>
    </w:p>
    <w:p>
      <w:pPr>
        <w:spacing w:after="0" w:line="172"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During the six months ended June 30, 2024, the Company acquired the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Seminole Towne Center, a multi-tenant income property located in Sanford, Florida, for a purchase price of $68.7 million, or a total acquisition cost of $68.8 million including capitalized acquisition costs. The Marketplace at Seminole Towne Center comprises 315,066 square feet, was 98% occupied at acquisition, and had a weighted average remaining lease term of 4.7 years at acquisition. During the six months ended June 30, 2024, the Company also acquired a vacant land parcel, for future development, within the previously acquired West Broad Village property, located in the Short Pump submarket of Richmond, Virginia, for a purchase price of $1.5 million and the remaining 4,000 square foot property, within the 28,100 square foot retail portion of Phase II of The Exchange at Gwinnett located in Buford, Georgia for an aggregate purchase price of $2.3 million including capitalized acquisition costs. The Company previously purchased the Sprouts-anchored Phase I portion of The Exchange at Gwinnett in December 2021. The Company also originated one structured investment, to provide $10.0 million of funding towards the construction of improvements on seven outparcel locations located in Lake Worth, Florida, of which $6.7 million was funded as of June 30, 2024. During the six months ended June 30, 2023, the Company acquired the Plaza at Rockwall, a multi-tenant income property located in Rockwall,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9" w:lineRule="auto"/>
        <w:rPr>
          <w:sz w:val="20"/>
          <w:szCs w:val="20"/>
          <w:color w:val="auto"/>
        </w:rPr>
      </w:pPr>
      <w:r>
        <w:rPr>
          <w:rFonts w:ascii="Times New Roman" w:cs="Times New Roman" w:eastAsia="Times New Roman" w:hAnsi="Times New Roman"/>
          <w:sz w:val="18"/>
          <w:szCs w:val="18"/>
          <w:color w:val="auto"/>
        </w:rPr>
        <w:t>Texas for a purchase price of $61.2 million, or a total acquisition cost of $61.3 million including capitalized acquisition costs. The Plaza at Rockwall comprises 446,500 square feet, was 95% occupied at acquisition, and had a weighted average remaining lease term of 4.2 years at acquisition. Also during the six months ended June 30, 2023, the Company acquired four properties, totaling 24,100 square feet, within the 28,100 square foot retail portion of Phase II of The Exchange at Gwinnett located in Buford, Georgia, for an aggregate purchase price of $14.6 million, or a total acquisition cost of $14.7 million including capitalized acquisition costs. The four properties are leased to six different tenants and had a weighted average remaining lease term of 9.9 years at acquisition. The Company previously purchased the Sprouts-anchored Phase I portion of The Exchange at Gwinnett in December 2021. The Company also originated one structured investment, to provide $15.0 million of funding towards the acquisition of Founders Square</w:t>
      </w:r>
      <w:r>
        <w:rPr>
          <w:sz w:val="1"/>
          <w:szCs w:val="1"/>
          <w:color w:val="auto"/>
        </w:rPr>
        <w:drawing>
          <wp:inline distT="0" distB="0" distL="0" distR="0">
            <wp:extent cx="2603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in Dallas, Texas.</w:t>
      </w:r>
    </w:p>
    <w:p>
      <w:pPr>
        <w:spacing w:after="0" w:line="19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guidance for 2024 investments in income-producing properties, including structured investments, ranges from $200.0 million to $250.0 million. We expect to fund future acquisitions utilizing cash on hand, cash from operations, proceeds from the dispositions of income properties through 1031 like-kind exchanges, borrowings on our Credit Facility, if available, and additional financing sources. We expect dispositions of income properties will qualify under the like-kind exchange deferred-tax structure.</w:t>
      </w:r>
    </w:p>
    <w:p>
      <w:pPr>
        <w:spacing w:after="0" w:line="181"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During the six months ended June 30, 2024, the Company sold one mixed use income property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downtown Santa Fe, NM for $20.0 million resulting in a gain of $4.6 million. During the six months ended June 30, 2023, the Company sold one income property, an outparcel of the multi-tenant property known as Eastern Commons, located in Henderson, Nevada, for $2.1 million, resulting in a gain of $0.8 million.</w:t>
      </w:r>
    </w:p>
    <w:p>
      <w:pPr>
        <w:spacing w:after="0" w:line="180"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ATM Program</w:t>
      </w:r>
      <w:r>
        <w:rPr>
          <w:rFonts w:ascii="Times New Roman" w:cs="Times New Roman" w:eastAsia="Times New Roman" w:hAnsi="Times New Roman"/>
          <w:sz w:val="18"/>
          <w:szCs w:val="18"/>
          <w:color w:val="auto"/>
        </w:rPr>
        <w:t>. During the six months ended June 30, 2024, the Company sold 374,817 shares under the 2022 ATM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for gross proceeds of $6.5 million at a weighted average price of $17.43 per share, generating net proceeds of $6.4 million after deducting transaction fees of $0.1 million.</w:t>
      </w:r>
    </w:p>
    <w:p>
      <w:pPr>
        <w:spacing w:after="0" w:line="173"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Contractual Commitments – Expenditures. </w:t>
      </w:r>
      <w:r>
        <w:rPr>
          <w:rFonts w:ascii="Times New Roman" w:cs="Times New Roman" w:eastAsia="Times New Roman" w:hAnsi="Times New Roman"/>
          <w:sz w:val="18"/>
          <w:szCs w:val="18"/>
          <w:color w:val="auto"/>
        </w:rPr>
        <w:t>The Company has committed to fund the following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The improvements, which are related to several properties, are estimated to be generally completed within twelve months. These commitments, as of June 30,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June 30, 2024</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09"/>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6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None.</w:t>
      </w:r>
    </w:p>
    <w:p>
      <w:pPr>
        <w:spacing w:after="0" w:line="21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We believe we will have sufficient liquidity to fund our operations, capital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debt service requirements over the next twelve months and into the foreseeable future, with cash on hand, cash flow from our operations, $131.2 million of availability remaining under the 2022 ATM Program, and $150.0 million undrawn commitment under the existing $300.0 million Credit Facility as of June 30, 2024.</w:t>
      </w:r>
    </w:p>
    <w:p>
      <w:pPr>
        <w:spacing w:after="0" w:line="18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believe that we currently have a reasonable level of leverage. Our strategy is to utilize leverage, when appropriate and necessary, and proceeds from sales of income properties and the disposition or payoffs on our commercial loans and investments to acquire income properties. We may also acquire or originate commercial loans and investments, invest in securities of real estate companies, or make other shorter-term investments. Our targeted investment classes may include the following: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40" w:right="79" w:hanging="331"/>
        <w:spacing w:after="0" w:line="26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Multi-tenant, primarily retail-oriented, properties in major metropolitan areas and growth markets, typically stabilized;</w:t>
      </w: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Single-tenant retail or other commercial, double or triple net leased, properties in major metropolitan areas and growth markets that are compliant with our commitments under the PINE ROFO Agreement;</w:t>
      </w: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retail or other commercial properties;</w:t>
      </w:r>
    </w:p>
    <w:p>
      <w:pPr>
        <w:spacing w:after="0" w:line="9"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loans and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estate-related investment securities, including commercial mortgage-backed securities, preferred or common stock, and corporate bonds.</w:t>
      </w:r>
    </w:p>
    <w:p>
      <w:pPr>
        <w:spacing w:after="0" w:line="181"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81" w:lineRule="auto"/>
        <w:rPr>
          <w:sz w:val="20"/>
          <w:szCs w:val="20"/>
          <w:color w:val="auto"/>
        </w:rPr>
      </w:pPr>
      <w:r>
        <w:rPr>
          <w:rFonts w:ascii="Times New Roman" w:cs="Times New Roman" w:eastAsia="Times New Roman" w:hAnsi="Times New Roman"/>
          <w:sz w:val="17"/>
          <w:szCs w:val="17"/>
          <w:color w:val="auto"/>
        </w:rPr>
        <w:t>Our reported results are presented in accordance with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6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80"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w:t>
      </w:r>
    </w:p>
    <w:p>
      <w:pPr>
        <w:spacing w:after="0" w:line="162"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NAREIT defines FFO as U.S. GAAP net income or loss adjusted to exclude real estate related depreciation and amortization, as well as extraordinary items (as defined by U.S.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mitigation credits, subsurface sales, investment securities, and land sales, in addition to the mark-to-market of the Company’s investment securities and interest related to the 2025 Convertible Senior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as well as adding back the interest related to the 2025 Convertible Senior Notes, if the effect is dilutive. To derive AFFO, we further modify the NAREIT computation of FFO and Core FFO to include other adjustments to U.S. GAAP net income related to non-cash revenues and expenses such as straight-line rental revenue, non-cash compensation, and other non-cash amortization. Such items may cause short-term fluctuations in net income but have no impact on operating cash flows or long-term operating performance. We use AFFO as one measure of our performance when we formulate corporate goals.</w:t>
      </w:r>
    </w:p>
    <w:p>
      <w:pPr>
        <w:spacing w:after="0" w:line="19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6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Non-U.S. GAAP Measures (in thousands, except share and dividend data):</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9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40" w:type="dxa"/>
            <w:vAlign w:val="bottom"/>
            <w:tcBorders>
              <w:bottom w:val="single" w:sz="8" w:color="CCEEFF"/>
            </w:tcBorders>
          </w:tcPr>
          <w:p>
            <w:pPr>
              <w:spacing w:after="0"/>
              <w:rPr>
                <w:sz w:val="20"/>
                <w:szCs w:val="20"/>
                <w:color w:val="auto"/>
              </w:rPr>
            </w:pPr>
          </w:p>
        </w:tc>
        <w:tc>
          <w:tcPr>
            <w:tcW w:w="2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 If-Converted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of Real Estate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 Net of Tax</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Disposition of Other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Realized and Unrealized Loss (Gain) on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Extinguishment of Contingent Obligation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 Attributable to Common Stockholders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to Lease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CEEFF"/>
            </w:tcBorders>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Less: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Core Funds From Operations Attributable to Common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Depreciation and Amortization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Loan Costs, Discount on Convertible Debt,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Capitalized Interest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Adjusted Funds From Operations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22,787,252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22,482,957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22,669,246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22,593,280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Diluted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22,828,148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22,482,957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22,674,796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22,593,280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80" w:right="79" w:hanging="330"/>
        <w:spacing w:after="0" w:line="233" w:lineRule="auto"/>
        <w:tabs>
          <w:tab w:leader="none" w:pos="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2025 Convertible Senior Notes to derive FFO (as defined herein) effective January 1, 2022 due to the implementation of ASU 2020-06 which requires presentation on an if-converted basis. For the three and six months ended June 30, 2024 and 2023, a total of $0.5 million and $1.1 million of interest was not included, respectively, as the impact of the 2025 Notes, if-converted, would be antidilutive to net income (loss) attributable to common stockholders for the respective periods.</w:t>
      </w:r>
    </w:p>
    <w:p>
      <w:pPr>
        <w:spacing w:after="0" w:line="69" w:lineRule="exact"/>
        <w:rPr>
          <w:rFonts w:ascii="Times New Roman" w:cs="Times New Roman" w:eastAsia="Times New Roman" w:hAnsi="Times New Roman"/>
          <w:sz w:val="12"/>
          <w:szCs w:val="12"/>
          <w:color w:val="auto"/>
        </w:rPr>
      </w:pPr>
    </w:p>
    <w:p>
      <w:pPr>
        <w:jc w:val="both"/>
        <w:ind w:left="380" w:right="79" w:hanging="330"/>
        <w:spacing w:after="0" w:line="231" w:lineRule="auto"/>
        <w:tabs>
          <w:tab w:leader="none" w:pos="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 total of 3.6 million shares, representing the dilutive impact of the 2025 Notes, upon adoption of ASU 2020-06 effective January 1, 2022, were not included in the computation of diluted net income per share attributable to common stockholders for the three and six months ended June 30, 2024, because they were antidilutive to net income (loss) attributable to common stockholders for the respective periods. A total of 3.3 million shares, representing the dilutive impact of the 2025 Notes, upon adoption of ASU 2020-06 effective January 1, 2022, were not included in the computation of diluted net income (loss) attributable to common stockholders for each of the three and six month periods ended June 30, 2023, because they were antidilutive to net income (loss) attributable to common stockholders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45"/>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0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41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Attributable to Common Stockholders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17,169</w:t>
            </w:r>
          </w:p>
        </w:tc>
      </w:tr>
      <w:tr>
        <w:trPr>
          <w:trHeight w:val="190"/>
        </w:trPr>
        <w:tc>
          <w:tcPr>
            <w:tcW w:w="4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FFO Attributable to Common Stockholders per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2"/>
        </w:trPr>
        <w:tc>
          <w:tcPr>
            <w:tcW w:w="414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16"/>
        </w:trPr>
        <w:tc>
          <w:tcPr>
            <w:tcW w:w="4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FFO Attributable to Common Stockholders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18,475</w:t>
            </w:r>
          </w:p>
        </w:tc>
      </w:tr>
      <w:tr>
        <w:trPr>
          <w:trHeight w:val="190"/>
        </w:trPr>
        <w:tc>
          <w:tcPr>
            <w:tcW w:w="4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Core FFO Attributable to Common Stockholders per</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42"/>
        </w:trPr>
        <w:tc>
          <w:tcPr>
            <w:tcW w:w="4140" w:type="dxa"/>
            <w:vAlign w:val="bottom"/>
            <w:shd w:val="clear" w:color="auto" w:fill="CCEEFF"/>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r>
      <w:tr>
        <w:trPr>
          <w:trHeight w:val="216"/>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Attributable to Common Stockholders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20,644</w:t>
            </w:r>
          </w:p>
        </w:tc>
      </w:tr>
      <w:tr>
        <w:trPr>
          <w:trHeight w:val="190"/>
        </w:trPr>
        <w:tc>
          <w:tcPr>
            <w:tcW w:w="4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AFFO Attributable to Common Stockholders per</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5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Common Share - Diluted </w:t>
            </w:r>
            <w:r>
              <w:rPr>
                <w:rFonts w:ascii="Times New Roman" w:cs="Times New Roman" w:eastAsia="Times New Roman" w:hAnsi="Times New Roman"/>
                <w:sz w:val="26"/>
                <w:szCs w:val="26"/>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r>
    </w:tbl>
    <w:p>
      <w:pPr>
        <w:spacing w:after="0" w:line="189" w:lineRule="exact"/>
        <w:rPr>
          <w:sz w:val="20"/>
          <w:szCs w:val="20"/>
          <w:color w:val="auto"/>
        </w:rPr>
      </w:pPr>
    </w:p>
    <w:p>
      <w:pPr>
        <w:jc w:val="both"/>
        <w:ind w:left="380" w:right="79" w:hanging="330"/>
        <w:spacing w:after="0" w:line="241" w:lineRule="auto"/>
        <w:tabs>
          <w:tab w:leader="none" w:pos="380" w:val="left"/>
        </w:tabs>
        <w:numPr>
          <w:ilvl w:val="0"/>
          <w:numId w:val="2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4"/>
          <w:szCs w:val="14"/>
          <w:color w:val="auto"/>
        </w:rPr>
        <w:t>The weighted average shares used to compute per share amounts for FFO Attributable to Common Stockholders per Common Share – Diluted, Core FFO Attributable to Common Stockholders per Common Share - Diluted, and AFFO Attributable to Common Stockholders per Common Share - Diluted do not reflect any dilution related to the ultimate settlement of the 2025 Convertible Senior Notes.</w:t>
      </w: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U.S. GAAP,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building within an existing multi-tenant income property, one vacant land parcel within an existing multi-tenant property, and one multi-tenant property for an aggregate purchase price of $72.6 million for the six months ended June 30, 2024, and four buildings within an existing multi-tenant income property and one additional multi-tenant property for an aggregate purchase price of $75.8 million for the six months ended June 30, 2023.</w:t>
      </w:r>
    </w:p>
    <w:p>
      <w:pPr>
        <w:spacing w:after="0" w:line="234"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220"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are primarily exposed to interest rate risk relating to our own debt in connection with our Credit Facility, as this facility carries a variable rate of interest. Our borrowings on our $300.0 million Credit Facility bear interest at a rate ranging from SOFR plus 0.10% plus 125 basis points to SOFR plus 0.10% plus 220 basis points based on our level of borrowing as a percentage of our total asset value. As of June 30, 2024, the outstanding balance on our Credit Facility totaled $150.0 million and was fixed. As of June 30, 2023, the outstanding balance on our Credit Facility was $209.6 million of which $109.6 million was not fixed by virtue of an interest rate swap agreement. A hypothetical change in the interest rate of 100 basis points (i.e., 1%) would affect our financial position, results of operations, and cash flows by $1.1 million as of June 30, 2023. The Company entered into interest rate swap agreements to hedge against changes in future cash flows resulting from fluctuating interest rates related to certain of its debt borrowings, see Note 16, “Interest Rate Swaps” in the notes to the consolidated financial statements included in this Form 10-Q.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00" w:lineRule="exact"/>
        <w:rPr>
          <w:sz w:val="20"/>
          <w:szCs w:val="20"/>
          <w:color w:val="auto"/>
        </w:rPr>
      </w:pPr>
    </w:p>
    <w:p>
      <w:pPr>
        <w:spacing w:after="0" w:line="272"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2024, that have materially affected, or are reasonably likely to materially affect, the Company’s internal control over financial reporting.</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7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00" w:lineRule="exact"/>
        <w:rPr>
          <w:sz w:val="20"/>
          <w:szCs w:val="20"/>
          <w:color w:val="auto"/>
        </w:rPr>
      </w:pPr>
    </w:p>
    <w:p>
      <w:pPr>
        <w:spacing w:after="0" w:line="28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the information under the heading Part I, “Item 1A. Risk Factors” in the Company’s Annual Report on Form 10-K for the year ended December 31, 2023. The risks described in the Form 10-K are not the only risks facing the Company. Additional risks and uncertainties not currently known to the Company or that the Company currently deems to be immaterial also may materially adversely affect the Company. As of June 30, 2024, there have been no material changes in our risk factors from those set forth within the Company’s Annual Report on Form 10-K for the year ended December 31,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ITEM 2. UNREGISTERED SALES OF EQUITY SECURITIES AND USE OF PROCEEDS</w:t>
      </w: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ectPr>
          <w:pgSz w:w="11900" w:h="16838" w:orient="portrait"/>
          <w:cols w:equalWidth="0" w:num="1">
            <w:col w:w="9019"/>
          </w:cols>
          <w:pgMar w:left="1440" w:top="513" w:right="1440" w:bottom="1440" w:gutter="0" w:footer="0" w:header="0"/>
        </w:sectPr>
      </w:pPr>
    </w:p>
    <w:p>
      <w:pPr>
        <w:spacing w:after="0" w:line="133" w:lineRule="exact"/>
        <w:rPr>
          <w:sz w:val="20"/>
          <w:szCs w:val="20"/>
          <w:color w:val="auto"/>
        </w:rPr>
      </w:pPr>
    </w:p>
    <w:p>
      <w:pPr>
        <w:ind w:left="60" w:hanging="10"/>
        <w:spacing w:after="0" w:line="409" w:lineRule="auto"/>
        <w:tabs>
          <w:tab w:leader="none" w:pos="30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Exhibits: </w:t>
      </w: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19"/>
        <w:spacing w:after="0" w:line="266" w:lineRule="auto"/>
        <w:rPr>
          <w:rFonts w:ascii="Times New Roman" w:cs="Times New Roman" w:eastAsia="Times New Roman" w:hAnsi="Times New Roman"/>
          <w:sz w:val="18"/>
          <w:szCs w:val="18"/>
          <w:u w:val="single" w:color="auto"/>
          <w:color w:val="0000EE"/>
        </w:rPr>
      </w:pPr>
      <w:hyperlink r:id="rId74">
        <w:r>
          <w:rPr>
            <w:rFonts w:ascii="Times New Roman" w:cs="Times New Roman" w:eastAsia="Times New Roman" w:hAnsi="Times New Roman"/>
            <w:sz w:val="18"/>
            <w:szCs w:val="18"/>
            <w:u w:val="single" w:color="auto"/>
            <w:color w:val="0000EE"/>
          </w:rPr>
          <w:t>Articles of Amendment and Restatement of CTO Realty Growth, Inc., as amended by the Articles of</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Amendment (Name Change), filed as Exhibit 3.1 to the registrant’s current report on Form 8-K12B filed</w:t>
        </w:r>
      </w:hyperlink>
      <w:r>
        <w:rPr>
          <w:rFonts w:ascii="Times New Roman" w:cs="Times New Roman" w:eastAsia="Times New Roman" w:hAnsi="Times New Roman"/>
          <w:sz w:val="18"/>
          <w:szCs w:val="18"/>
          <w:u w:val="single" w:color="auto"/>
          <w:color w:val="0000EE"/>
        </w:rPr>
        <w:t xml:space="preserve"> </w:t>
      </w:r>
      <w:hyperlink r:id="rId74">
        <w:r>
          <w:rPr>
            <w:rFonts w:ascii="Times New Roman" w:cs="Times New Roman" w:eastAsia="Times New Roman" w:hAnsi="Times New Roman"/>
            <w:sz w:val="18"/>
            <w:szCs w:val="18"/>
            <w:u w:val="single" w:color="auto"/>
            <w:color w:val="0000EE"/>
          </w:rPr>
          <w:t>February 1, 2021, and incorporated herein by reference.</w:t>
        </w:r>
      </w:hyperlink>
    </w:p>
    <w:p>
      <w:pPr>
        <w:spacing w:after="0" w:line="81" w:lineRule="exact"/>
        <w:rPr>
          <w:rFonts w:ascii="Times New Roman" w:cs="Times New Roman" w:eastAsia="Times New Roman" w:hAnsi="Times New Roman"/>
          <w:sz w:val="18"/>
          <w:szCs w:val="18"/>
          <w:u w:val="single" w:color="auto"/>
          <w:color w:val="0000EE"/>
        </w:rPr>
      </w:pPr>
    </w:p>
    <w:p>
      <w:pPr>
        <w:ind w:right="159"/>
        <w:spacing w:after="0" w:line="250" w:lineRule="auto"/>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Articles Supplementary, designating CTO Realty Growth, Inc.’s 6.375% Series A Cumulative</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Redeemable Preferred Stock, filed as Exhibit 3.2 to the registrant's Registration Statement on Form 8-A</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filed July 1, 2021 (File No. 001-11350), and incorporated herein by reference.</w:t>
        </w:r>
      </w:hyperlink>
    </w:p>
    <w:p>
      <w:pPr>
        <w:spacing w:after="0" w:line="146"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940" w:space="440"/>
            <w:col w:w="763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(3.3)</w:t>
      </w:r>
    </w:p>
    <w:p>
      <w:pPr>
        <w:spacing w:after="0" w:line="200" w:lineRule="exact"/>
        <w:rPr>
          <w:rFonts w:ascii="Times New Roman" w:cs="Times New Roman" w:eastAsia="Times New Roman" w:hAnsi="Times New Roman"/>
          <w:sz w:val="18"/>
          <w:szCs w:val="18"/>
          <w:u w:val="single" w:color="auto"/>
          <w:color w:val="0000EE"/>
        </w:rPr>
      </w:pPr>
    </w:p>
    <w:p>
      <w:pPr>
        <w:spacing w:after="0" w:line="34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6"/>
          <w:szCs w:val="16"/>
          <w:color w:val="auto"/>
        </w:rPr>
        <w:t>(3.4)</w:t>
      </w:r>
    </w:p>
    <w:p>
      <w:pPr>
        <w:spacing w:after="0" w:line="200" w:lineRule="exact"/>
        <w:rPr>
          <w:rFonts w:ascii="Times New Roman" w:cs="Times New Roman" w:eastAsia="Times New Roman" w:hAnsi="Times New Roman"/>
          <w:sz w:val="18"/>
          <w:szCs w:val="18"/>
          <w:u w:val="single" w:color="auto"/>
          <w:color w:val="0000EE"/>
        </w:rPr>
      </w:pPr>
    </w:p>
    <w:p>
      <w:pPr>
        <w:spacing w:after="0" w:line="345" w:lineRule="exact"/>
        <w:rPr>
          <w:rFonts w:ascii="Times New Roman" w:cs="Times New Roman" w:eastAsia="Times New Roman" w:hAnsi="Times New Roman"/>
          <w:sz w:val="18"/>
          <w:szCs w:val="18"/>
          <w:u w:val="single" w:color="auto"/>
          <w:color w:val="0000EE"/>
        </w:rPr>
      </w:pPr>
    </w:p>
    <w:p>
      <w:pPr>
        <w:ind w:left="6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jc w:val="both"/>
        <w:ind w:right="199"/>
        <w:spacing w:after="0" w:line="250" w:lineRule="auto"/>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Articles Supplementary, designating 3,000,000 additional shares of CTO Realty Growth, Inc.’s 6.375%</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Series A Cumulative Redeemable Preferred Stock, filed as Exhibit 3.1 to the registrant’s current report</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on Form 8-K filed April 3, 2024, and 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339"/>
        <w:spacing w:after="0" w:line="250" w:lineRule="auto"/>
        <w:rPr>
          <w:rFonts w:ascii="Times New Roman" w:cs="Times New Roman" w:eastAsia="Times New Roman" w:hAnsi="Times New Roman"/>
          <w:sz w:val="18"/>
          <w:szCs w:val="18"/>
          <w:u w:val="single" w:color="auto"/>
          <w:color w:val="0000EE"/>
        </w:rPr>
      </w:pPr>
      <w:hyperlink r:id="rId77">
        <w:r>
          <w:rPr>
            <w:rFonts w:ascii="Times New Roman" w:cs="Times New Roman" w:eastAsia="Times New Roman" w:hAnsi="Times New Roman"/>
            <w:sz w:val="18"/>
            <w:szCs w:val="18"/>
            <w:u w:val="single" w:color="auto"/>
            <w:color w:val="0000EE"/>
          </w:rPr>
          <w:t>Third Amended and Restated Bylaws of CTO Realty Growth, Inc., effective as of February 16, 2023,</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filed as Exhibit 3.1 to the registrant’s Current Report on Form 8-K filed February 17, 2023, and</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119"/>
        <w:spacing w:after="0" w:line="296" w:lineRule="auto"/>
        <w:rPr>
          <w:rFonts w:ascii="Times New Roman" w:cs="Times New Roman" w:eastAsia="Times New Roman" w:hAnsi="Times New Roman"/>
          <w:sz w:val="17"/>
          <w:szCs w:val="17"/>
          <w:u w:val="single" w:color="auto"/>
          <w:color w:val="0000EE"/>
        </w:rPr>
      </w:pPr>
      <w:hyperlink r:id="rId78">
        <w:r>
          <w:rPr>
            <w:rFonts w:ascii="Times New Roman" w:cs="Times New Roman" w:eastAsia="Times New Roman" w:hAnsi="Times New Roman"/>
            <w:sz w:val="17"/>
            <w:szCs w:val="17"/>
            <w:u w:val="single" w:color="auto"/>
            <w:color w:val="0000EE"/>
          </w:rPr>
          <w:t>Specimen Common Stock Certificate of CTO Realty Growth, Inc., filed as Exhibit 4.2 to the registrant’s</w:t>
        </w:r>
      </w:hyperlink>
      <w:r>
        <w:rPr>
          <w:rFonts w:ascii="Times New Roman" w:cs="Times New Roman" w:eastAsia="Times New Roman" w:hAnsi="Times New Roman"/>
          <w:sz w:val="17"/>
          <w:szCs w:val="17"/>
          <w:u w:val="single" w:color="auto"/>
          <w:color w:val="0000EE"/>
        </w:rPr>
        <w:t xml:space="preserve"> </w:t>
      </w:r>
      <w:hyperlink r:id="rId78">
        <w:r>
          <w:rPr>
            <w:rFonts w:ascii="Times New Roman" w:cs="Times New Roman" w:eastAsia="Times New Roman" w:hAnsi="Times New Roman"/>
            <w:sz w:val="17"/>
            <w:szCs w:val="17"/>
            <w:u w:val="single" w:color="auto"/>
            <w:color w:val="0000EE"/>
          </w:rPr>
          <w:t>current report on Form 8-K12B filed February 1, 2021, and incorporated herein by reference.</w:t>
        </w:r>
      </w:hyperlink>
    </w:p>
    <w:p>
      <w:pPr>
        <w:spacing w:after="0" w:line="108" w:lineRule="exact"/>
        <w:rPr>
          <w:sz w:val="20"/>
          <w:szCs w:val="20"/>
          <w:color w:val="auto"/>
        </w:rPr>
      </w:pPr>
    </w:p>
    <w:p>
      <w:pPr>
        <w:sectPr>
          <w:pgSz w:w="11900" w:h="16838" w:orient="portrait"/>
          <w:cols w:equalWidth="0" w:num="2">
            <w:col w:w="660" w:space="720"/>
            <w:col w:w="7639"/>
          </w:cols>
          <w:pgMar w:left="1440" w:top="513" w:right="1440" w:bottom="1440" w:gutter="0" w:footer="0" w:header="0"/>
          <w:type w:val="continuous"/>
        </w:sectPr>
      </w:pPr>
    </w:p>
    <w:tbl>
      <w:tblPr>
        <w:tblLayout w:type="fixed"/>
        <w:tblInd w:w="60" w:type="dxa"/>
        <w:tblCellMar>
          <w:top w:w="0" w:type="dxa"/>
          <w:left w:w="0" w:type="dxa"/>
          <w:bottom w:w="0" w:type="dxa"/>
          <w:right w:w="0" w:type="dxa"/>
        </w:tblCellMar>
      </w:tblPr>
      <w:tr>
        <w:trPr>
          <w:trHeight w:val="21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(10.1) †</w:t>
            </w:r>
          </w:p>
        </w:tc>
        <w:tc>
          <w:tcPr>
            <w:tcW w:w="7300" w:type="dxa"/>
            <w:vAlign w:val="bottom"/>
            <w:gridSpan w:val="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Employment Agreement between CTO Realty Growth, Inc. and Philip R. Mays entered into May 29,</w:t>
              </w:r>
            </w:hyperlink>
          </w:p>
        </w:tc>
      </w:tr>
      <w:tr>
        <w:trPr>
          <w:trHeight w:val="183"/>
        </w:trPr>
        <w:tc>
          <w:tcPr>
            <w:tcW w:w="1320" w:type="dxa"/>
            <w:vAlign w:val="bottom"/>
          </w:tcPr>
          <w:p>
            <w:pPr>
              <w:spacing w:after="0"/>
              <w:rPr>
                <w:sz w:val="15"/>
                <w:szCs w:val="15"/>
                <w:color w:val="auto"/>
              </w:rPr>
            </w:pPr>
          </w:p>
        </w:tc>
        <w:tc>
          <w:tcPr>
            <w:tcW w:w="728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2024, filed as Exhibit 10.1 to the registrant’s current report on Form 8-K filed May 31, 2024, and</w:t>
              </w:r>
            </w:hyperlink>
          </w:p>
        </w:tc>
        <w:tc>
          <w:tcPr>
            <w:tcW w:w="20" w:type="dxa"/>
            <w:vAlign w:val="bottom"/>
          </w:tcPr>
          <w:p>
            <w:pPr>
              <w:spacing w:after="0"/>
              <w:rPr>
                <w:sz w:val="15"/>
                <w:szCs w:val="15"/>
                <w:color w:val="auto"/>
              </w:rPr>
            </w:pPr>
          </w:p>
        </w:tc>
      </w:tr>
      <w:tr>
        <w:trPr>
          <w:trHeight w:val="183"/>
        </w:trPr>
        <w:tc>
          <w:tcPr>
            <w:tcW w:w="1320" w:type="dxa"/>
            <w:vAlign w:val="bottom"/>
          </w:tcPr>
          <w:p>
            <w:pPr>
              <w:spacing w:after="0"/>
              <w:rPr>
                <w:sz w:val="15"/>
                <w:szCs w:val="15"/>
                <w:color w:val="auto"/>
              </w:rPr>
            </w:pPr>
          </w:p>
        </w:tc>
        <w:tc>
          <w:tcPr>
            <w:tcW w:w="240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incorporated herein by reference.</w:t>
              </w:r>
            </w:hyperlink>
          </w:p>
        </w:tc>
        <w:tc>
          <w:tcPr>
            <w:tcW w:w="4600" w:type="dxa"/>
            <w:vAlign w:val="bottom"/>
            <w:tcBorders>
              <w:top w:val="single" w:sz="8" w:color="0000EE"/>
            </w:tcBorders>
          </w:tcPr>
          <w:p>
            <w:pPr>
              <w:spacing w:after="0"/>
              <w:rPr>
                <w:sz w:val="15"/>
                <w:szCs w:val="15"/>
                <w:color w:val="auto"/>
              </w:rPr>
            </w:pPr>
          </w:p>
        </w:tc>
        <w:tc>
          <w:tcPr>
            <w:tcW w:w="300" w:type="dxa"/>
            <w:vAlign w:val="bottom"/>
            <w:gridSpan w:val="2"/>
          </w:tcPr>
          <w:p>
            <w:pPr>
              <w:spacing w:after="0"/>
              <w:rPr>
                <w:sz w:val="15"/>
                <w:szCs w:val="15"/>
                <w:color w:val="auto"/>
              </w:rPr>
            </w:pPr>
          </w:p>
        </w:tc>
      </w:tr>
    </w:tbl>
    <w:p>
      <w:pPr>
        <w:spacing w:after="0" w:line="181"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31.1</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31.2</w:t>
      </w:r>
      <w:r>
        <w:rPr>
          <w:sz w:val="20"/>
          <w:szCs w:val="20"/>
          <w:color w:val="auto"/>
        </w:rPr>
        <w:tab/>
      </w: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sz w:val="20"/>
          <w:szCs w:val="20"/>
          <w:color w:val="auto"/>
        </w:rPr>
      </w:pPr>
    </w:p>
    <w:p>
      <w:pPr>
        <w:jc w:val="both"/>
        <w:ind w:left="1380" w:right="659" w:hanging="1336"/>
        <w:spacing w:after="0" w:line="264" w:lineRule="auto"/>
        <w:tabs>
          <w:tab w:leader="none" w:pos="1360" w:val="left"/>
        </w:tabs>
        <w:rPr>
          <w:sz w:val="20"/>
          <w:szCs w:val="20"/>
          <w:color w:val="auto"/>
        </w:rPr>
      </w:pPr>
      <w:r>
        <w:rPr>
          <w:rFonts w:ascii="Times New Roman" w:cs="Times New Roman" w:eastAsia="Times New Roman" w:hAnsi="Times New Roman"/>
          <w:sz w:val="17"/>
          <w:szCs w:val="17"/>
          <w:color w:val="auto"/>
        </w:rPr>
        <w:t>*Exhibit 32.1</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83" w:lineRule="exact"/>
        <w:rPr>
          <w:sz w:val="20"/>
          <w:szCs w:val="20"/>
          <w:color w:val="auto"/>
        </w:rPr>
      </w:pPr>
    </w:p>
    <w:p>
      <w:pPr>
        <w:jc w:val="both"/>
        <w:ind w:left="1380" w:right="659" w:hanging="1336"/>
        <w:spacing w:after="0" w:line="264" w:lineRule="auto"/>
        <w:tabs>
          <w:tab w:leader="none" w:pos="1360" w:val="left"/>
        </w:tabs>
        <w:rPr>
          <w:sz w:val="20"/>
          <w:szCs w:val="20"/>
          <w:color w:val="auto"/>
        </w:rPr>
      </w:pPr>
      <w:r>
        <w:rPr>
          <w:rFonts w:ascii="Times New Roman" w:cs="Times New Roman" w:eastAsia="Times New Roman" w:hAnsi="Times New Roman"/>
          <w:sz w:val="17"/>
          <w:szCs w:val="17"/>
          <w:color w:val="auto"/>
        </w:rPr>
        <w:t>*Exhibit 32.2</w:t>
      </w:r>
      <w:r>
        <w:rPr>
          <w:sz w:val="20"/>
          <w:szCs w:val="20"/>
          <w:color w:val="auto"/>
        </w:rPr>
        <w:tab/>
      </w: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83"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101.INS</w:t>
        <w:tab/>
        <w:t>Inline XBRL Instance Document</w:t>
      </w:r>
    </w:p>
    <w:p>
      <w:pPr>
        <w:spacing w:after="0" w:line="115" w:lineRule="exact"/>
        <w:rPr>
          <w:sz w:val="20"/>
          <w:szCs w:val="20"/>
          <w:color w:val="auto"/>
        </w:rPr>
      </w:pP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101.SCH</w:t>
        <w:tab/>
        <w:t>Inline XBRL Taxonomy Extension Schema Document</w:t>
      </w:r>
    </w:p>
    <w:p>
      <w:pPr>
        <w:spacing w:after="0" w:line="115" w:lineRule="exact"/>
        <w:rPr>
          <w:sz w:val="20"/>
          <w:szCs w:val="20"/>
          <w:color w:val="auto"/>
        </w:rPr>
      </w:pPr>
    </w:p>
    <w:p>
      <w:pPr>
        <w:ind w:left="60" w:right="2979"/>
        <w:spacing w:after="0" w:line="381" w:lineRule="auto"/>
        <w:rPr>
          <w:sz w:val="20"/>
          <w:szCs w:val="20"/>
          <w:color w:val="auto"/>
        </w:rPr>
      </w:pPr>
      <w:r>
        <w:rPr>
          <w:rFonts w:ascii="Times New Roman" w:cs="Times New Roman" w:eastAsia="Times New Roman" w:hAnsi="Times New Roman"/>
          <w:sz w:val="17"/>
          <w:szCs w:val="17"/>
          <w:color w:val="auto"/>
        </w:rPr>
        <w:t>Exhibit 101.CAL Inline XBRL Taxonomy Extension Calculation Linkbase Document Exhibit 101.DEF Inline XBRL Taxonomy Definition Linkbase Document</w:t>
      </w:r>
    </w:p>
    <w:p>
      <w:pPr>
        <w:ind w:left="60" w:right="2919"/>
        <w:spacing w:after="0" w:line="381" w:lineRule="auto"/>
        <w:rPr>
          <w:sz w:val="20"/>
          <w:szCs w:val="20"/>
          <w:color w:val="auto"/>
        </w:rPr>
      </w:pPr>
      <w:r>
        <w:rPr>
          <w:rFonts w:ascii="Times New Roman" w:cs="Times New Roman" w:eastAsia="Times New Roman" w:hAnsi="Times New Roman"/>
          <w:sz w:val="17"/>
          <w:szCs w:val="17"/>
          <w:color w:val="auto"/>
        </w:rPr>
        <w:t>Exhibit 101.LAB Inline XBRL Taxonomy Extension Label Linkbase Document Exhibit 101.PRE Inline XBRL Taxonomy Extension Presentation Linkbase Document</w:t>
      </w:r>
    </w:p>
    <w:p>
      <w:pPr>
        <w:ind w:left="60"/>
        <w:spacing w:after="0"/>
        <w:tabs>
          <w:tab w:leader="none" w:pos="1360" w:val="left"/>
        </w:tabs>
        <w:rPr>
          <w:sz w:val="20"/>
          <w:szCs w:val="20"/>
          <w:color w:val="auto"/>
        </w:rPr>
      </w:pPr>
      <w:r>
        <w:rPr>
          <w:rFonts w:ascii="Times New Roman" w:cs="Times New Roman" w:eastAsia="Times New Roman" w:hAnsi="Times New Roman"/>
          <w:sz w:val="17"/>
          <w:szCs w:val="17"/>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199" w:lineRule="exact"/>
        <w:rPr>
          <w:sz w:val="20"/>
          <w:szCs w:val="20"/>
          <w:color w:val="auto"/>
        </w:rPr>
      </w:pPr>
    </w:p>
    <w:p>
      <w:pPr>
        <w:jc w:val="both"/>
        <w:ind w:left="380" w:right="79" w:hanging="330"/>
        <w:spacing w:after="0" w:line="261" w:lineRule="auto"/>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301" w:lineRule="exact"/>
        <w:rPr>
          <w:sz w:val="20"/>
          <w:szCs w:val="20"/>
          <w:color w:val="auto"/>
        </w:rPr>
      </w:pPr>
    </w:p>
    <w:p>
      <w:pPr>
        <w:ind w:left="360" w:hanging="310"/>
        <w:spacing w:after="0"/>
        <w:tabs>
          <w:tab w:leader="none" w:pos="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9" w:lineRule="exact"/>
        <w:rPr>
          <w:rFonts w:ascii="Times New Roman" w:cs="Times New Roman" w:eastAsia="Times New Roman" w:hAnsi="Times New Roman"/>
          <w:sz w:val="17"/>
          <w:szCs w:val="17"/>
          <w:color w:val="auto"/>
        </w:rPr>
      </w:pPr>
    </w:p>
    <w:p>
      <w:pPr>
        <w:ind w:left="4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17145</wp:posOffset>
            </wp:positionV>
            <wp:extent cx="2554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61"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56"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July 25, 2024</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459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June 30,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June 30,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468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 Chief</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Roman"/>
      <w:start w:val="1"/>
    </w:lvl>
  </w:abstractNum>
  <w:abstractNum w:abstractNumId="11">
    <w:nsid w:val="62BBD95A"/>
    <w:multiLevelType w:val="hybridMultilevel"/>
    <w:lvl w:ilvl="0">
      <w:lvlJc w:val="left"/>
      <w:lvlText w:val="(%1)"/>
      <w:numFmt w:val="lowerRoman"/>
      <w:start w:val="4"/>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74" Type="http://schemas.openxmlformats.org/officeDocument/2006/relationships/hyperlink" Target="https://www.sec.gov/Archives/edgar/data/0000023795/000119312521023648/d113606dex31.htm" TargetMode="External"/><Relationship Id="rId75" Type="http://schemas.openxmlformats.org/officeDocument/2006/relationships/hyperlink" Target="https://www.sec.gov/Archives/edgar/data/23795/000119312521206336/d124719dex32.htm" TargetMode="External"/><Relationship Id="rId76" Type="http://schemas.openxmlformats.org/officeDocument/2006/relationships/hyperlink" Target="https://www.sec.gov/Archives/edgar/data/23795/000110465924043097/tm2410761d1_ex3-1.htm" TargetMode="External"/><Relationship Id="rId77" Type="http://schemas.openxmlformats.org/officeDocument/2006/relationships/hyperlink" Target="https://www.sec.gov/Archives/edgar/data/23795/000155837023001536/cto-20230216xex3d1.htm" TargetMode="External"/><Relationship Id="rId78" Type="http://schemas.openxmlformats.org/officeDocument/2006/relationships/hyperlink" Target="https://www.sec.gov/Archives/edgar/data/0000023795/000119312521023648/d113606dex42.htm" TargetMode="External"/><Relationship Id="rId79" Type="http://schemas.openxmlformats.org/officeDocument/2006/relationships/hyperlink" Target="https://www.sec.gov/Archives/edgar/data/23795/000155837024008832/cto-20240529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2024-07-25T16:10:16Z</dcterms:created>
  <dcterms:modified xsi:type="dcterms:W3CDTF">2024-07-25T16:10:16Z</dcterms:modified>
</cp:coreProperties>
</file>