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6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108585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7" w:lineRule="exact"/>
        <w:rPr>
          <w:sz w:val="24"/>
          <w:szCs w:val="24"/>
          <w:color w:val="auto"/>
        </w:rPr>
      </w:pPr>
    </w:p>
    <w:p>
      <w:pPr>
        <w:ind w:left="430" w:right="180" w:hanging="430"/>
        <w:spacing w:after="0" w:line="267" w:lineRule="auto"/>
        <w:tabs>
          <w:tab w:leader="none" w:pos="43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23" w:lineRule="exact"/>
        <w:rPr>
          <w:sz w:val="24"/>
          <w:szCs w:val="24"/>
          <w:color w:val="auto"/>
        </w:rPr>
      </w:pPr>
    </w:p>
    <w:p>
      <w:pPr>
        <w:ind w:left="10"/>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430" w:right="180" w:hanging="430"/>
        <w:spacing w:after="0" w:line="281" w:lineRule="auto"/>
        <w:tabs>
          <w:tab w:leader="none" w:pos="43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30"/>
        <w:spacing w:after="0"/>
        <w:tabs>
          <w:tab w:leader="none" w:pos="60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88900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4" w:lineRule="exact"/>
        <w:rPr>
          <w:sz w:val="24"/>
          <w:szCs w:val="24"/>
          <w:color w:val="auto"/>
        </w:rPr>
      </w:pPr>
    </w:p>
    <w:p>
      <w:pPr>
        <w:jc w:val="center"/>
        <w:ind w:right="-9"/>
        <w:spacing w:after="0"/>
        <w:rPr>
          <w:sz w:val="20"/>
          <w:szCs w:val="20"/>
          <w:color w:val="auto"/>
        </w:rPr>
      </w:pPr>
      <w:r>
        <w:rPr>
          <w:rFonts w:ascii="Arial" w:cs="Arial" w:eastAsia="Arial" w:hAnsi="Arial"/>
          <w:sz w:val="40"/>
          <w:szCs w:val="40"/>
          <w:b w:val="1"/>
          <w:bCs w:val="1"/>
          <w:color w:val="auto"/>
        </w:rPr>
        <w:t>CTO REALTY GROWTH, INC.</w:t>
      </w:r>
    </w:p>
    <w:p>
      <w:pPr>
        <w:spacing w:after="0" w:line="5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3" w:lineRule="exact"/>
        <w:rPr>
          <w:sz w:val="24"/>
          <w:szCs w:val="24"/>
          <w:color w:val="auto"/>
        </w:rPr>
      </w:pPr>
    </w:p>
    <w:tbl>
      <w:tblPr>
        <w:tblLayout w:type="fixed"/>
        <w:tblInd w:w="1210" w:type="dxa"/>
        <w:tblCellMar>
          <w:top w:w="0" w:type="dxa"/>
          <w:left w:w="0" w:type="dxa"/>
          <w:bottom w:w="0" w:type="dxa"/>
          <w:right w:w="0" w:type="dxa"/>
        </w:tblCellMar>
      </w:tblPr>
      <w:tr>
        <w:trPr>
          <w:trHeight w:val="189"/>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9"/>
              </w:rPr>
              <w:t>Maryland</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59-0483700</w:t>
            </w:r>
          </w:p>
        </w:tc>
      </w:tr>
      <w:tr>
        <w:trPr>
          <w:trHeight w:val="189"/>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1"/>
              </w:rPr>
              <w:t>(State or other jurisdiction of</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1"/>
              </w:rPr>
              <w:t>incorporation or organization)</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Identification No.)</w:t>
            </w:r>
          </w:p>
        </w:tc>
      </w:tr>
      <w:tr>
        <w:trPr>
          <w:trHeight w:val="276"/>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91"/>
              </w:rPr>
              <w:t>369 N. New York Avenue, Suite 201</w:t>
            </w:r>
          </w:p>
        </w:tc>
        <w:tc>
          <w:tcPr>
            <w:tcW w:w="1360" w:type="dxa"/>
            <w:vAlign w:val="bottom"/>
          </w:tcPr>
          <w:p>
            <w:pPr>
              <w:spacing w:after="0"/>
              <w:rPr>
                <w:sz w:val="23"/>
                <w:szCs w:val="23"/>
                <w:color w:val="auto"/>
              </w:rPr>
            </w:pPr>
          </w:p>
        </w:tc>
      </w:tr>
      <w:tr>
        <w:trPr>
          <w:trHeight w:val="189"/>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6"/>
              </w:rPr>
              <w:t>Winter Park, Florida</w:t>
            </w:r>
          </w:p>
        </w:tc>
        <w:tc>
          <w:tcPr>
            <w:tcW w:w="1360" w:type="dxa"/>
            <w:vAlign w:val="bottom"/>
          </w:tcPr>
          <w:p>
            <w:pPr>
              <w:jc w:val="right"/>
              <w:ind w:right="359"/>
              <w:spacing w:after="0"/>
              <w:rPr>
                <w:sz w:val="20"/>
                <w:szCs w:val="20"/>
                <w:color w:val="auto"/>
              </w:rPr>
            </w:pPr>
            <w:r>
              <w:rPr>
                <w:rFonts w:ascii="Arial" w:cs="Arial" w:eastAsia="Arial" w:hAnsi="Arial"/>
                <w:sz w:val="16"/>
                <w:szCs w:val="16"/>
                <w:b w:val="1"/>
                <w:bCs w:val="1"/>
                <w:color w:val="auto"/>
              </w:rPr>
              <w:t>32789</w:t>
            </w:r>
          </w:p>
        </w:tc>
      </w:tr>
      <w:tr>
        <w:trPr>
          <w:trHeight w:val="210"/>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5840" w:type="dxa"/>
            <w:vAlign w:val="bottom"/>
          </w:tcPr>
          <w:p>
            <w:pPr>
              <w:jc w:val="right"/>
              <w:ind w:right="1339"/>
              <w:spacing w:after="0"/>
              <w:rPr>
                <w:sz w:val="20"/>
                <w:szCs w:val="20"/>
                <w:color w:val="auto"/>
              </w:rPr>
            </w:pPr>
            <w:r>
              <w:rPr>
                <w:rFonts w:ascii="Arial" w:cs="Arial" w:eastAsia="Arial" w:hAnsi="Arial"/>
                <w:sz w:val="16"/>
                <w:szCs w:val="16"/>
                <w:b w:val="1"/>
                <w:bCs w:val="1"/>
                <w:color w:val="auto"/>
              </w:rPr>
              <w:t>(407) 904-3324</w:t>
            </w:r>
          </w:p>
        </w:tc>
        <w:tc>
          <w:tcPr>
            <w:tcW w:w="1360" w:type="dxa"/>
            <w:vAlign w:val="bottom"/>
          </w:tcPr>
          <w:p>
            <w:pPr>
              <w:spacing w:after="0"/>
              <w:rPr>
                <w:sz w:val="20"/>
                <w:szCs w:val="20"/>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60" w:type="dxa"/>
            <w:vAlign w:val="bottom"/>
          </w:tcPr>
          <w:p>
            <w:pPr>
              <w:spacing w:after="0"/>
              <w:rPr>
                <w:sz w:val="18"/>
                <w:szCs w:val="18"/>
                <w:color w:val="auto"/>
              </w:rPr>
            </w:pPr>
          </w:p>
        </w:tc>
      </w:tr>
    </w:tbl>
    <w:p>
      <w:pPr>
        <w:spacing w:after="0" w:line="18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1140 N. Williamson Blvd., Suite 140 Daytona Beach, FL 32114</w:t>
      </w:r>
    </w:p>
    <w:p>
      <w:pPr>
        <w:spacing w:after="0" w:line="2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87"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1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411"/>
        </w:trPr>
        <w:tc>
          <w:tcPr>
            <w:tcW w:w="20" w:type="dxa"/>
            <w:vAlign w:val="bottom"/>
          </w:tcPr>
          <w:p>
            <w:pPr>
              <w:spacing w:after="0"/>
              <w:rPr>
                <w:sz w:val="24"/>
                <w:szCs w:val="24"/>
                <w:color w:val="auto"/>
              </w:rPr>
            </w:pPr>
          </w:p>
        </w:tc>
        <w:tc>
          <w:tcPr>
            <w:tcW w:w="41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7"/>
              </w:rPr>
              <w:t>Title of each class:</w:t>
            </w:r>
          </w:p>
        </w:tc>
        <w:tc>
          <w:tcPr>
            <w:tcW w:w="272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0"/>
              </w:rPr>
              <w:t>Trading Symbols</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60"/>
        </w:trPr>
        <w:tc>
          <w:tcPr>
            <w:tcW w:w="20" w:type="dxa"/>
            <w:vAlign w:val="bottom"/>
          </w:tcPr>
          <w:p>
            <w:pPr>
              <w:spacing w:after="0"/>
              <w:rPr>
                <w:sz w:val="13"/>
                <w:szCs w:val="13"/>
                <w:color w:val="auto"/>
              </w:rPr>
            </w:pPr>
          </w:p>
        </w:tc>
        <w:tc>
          <w:tcPr>
            <w:tcW w:w="33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$0.01 par value per share</w:t>
            </w:r>
          </w:p>
        </w:tc>
        <w:tc>
          <w:tcPr>
            <w:tcW w:w="2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tcPr>
          <w:p>
            <w:pPr>
              <w:jc w:val="center"/>
              <w:ind w:right="485"/>
              <w:spacing w:after="0" w:line="160" w:lineRule="exact"/>
              <w:rPr>
                <w:sz w:val="20"/>
                <w:szCs w:val="20"/>
                <w:color w:val="auto"/>
              </w:rPr>
            </w:pPr>
            <w:r>
              <w:rPr>
                <w:rFonts w:ascii="Arial" w:cs="Arial" w:eastAsia="Arial" w:hAnsi="Arial"/>
                <w:sz w:val="14"/>
                <w:szCs w:val="14"/>
                <w:b w:val="1"/>
                <w:bCs w:val="1"/>
                <w:color w:val="auto"/>
              </w:rPr>
              <w:t>CTO</w:t>
            </w:r>
          </w:p>
        </w:tc>
        <w:tc>
          <w:tcPr>
            <w:tcW w:w="200" w:type="dxa"/>
            <w:vAlign w:val="bottom"/>
          </w:tcPr>
          <w:p>
            <w:pPr>
              <w:spacing w:after="0"/>
              <w:rPr>
                <w:sz w:val="13"/>
                <w:szCs w:val="13"/>
                <w:color w:val="auto"/>
              </w:rPr>
            </w:pPr>
          </w:p>
        </w:tc>
        <w:tc>
          <w:tcPr>
            <w:tcW w:w="33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NYSE</w:t>
            </w:r>
          </w:p>
        </w:tc>
      </w:tr>
      <w:tr>
        <w:trPr>
          <w:trHeight w:val="175"/>
        </w:trPr>
        <w:tc>
          <w:tcPr>
            <w:tcW w:w="20" w:type="dxa"/>
            <w:vAlign w:val="bottom"/>
          </w:tcPr>
          <w:p>
            <w:pPr>
              <w:spacing w:after="0"/>
              <w:rPr>
                <w:sz w:val="15"/>
                <w:szCs w:val="15"/>
                <w:color w:val="auto"/>
              </w:rPr>
            </w:pPr>
          </w:p>
        </w:tc>
        <w:tc>
          <w:tcPr>
            <w:tcW w:w="41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2"/>
              </w:rPr>
              <w:t>6.375% Series A Cumulative Redeemable</w:t>
            </w: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1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2"/>
              </w:rPr>
              <w:t>Preferred Stock, $0.01 par value per share</w:t>
            </w:r>
          </w:p>
        </w:tc>
        <w:tc>
          <w:tcPr>
            <w:tcW w:w="2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CTO PrA</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NYSE</w:t>
            </w:r>
          </w:p>
        </w:tc>
      </w:tr>
    </w:tbl>
    <w:p>
      <w:pPr>
        <w:spacing w:after="0" w:line="178" w:lineRule="exact"/>
        <w:rPr>
          <w:sz w:val="24"/>
          <w:szCs w:val="24"/>
          <w:color w:val="auto"/>
        </w:rPr>
      </w:pPr>
    </w:p>
    <w:p>
      <w:pPr>
        <w:ind w:left="10" w:right="160" w:firstLine="441"/>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0" w:right="180" w:firstLine="441"/>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0" w:right="160" w:firstLine="44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10" w:right="140" w:firstLine="44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50" w:right="128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21, 2022, there were 18,800,010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586740</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209550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192405</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10"/>
          </w:tcPr>
          <w:p>
            <w:pPr>
              <w:ind w:left="1060"/>
              <w:spacing w:after="0"/>
              <w:rPr>
                <w:sz w:val="20"/>
                <w:szCs w:val="20"/>
                <w:color w:val="auto"/>
              </w:rPr>
            </w:pPr>
            <w:r>
              <w:rPr>
                <w:rFonts w:ascii="Arial" w:cs="Arial" w:eastAsia="Arial" w:hAnsi="Arial"/>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8460" w:type="dxa"/>
            <w:vAlign w:val="bottom"/>
            <w:gridSpan w:val="25"/>
            <w:vMerge w:val="restart"/>
          </w:tcPr>
          <w:p>
            <w:pPr>
              <w:spacing w:after="0"/>
              <w:rPr>
                <w:sz w:val="20"/>
                <w:szCs w:val="20"/>
                <w:color w:val="auto"/>
              </w:rPr>
            </w:pPr>
            <w:r>
              <w:rPr>
                <w:rFonts w:ascii="Arial" w:cs="Arial" w:eastAsia="Arial" w:hAnsi="Arial"/>
                <w:sz w:val="18"/>
                <w:szCs w:val="18"/>
                <w:color w:val="0000EE"/>
              </w:rPr>
              <w:t>PART I—FINANCIAL INFORMATION</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5"/>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580" w:type="dxa"/>
            <w:vAlign w:val="bottom"/>
            <w:tcBorders>
              <w:top w:val="single" w:sz="8" w:color="0000EE"/>
              <w:bottom w:val="single" w:sz="8" w:color="0000EE"/>
            </w:tcBorders>
            <w:gridSpan w:val="7"/>
          </w:tcPr>
          <w:p>
            <w:pPr>
              <w:ind w:left="80"/>
              <w:spacing w:after="0"/>
              <w:rPr>
                <w:sz w:val="20"/>
                <w:szCs w:val="20"/>
                <w:color w:val="auto"/>
              </w:rPr>
            </w:pPr>
            <w:r>
              <w:rPr>
                <w:rFonts w:ascii="Arial" w:cs="Arial" w:eastAsia="Arial" w:hAnsi="Arial"/>
                <w:sz w:val="18"/>
                <w:szCs w:val="18"/>
                <w:color w:val="0000EE"/>
                <w:w w:val="88"/>
              </w:rPr>
              <w:t>Financial Statements</w:t>
            </w:r>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Consolidated Balance Sheets – September 30, 2022 (Unaudited) and December 31, 2021</w:t>
            </w:r>
          </w:p>
        </w:tc>
        <w:tc>
          <w:tcPr>
            <w:tcW w:w="17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0000EE"/>
                <w:w w:val="98"/>
              </w:rPr>
              <w:t>Consolidated Statements of Operations – Three and nine months ended September 30, 2022 and 2021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3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(Unaudited)</w:t>
            </w:r>
          </w:p>
        </w:tc>
        <w:tc>
          <w:tcPr>
            <w:tcW w:w="8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8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8"/>
              </w:rPr>
              <w:t>Consolidated Statements of Comprehensive Income – Three and nine months ended September 30, 2022 and</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2021 (Unaudited)</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6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Consolidated Statements of Stockholders’ Equity – Three and nine months ended September 30, 2022 and</w:t>
            </w:r>
          </w:p>
        </w:tc>
        <w:tc>
          <w:tcPr>
            <w:tcW w:w="4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2021 (Unaudited)</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0000EE"/>
                <w:w w:val="96"/>
              </w:rPr>
              <w:t>Consolidated Statements of Cash Flows – Nine months ended September 30, 2022 and 2021 (Unaudited)</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56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58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2"/>
              </w:rPr>
              <w:t>Item 2.   Management’s Discussion and Analysis of Financial Condition and Results of Operations</w:t>
            </w:r>
          </w:p>
        </w:tc>
        <w:tc>
          <w:tcPr>
            <w:tcW w:w="122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4"/>
              </w:rPr>
              <w:t>Item 3.   Quantitative and Qualitative Disclosures About Market Risk</w:t>
            </w:r>
          </w:p>
        </w:tc>
        <w:tc>
          <w:tcPr>
            <w:tcW w:w="33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4"/>
              </w:rPr>
              <w:t>Item 4.   Controls and Procedures</w:t>
            </w:r>
          </w:p>
        </w:tc>
        <w:tc>
          <w:tcPr>
            <w:tcW w:w="59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5"/>
              </w:rPr>
              <w:t>PART II—OTHER INFORMATION</w:t>
            </w:r>
          </w:p>
        </w:tc>
        <w:tc>
          <w:tcPr>
            <w:tcW w:w="58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760" w:type="dxa"/>
            <w:vAlign w:val="bottom"/>
            <w:gridSpan w:val="22"/>
          </w:tcPr>
          <w:p>
            <w:pPr>
              <w:ind w:left="80"/>
              <w:spacing w:after="0"/>
              <w:rPr>
                <w:sz w:val="20"/>
                <w:szCs w:val="20"/>
                <w:color w:val="auto"/>
              </w:rPr>
            </w:pPr>
            <w:r>
              <w:rPr>
                <w:rFonts w:ascii="Arial" w:cs="Arial" w:eastAsia="Arial" w:hAnsi="Arial"/>
                <w:sz w:val="18"/>
                <w:szCs w:val="18"/>
                <w:color w:val="0000EE"/>
              </w:rPr>
              <w:t>Legal Proceedings</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rPr>
              <w:t>Item 1A.</w:t>
            </w:r>
          </w:p>
        </w:tc>
        <w:tc>
          <w:tcPr>
            <w:tcW w:w="1020" w:type="dxa"/>
            <w:vAlign w:val="bottom"/>
            <w:tcBorders>
              <w:top w:val="single" w:sz="8" w:color="0000EE"/>
              <w:bottom w:val="single" w:sz="8" w:color="0000EE"/>
            </w:tcBorders>
            <w:gridSpan w:val="4"/>
          </w:tcPr>
          <w:p>
            <w:pPr>
              <w:ind w:left="80"/>
              <w:spacing w:after="0"/>
              <w:rPr>
                <w:sz w:val="20"/>
                <w:szCs w:val="20"/>
                <w:color w:val="auto"/>
              </w:rPr>
            </w:pPr>
            <w:r>
              <w:rPr>
                <w:rFonts w:ascii="Arial" w:cs="Arial" w:eastAsia="Arial" w:hAnsi="Arial"/>
                <w:sz w:val="18"/>
                <w:szCs w:val="18"/>
                <w:color w:val="0000EE"/>
                <w:w w:val="89"/>
              </w:rPr>
              <w:t>Risk Factors</w:t>
            </w:r>
          </w:p>
        </w:tc>
        <w:tc>
          <w:tcPr>
            <w:tcW w:w="380" w:type="dxa"/>
            <w:vAlign w:val="bottom"/>
            <w:tcBorders>
              <w:top w:val="single" w:sz="8" w:color="0000EE"/>
            </w:tcBorders>
            <w:gridSpan w:val="2"/>
          </w:tcPr>
          <w:p>
            <w:pPr>
              <w:spacing w:after="0"/>
              <w:rPr>
                <w:sz w:val="24"/>
                <w:szCs w:val="24"/>
                <w:color w:val="auto"/>
              </w:rPr>
            </w:pPr>
          </w:p>
        </w:tc>
        <w:tc>
          <w:tcPr>
            <w:tcW w:w="636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4"/>
              </w:rPr>
              <w:t>Item 3.   Defaults Upon Senior Securities</w:t>
            </w:r>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Arial" w:cs="Arial" w:eastAsia="Arial" w:hAnsi="Arial"/>
                <w:sz w:val="18"/>
                <w:szCs w:val="18"/>
                <w:color w:val="0000EE"/>
              </w:rPr>
              <w:t>Item 4.   Mine Safety Disclosures</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5.</w:t>
            </w:r>
          </w:p>
        </w:tc>
        <w:tc>
          <w:tcPr>
            <w:tcW w:w="1840" w:type="dxa"/>
            <w:vAlign w:val="bottom"/>
            <w:tcBorders>
              <w:top w:val="single" w:sz="8" w:color="0000EE"/>
            </w:tcBorders>
            <w:gridSpan w:val="8"/>
          </w:tcPr>
          <w:p>
            <w:pPr>
              <w:ind w:left="80"/>
              <w:spacing w:after="0"/>
              <w:rPr>
                <w:sz w:val="20"/>
                <w:szCs w:val="20"/>
                <w:color w:val="auto"/>
              </w:rPr>
            </w:pPr>
            <w:r>
              <w:rPr>
                <w:rFonts w:ascii="Arial" w:cs="Arial" w:eastAsia="Arial" w:hAnsi="Arial"/>
                <w:sz w:val="18"/>
                <w:szCs w:val="18"/>
                <w:color w:val="0000EE"/>
              </w:rPr>
              <w:t>Other Information</w:t>
            </w:r>
          </w:p>
        </w:tc>
        <w:tc>
          <w:tcPr>
            <w:tcW w:w="59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rPr>
              <w:t>Item 6.</w:t>
            </w:r>
          </w:p>
        </w:tc>
        <w:tc>
          <w:tcPr>
            <w:tcW w:w="680" w:type="dxa"/>
            <w:vAlign w:val="bottom"/>
            <w:tcBorders>
              <w:top w:val="single" w:sz="8" w:color="0000EE"/>
              <w:bottom w:val="single" w:sz="8" w:color="0000EE"/>
            </w:tcBorders>
            <w:gridSpan w:val="3"/>
          </w:tcPr>
          <w:p>
            <w:pPr>
              <w:ind w:left="80"/>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SIGNATURES</w:t>
            </w:r>
          </w:p>
        </w:tc>
        <w:tc>
          <w:tcPr>
            <w:tcW w:w="73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As of</w:t>
            </w:r>
          </w:p>
        </w:tc>
        <w:tc>
          <w:tcPr>
            <w:tcW w:w="1160" w:type="dxa"/>
            <w:vAlign w:val="bottom"/>
            <w:tcBorders>
              <w:bottom w:val="single" w:sz="8" w:color="auto"/>
            </w:tcBorders>
          </w:tcPr>
          <w:p>
            <w:pPr>
              <w:spacing w:after="0"/>
              <w:rPr>
                <w:sz w:val="14"/>
                <w:szCs w:val="14"/>
                <w:color w:val="auto"/>
              </w:rPr>
            </w:pPr>
          </w:p>
        </w:tc>
      </w:tr>
      <w:tr>
        <w:trPr>
          <w:trHeight w:val="191"/>
        </w:trPr>
        <w:tc>
          <w:tcPr>
            <w:tcW w:w="4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10"/>
        </w:trPr>
        <w:tc>
          <w:tcPr>
            <w:tcW w:w="49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ASSETS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Real Estate: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 at Cost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209,298</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189,589</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Building and Improvements, at Cost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377,758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325,418</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Furnishings and Equipment, at Cost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Construction in Process, at Cost</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r>
      <w:tr>
        <w:trPr>
          <w:trHeight w:val="20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Real Estate, at Cost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598,519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518,864</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Depreciation</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(31,278)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(24,169)</w:t>
            </w:r>
          </w:p>
        </w:tc>
      </w:tr>
      <w:tr>
        <w:trPr>
          <w:trHeight w:val="20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494,695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Land and Development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Assets—Net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Assets Held for Sale—See Note 24</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Alpine Income Property Trust, Inc.</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Mitigation Credits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Mitigation Credit Rights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Commercial Loans and Investments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39,095</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Restricted Cash</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22,734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Refundable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Income Taxes—Net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Assets—See Note 12</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38,536</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r>
      <w:tr>
        <w:trPr>
          <w:trHeight w:val="250"/>
        </w:trPr>
        <w:tc>
          <w:tcPr>
            <w:tcW w:w="4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845,772</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gridSpan w:val="2"/>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733,139</w:t>
            </w:r>
          </w:p>
        </w:tc>
      </w:tr>
      <w:tr>
        <w:trPr>
          <w:trHeight w:val="197"/>
        </w:trPr>
        <w:tc>
          <w:tcPr>
            <w:tcW w:w="4920" w:type="dxa"/>
            <w:vAlign w:val="bottom"/>
            <w:shd w:val="clear" w:color="auto" w:fill="CCEEFF"/>
          </w:tcPr>
          <w:p>
            <w:pPr>
              <w:ind w:left="1180"/>
              <w:spacing w:after="0" w:line="190" w:lineRule="exact"/>
              <w:rPr>
                <w:sz w:val="20"/>
                <w:szCs w:val="20"/>
                <w:color w:val="auto"/>
              </w:rPr>
            </w:pPr>
            <w:r>
              <w:rPr>
                <w:rFonts w:ascii="Arial" w:cs="Arial" w:eastAsia="Arial" w:hAnsi="Arial"/>
                <w:sz w:val="18"/>
                <w:szCs w:val="18"/>
                <w:color w:val="auto"/>
                <w:w w:val="99"/>
              </w:rPr>
              <w:t>LIABILITIES AND STOCKHOLDERS’ EQUITY</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Accrued and Other Liabilities—See Note 18</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13,121</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Revenue—See Note 19</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Intangible Lease Liabilities—Net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5,601</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Debt</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370,248</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278,273</w:t>
            </w:r>
          </w:p>
        </w:tc>
      </w:tr>
      <w:tr>
        <w:trPr>
          <w:trHeight w:val="210"/>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401,368</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302,659</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Commitments and Contingencies—See Note 22</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2"/>
        </w:trPr>
        <w:tc>
          <w:tcPr>
            <w:tcW w:w="4920" w:type="dxa"/>
            <w:vAlign w:val="bottom"/>
          </w:tcPr>
          <w:p>
            <w:pPr>
              <w:ind w:left="100"/>
              <w:spacing w:after="0" w:line="201" w:lineRule="exact"/>
              <w:rPr>
                <w:sz w:val="20"/>
                <w:szCs w:val="20"/>
                <w:color w:val="auto"/>
              </w:rPr>
            </w:pPr>
            <w:r>
              <w:rPr>
                <w:rFonts w:ascii="Arial" w:cs="Arial" w:eastAsia="Arial" w:hAnsi="Arial"/>
                <w:sz w:val="18"/>
                <w:szCs w:val="18"/>
                <w:color w:val="auto"/>
                <w:w w:val="90"/>
              </w:rPr>
              <w:t>Preferred Stock – 100,000,000 shares authorized; $0.01 par value,</w:t>
            </w:r>
          </w:p>
        </w:tc>
        <w:tc>
          <w:tcPr>
            <w:tcW w:w="1440" w:type="dxa"/>
            <w:vAlign w:val="bottom"/>
            <w:gridSpan w:val="2"/>
          </w:tcPr>
          <w:p>
            <w:pPr>
              <w:jc w:val="right"/>
              <w:ind w:right="301"/>
              <w:spacing w:after="0" w:line="201" w:lineRule="exact"/>
              <w:rPr>
                <w:sz w:val="20"/>
                <w:szCs w:val="20"/>
                <w:color w:val="auto"/>
              </w:rPr>
            </w:pPr>
            <w:r>
              <w:rPr>
                <w:rFonts w:ascii="Arial" w:cs="Arial" w:eastAsia="Arial" w:hAnsi="Arial"/>
                <w:sz w:val="18"/>
                <w:szCs w:val="18"/>
                <w:color w:val="auto"/>
                <w:w w:val="88"/>
              </w:rPr>
              <w:t>6.375% Series</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360" w:type="dxa"/>
            <w:vAlign w:val="bottom"/>
            <w:gridSpan w:val="3"/>
          </w:tcPr>
          <w:p>
            <w:pPr>
              <w:ind w:left="100"/>
              <w:spacing w:after="0"/>
              <w:rPr>
                <w:sz w:val="20"/>
                <w:szCs w:val="20"/>
                <w:color w:val="auto"/>
              </w:rPr>
            </w:pPr>
            <w:r>
              <w:rPr>
                <w:rFonts w:ascii="Arial" w:cs="Arial" w:eastAsia="Arial" w:hAnsi="Arial"/>
                <w:sz w:val="18"/>
                <w:szCs w:val="18"/>
                <w:color w:val="auto"/>
              </w:rPr>
              <w:t>A Cumulative Redeemable Preferred Stock, $25.00 Per Share Liquidation</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360" w:type="dxa"/>
            <w:vAlign w:val="bottom"/>
            <w:gridSpan w:val="3"/>
          </w:tcPr>
          <w:p>
            <w:pPr>
              <w:ind w:left="100"/>
              <w:spacing w:after="0"/>
              <w:rPr>
                <w:sz w:val="20"/>
                <w:szCs w:val="20"/>
                <w:color w:val="auto"/>
              </w:rPr>
            </w:pPr>
            <w:r>
              <w:rPr>
                <w:rFonts w:ascii="Arial" w:cs="Arial" w:eastAsia="Arial" w:hAnsi="Arial"/>
                <w:sz w:val="18"/>
                <w:szCs w:val="18"/>
                <w:color w:val="auto"/>
                <w:w w:val="95"/>
              </w:rPr>
              <w:t>Preference, 3,000,000 shares issued and outstanding at September 30, 2022 and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920" w:type="dxa"/>
            <w:vAlign w:val="bottom"/>
          </w:tcPr>
          <w:p>
            <w:pPr>
              <w:ind w:left="100"/>
              <w:spacing w:after="0"/>
              <w:rPr>
                <w:sz w:val="20"/>
                <w:szCs w:val="20"/>
                <w:color w:val="auto"/>
              </w:rPr>
            </w:pPr>
            <w:r>
              <w:rPr>
                <w:rFonts w:ascii="Arial" w:cs="Arial" w:eastAsia="Arial" w:hAnsi="Arial"/>
                <w:sz w:val="18"/>
                <w:szCs w:val="18"/>
                <w:color w:val="auto"/>
              </w:rPr>
              <w:t>December 31, 2021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63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Common Stock – 500,000,000 shares authorized; $0.01 par value, 18,796,612</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shares issued and outstanding at September 30, 2022 and 17,748,678 shares issued</w:t>
            </w: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at December 31, 2021</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85,414</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343,459</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Other Comprehensive Income</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r>
      <w:tr>
        <w:trPr>
          <w:trHeight w:val="210"/>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444,404</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430,480</w:t>
            </w:r>
          </w:p>
        </w:tc>
      </w:tr>
      <w:tr>
        <w:trPr>
          <w:trHeight w:val="209"/>
        </w:trPr>
        <w:tc>
          <w:tcPr>
            <w:tcW w:w="492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845,772</w:t>
            </w: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733,139</w:t>
            </w:r>
          </w:p>
        </w:tc>
      </w:tr>
      <w:tr>
        <w:trPr>
          <w:trHeight w:val="20"/>
        </w:trPr>
        <w:tc>
          <w:tcPr>
            <w:tcW w:w="4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and per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30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17,694</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13,734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49,229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80"/>
              <w:spacing w:after="0" w:line="201" w:lineRule="exact"/>
              <w:rPr>
                <w:sz w:val="20"/>
                <w:szCs w:val="20"/>
                <w:color w:val="auto"/>
              </w:rPr>
            </w:pPr>
            <w:r>
              <w:rPr>
                <w:rFonts w:ascii="Arial" w:cs="Arial" w:eastAsia="Arial" w:hAnsi="Arial"/>
                <w:sz w:val="18"/>
                <w:szCs w:val="18"/>
                <w:color w:val="auto"/>
                <w:w w:val="97"/>
              </w:rPr>
              <w:t>Interest Income From Commercial Loans and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Revenues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Total Direct Cost of Revenues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Gains and Income</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Total Operating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(Loss)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Income Before Income Tax Benefit (Expense)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Attributable to the Company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Distributions to Preferred Stockholders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Net Income Attributable to Common</w:t>
            </w:r>
          </w:p>
        </w:tc>
        <w:tc>
          <w:tcPr>
            <w:tcW w:w="40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3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3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3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Stockholders</w:t>
            </w:r>
          </w:p>
        </w:tc>
        <w:tc>
          <w:tcPr>
            <w:tcW w:w="40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Information—See Note 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80"/>
              <w:spacing w:after="0" w:line="201" w:lineRule="exact"/>
              <w:rPr>
                <w:sz w:val="20"/>
                <w:szCs w:val="20"/>
                <w:color w:val="auto"/>
              </w:rPr>
            </w:pPr>
            <w:r>
              <w:rPr>
                <w:rFonts w:ascii="Arial" w:cs="Arial" w:eastAsia="Arial" w:hAnsi="Arial"/>
                <w:sz w:val="18"/>
                <w:szCs w:val="18"/>
                <w:color w:val="auto"/>
              </w:rPr>
              <w:t>Basic Net Income Attributable to Common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Stockholders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Diluted Net Income Attributable to Common</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Stockholders</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Common Shares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18,386,435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17,703,284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18,044,299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17,678,701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21,505,460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17,703,284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18,044,299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17,678,701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80" w:type="dxa"/>
            <w:vAlign w:val="bottom"/>
            <w:gridSpan w:val="3"/>
          </w:tcPr>
          <w:p>
            <w:pPr>
              <w:ind w:left="18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36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0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36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Cash Flow Hedging Derivative - Interest Rate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Swaps</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15,933</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09"/>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r>
      <w:tr>
        <w:trPr>
          <w:trHeight w:val="209"/>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r>
      <w:tr>
        <w:trPr>
          <w:trHeight w:val="20"/>
        </w:trPr>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September 30, 2022:</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Preferred</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Treasury</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9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3"/>
              </w:rPr>
              <w:t>Comprehensive Stockholders'</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July 1, 2022</w:t>
            </w: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86,347</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332,916</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12,140</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431,494</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4,817</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Three-for-One Stock Split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(1,644)</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Exercise of Stock Options and Stock Issuance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Stock Issuance, Net of Equity Issuance Costs</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12,082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12,088</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(1,195)</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(7,221)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(7,221)</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5,310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5,310</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September 30, 2022</w:t>
            </w: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97,419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329,317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444,404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September 30, 2021: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Preferred</w:t>
            </w: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Treasury</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9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3"/>
              </w:rPr>
              <w:t>Comprehensive Stockholders'</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July 1, 2021</w:t>
            </w: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13,676</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331,895</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(740)</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344,891</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23,947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23,947</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Preferred Stock, Net of Underwriting</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and Expenses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72,640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72,670</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line="130" w:lineRule="exact"/>
              <w:rPr>
                <w:sz w:val="20"/>
                <w:szCs w:val="20"/>
                <w:color w:val="auto"/>
              </w:rPr>
            </w:pPr>
            <w:r>
              <w:rPr>
                <w:rFonts w:ascii="Arial" w:cs="Arial" w:eastAsia="Arial" w:hAnsi="Arial"/>
                <w:sz w:val="14"/>
                <w:szCs w:val="14"/>
                <w:color w:val="auto"/>
              </w:rPr>
              <w:t>Exercise of Stock Options and Common Stock</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Arial" w:cs="Arial" w:eastAsia="Arial" w:hAnsi="Arial"/>
                <w:sz w:val="14"/>
                <w:szCs w:val="14"/>
                <w:color w:val="auto"/>
              </w:rPr>
              <w:t>Issuance</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(1,129)</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(6,032)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(6,032)</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September 30, 2021</w:t>
            </w: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86,899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348,681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435,147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nine months ended September 30, 2022:</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Preferred</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Treasury</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9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3"/>
              </w:rPr>
              <w:t>Comprehensive Stockholders'</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2022</w:t>
            </w: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85,414</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343,459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1,517</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430,480</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6,237</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Three-for-One Stock Split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line="130" w:lineRule="exact"/>
              <w:rPr>
                <w:sz w:val="20"/>
                <w:szCs w:val="20"/>
                <w:color w:val="auto"/>
              </w:rPr>
            </w:pPr>
            <w:r>
              <w:rPr>
                <w:rFonts w:ascii="Arial" w:cs="Arial" w:eastAsia="Arial" w:hAnsi="Arial"/>
                <w:sz w:val="14"/>
                <w:szCs w:val="14"/>
                <w:color w:val="auto"/>
                <w:w w:val="97"/>
              </w:rPr>
              <w:t>Adjustment to Equity Component of Convertible Debt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Arial" w:cs="Arial" w:eastAsia="Arial" w:hAnsi="Arial"/>
                <w:sz w:val="14"/>
                <w:szCs w:val="14"/>
                <w:color w:val="auto"/>
              </w:rPr>
              <w:t>Upon Adoption of ASU 2020-06</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(7,034)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(3,012)</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(2,791)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(845)</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Exercise of Stock Options and Stock Issuance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Stock Issuance, Net of Equity Issuance Costs</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20,560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20,567</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(3,586)</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(20,815)</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15,933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15,933</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September 30, 2022</w:t>
            </w: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97,419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329,317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444,404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nine months ended September 30, 2021: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Preferred</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9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3"/>
              </w:rPr>
              <w:t>Comprehensive Stockholders'</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Earnings</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2021</w:t>
            </w: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7,250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(77,541)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83,183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339,917</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(1,910)</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350,899</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line="130" w:lineRule="exact"/>
              <w:rPr>
                <w:sz w:val="20"/>
                <w:szCs w:val="20"/>
                <w:color w:val="auto"/>
              </w:rPr>
            </w:pPr>
            <w:r>
              <w:rPr>
                <w:rFonts w:ascii="Arial" w:cs="Arial" w:eastAsia="Arial" w:hAnsi="Arial"/>
                <w:sz w:val="14"/>
                <w:szCs w:val="14"/>
                <w:color w:val="auto"/>
              </w:rPr>
              <w:t>Issuance of Preferred Stock, Net of Underwriting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Arial" w:cs="Arial" w:eastAsia="Arial" w:hAnsi="Arial"/>
                <w:sz w:val="14"/>
                <w:szCs w:val="14"/>
                <w:color w:val="auto"/>
              </w:rPr>
              <w:t>Discount and Expenses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72,409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72,439</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Exercise of Stock Options and Common Stock</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Equity Issuance Costs</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line="130" w:lineRule="exact"/>
              <w:rPr>
                <w:sz w:val="20"/>
                <w:szCs w:val="20"/>
                <w:color w:val="auto"/>
              </w:rPr>
            </w:pPr>
            <w:r>
              <w:rPr>
                <w:rFonts w:ascii="Arial" w:cs="Arial" w:eastAsia="Arial" w:hAnsi="Arial"/>
                <w:sz w:val="14"/>
                <w:szCs w:val="14"/>
                <w:color w:val="auto"/>
              </w:rPr>
              <w:t>Par Value $0.01 per Share and Treasury Stock</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Arial" w:cs="Arial" w:eastAsia="Arial" w:hAnsi="Arial"/>
                <w:sz w:val="14"/>
                <w:szCs w:val="14"/>
                <w:color w:val="auto"/>
              </w:rPr>
              <w:t>Derecognized at January 29, 2021</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(7,190)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77,541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(70,351)</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(18,115)</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(18,115)</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142"/>
        </w:trPr>
        <w:tc>
          <w:tcPr>
            <w:tcW w:w="3240" w:type="dxa"/>
            <w:vAlign w:val="bottom"/>
          </w:tcPr>
          <w:p>
            <w:pPr>
              <w:ind w:left="20"/>
              <w:spacing w:after="0" w:line="142" w:lineRule="exact"/>
              <w:rPr>
                <w:sz w:val="20"/>
                <w:szCs w:val="20"/>
                <w:color w:val="auto"/>
              </w:rPr>
            </w:pPr>
            <w:r>
              <w:rPr>
                <w:rFonts w:ascii="Arial" w:cs="Arial" w:eastAsia="Arial" w:hAnsi="Arial"/>
                <w:sz w:val="14"/>
                <w:szCs w:val="14"/>
                <w:color w:val="auto"/>
              </w:rPr>
              <w:t>Balance September 30, 2021</w:t>
            </w: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86,899</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348,681</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(523)</w:t>
            </w: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435,147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5"/>
          </w:tcPr>
          <w:p>
            <w:pPr>
              <w:ind w:left="7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3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September 30, 2022</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 Attributable to the Company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6,237</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20" w:type="dxa"/>
            <w:vAlign w:val="bottom"/>
          </w:tcPr>
          <w:p>
            <w:pPr>
              <w:spacing w:after="0"/>
              <w:rPr>
                <w:sz w:val="12"/>
                <w:szCs w:val="12"/>
                <w:color w:val="auto"/>
              </w:rPr>
            </w:pPr>
          </w:p>
        </w:tc>
      </w:tr>
      <w:tr>
        <w:trPr>
          <w:trHeight w:val="130"/>
        </w:trPr>
        <w:tc>
          <w:tcPr>
            <w:tcW w:w="594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Adjustments to Reconcile Net Income Attributable to the Company to Net Cash Provided by</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20,401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15,428</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Liabilities to Income Property Revenue</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444</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Discount on Convertible Debt</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Gain on Disposition of Assets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(3,921)</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(28,106)</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Gain on Disposition of Commercial Loans and Investments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641</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16,527</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Accretion of Commercial Loans and Investments Origination Fees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Imputed Interest</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(544)</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(3,736)</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(Gain) Loss on Investment Securities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(6,894)</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2,423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2,434</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Decrease (Increase) in Assets: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Assets Held for Sale</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Land and Development Costs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Mitigation Credits and Mitigation Credit Rights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(16,007)</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(7,895)</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Increase in Liabilities: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1,084</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and Other Liabilities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3,800</w:t>
            </w:r>
          </w:p>
        </w:tc>
        <w:tc>
          <w:tcPr>
            <w:tcW w:w="20" w:type="dxa"/>
            <w:vAlign w:val="bottom"/>
          </w:tcPr>
          <w:p>
            <w:pPr>
              <w:spacing w:after="0"/>
              <w:rPr>
                <w:sz w:val="12"/>
                <w:szCs w:val="12"/>
                <w:color w:val="auto"/>
              </w:rPr>
            </w:pPr>
          </w:p>
        </w:tc>
      </w:tr>
      <w:tr>
        <w:trPr>
          <w:trHeight w:val="149"/>
        </w:trPr>
        <w:tc>
          <w:tcPr>
            <w:tcW w:w="5940" w:type="dxa"/>
            <w:vAlign w:val="bottom"/>
            <w:tcBorders>
              <w:bottom w:val="single" w:sz="8" w:color="CCEEFF"/>
            </w:tcBorders>
            <w:gridSpan w:val="2"/>
          </w:tcPr>
          <w:p>
            <w:pPr>
              <w:ind w:left="1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34,080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12,365</w:t>
            </w:r>
          </w:p>
        </w:tc>
        <w:tc>
          <w:tcPr>
            <w:tcW w:w="20" w:type="dxa"/>
            <w:vAlign w:val="bottom"/>
          </w:tcPr>
          <w:p>
            <w:pPr>
              <w:spacing w:after="0"/>
              <w:rPr>
                <w:sz w:val="12"/>
                <w:szCs w:val="12"/>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Real Estate and Intangible Lease Assets and Liabilities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(112,843)</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(115,780)</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Commercial Loans and Investments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(50,130)</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 Balance Received in Acquisition of Interest in Joint Venture</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Contribution to Joint Ventures</w:t>
            </w:r>
          </w:p>
        </w:tc>
        <w:tc>
          <w:tcPr>
            <w:tcW w:w="8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Disposition of Property, Plant, and Equipment, Net, and Assets Held for Sale</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108,449</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Principal Payments Received on Commercial Loans and Investments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44,079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Investment Securities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(2,253)</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(80,370)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(7,739)</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218,500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156,500</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(147,000)</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(171,308)</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(2,610)</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Exercise of Stock Options and Common Stock Issuance</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Issuance of Preferred Stock, Net of Underwriting Discount and Expenses</w:t>
            </w:r>
          </w:p>
        </w:tc>
        <w:tc>
          <w:tcPr>
            <w:tcW w:w="8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72,439</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Used to Purchase Common Stock</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Vesting of Restricted Stock</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(845)</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(Cash Paid for) Issuance of Common Stock, Net</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Dividends Paid - Preferred Stock</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(3,586)</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(1,129)</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 - Common Stock</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(20,292)</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(17,700)</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61,765</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37,100</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in Cash, Cash Equivalents and Restricted Cash</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15,475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41,726</w:t>
            </w:r>
          </w:p>
        </w:tc>
        <w:tc>
          <w:tcPr>
            <w:tcW w:w="20" w:type="dxa"/>
            <w:vAlign w:val="bottom"/>
          </w:tcPr>
          <w:p>
            <w:pPr>
              <w:spacing w:after="0"/>
              <w:rPr>
                <w:sz w:val="12"/>
                <w:szCs w:val="12"/>
                <w:color w:val="auto"/>
              </w:rPr>
            </w:pPr>
          </w:p>
        </w:tc>
      </w:tr>
      <w:tr>
        <w:trPr>
          <w:trHeight w:val="148"/>
        </w:trPr>
        <w:tc>
          <w:tcPr>
            <w:tcW w:w="594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Cash Equivalents and Restricted Cash, Beginning of Period</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31,349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33,825</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46,824</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75,551</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Reconciliation of Cash to the Consolidated Balance Sheets:</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2" w:lineRule="exact"/>
              <w:rPr>
                <w:sz w:val="20"/>
                <w:szCs w:val="20"/>
                <w:color w:val="auto"/>
              </w:rPr>
            </w:pPr>
            <w:r>
              <w:rPr>
                <w:rFonts w:ascii="Arial" w:cs="Arial" w:eastAsia="Arial" w:hAnsi="Arial"/>
                <w:sz w:val="14"/>
                <w:szCs w:val="14"/>
                <w:color w:val="auto"/>
              </w:rPr>
              <w:t>9,532</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2" w:lineRule="exact"/>
              <w:rPr>
                <w:sz w:val="20"/>
                <w:szCs w:val="20"/>
                <w:color w:val="auto"/>
              </w:rPr>
            </w:pPr>
            <w:r>
              <w:rPr>
                <w:rFonts w:ascii="Arial" w:cs="Arial" w:eastAsia="Arial" w:hAnsi="Arial"/>
                <w:sz w:val="14"/>
                <w:szCs w:val="14"/>
                <w:color w:val="auto"/>
              </w:rPr>
              <w:t>7,005</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37,292</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68,546</w:t>
            </w:r>
          </w:p>
        </w:tc>
        <w:tc>
          <w:tcPr>
            <w:tcW w:w="20" w:type="dxa"/>
            <w:vAlign w:val="bottom"/>
          </w:tcPr>
          <w:p>
            <w:pPr>
              <w:spacing w:after="0"/>
              <w:rPr>
                <w:sz w:val="12"/>
                <w:szCs w:val="12"/>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46,824</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75,551</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2"/>
                <w:szCs w:val="12"/>
                <w:color w:val="auto"/>
              </w:rPr>
            </w:pPr>
          </w:p>
        </w:tc>
        <w:tc>
          <w:tcPr>
            <w:tcW w:w="13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1"/>
              </w:rPr>
              <w:t>September 30, 2021</w:t>
            </w:r>
          </w:p>
        </w:tc>
      </w:tr>
      <w:tr>
        <w:trPr>
          <w:trHeight w:val="142"/>
        </w:trPr>
        <w:tc>
          <w:tcPr>
            <w:tcW w:w="59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Paid for Taxes, Net of Refunds Received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Cash Paid for Interest </w:t>
            </w:r>
            <w:r>
              <w:rPr>
                <w:rFonts w:ascii="Arial" w:cs="Arial" w:eastAsia="Arial" w:hAnsi="Arial"/>
                <w:sz w:val="17"/>
                <w:szCs w:val="1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4,986</w:t>
            </w:r>
          </w:p>
        </w:tc>
      </w:tr>
      <w:tr>
        <w:trPr>
          <w:trHeight w:val="149"/>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Gain on Cash Flow Hedges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15,933</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1,387</w:t>
            </w: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 to Equity Component of Convertible Debt Upon Adoption of ASU 2020-06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 Dividends Declared and Unpaid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415</w:t>
            </w:r>
          </w:p>
        </w:tc>
      </w:tr>
      <w:tr>
        <w:trPr>
          <w:trHeight w:val="149"/>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Assumption of Mortgage Note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r>
      <w:tr>
        <w:trPr>
          <w:trHeight w:val="115"/>
        </w:trPr>
        <w:tc>
          <w:tcPr>
            <w:tcW w:w="224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62" w:lineRule="exact"/>
        <w:rPr>
          <w:sz w:val="20"/>
          <w:szCs w:val="20"/>
          <w:color w:val="auto"/>
        </w:rPr>
      </w:pPr>
    </w:p>
    <w:p>
      <w:pPr>
        <w:ind w:left="380" w:right="79" w:hanging="330"/>
        <w:spacing w:after="0" w:line="181" w:lineRule="auto"/>
        <w:tabs>
          <w:tab w:leader="none" w:pos="38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Includes capitalized interest of $0.1 million during the nine months ended September 30, 2022, with no interest capitalized during the nine months ended September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We are a publicly traded, primarily retail-focused, real estate investment trust (“REIT”) that was founded in 1910. We own and manage, sometimes utilizing third-party property management companies, 18 commercial real estate properties in nine states in the United States. As of September 30, 2022, we owned five single-tenant and 13 multi-tenant income-producing properties comprising 2.7 million square feet of gross leasable space. Subsequent to September 30, 2022, on October 14, 2022, the Company acquired a 0.4 million square feet property as further described in Note 25, “Subsequent Events”.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addition to our income property portfolio, as of September 30, 2022, our business included the following:</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ind w:left="840" w:right="79" w:hanging="33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Alpine Income Property Trust, Inc. (“PINE”), see Note 5, “Related Party Management Services Business”.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Loans and Investments:</w:t>
      </w:r>
    </w:p>
    <w:p>
      <w:pPr>
        <w:spacing w:after="0" w:line="225" w:lineRule="exact"/>
        <w:rPr>
          <w:sz w:val="20"/>
          <w:szCs w:val="20"/>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portfolio of five commercial loan investments and one preferred equity investment which is classified as a commercial loan investment.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355,000 surface acres in 19 counties in the State of Florida (“Subsurface Interests”); and</w:t>
      </w:r>
    </w:p>
    <w:p>
      <w:pPr>
        <w:spacing w:after="0" w:line="170" w:lineRule="exact"/>
        <w:rPr>
          <w:rFonts w:ascii="Arial" w:cs="Arial" w:eastAsia="Arial" w:hAnsi="Arial"/>
          <w:sz w:val="18"/>
          <w:szCs w:val="18"/>
          <w:color w:val="auto"/>
        </w:rPr>
      </w:pPr>
    </w:p>
    <w:p>
      <w:pPr>
        <w:jc w:val="both"/>
        <w:ind w:left="840" w:right="79" w:hanging="331"/>
        <w:spacing w:after="0" w:line="291"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(hereinafter defined in Note 7, “Investment in Joint Ventures”) completed on September 30, 2021, the Company held a 30% retained interest in the entity that owns the Mitigation Bank.</w:t>
      </w:r>
    </w:p>
    <w:p>
      <w:pPr>
        <w:spacing w:after="0" w:line="166"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Our business also includes our investment in PINE. As of September 30, 2022, the fair value of our investment totaled $35.3 million, or 16.0%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Information</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 xml:space="preserve">As further described in Note 13, “Equity”, the Company completed a three-for-one stock split of the Company’s common stock effective July 1, 2022. Pursuant to FASB ASC Topic 505, </w:t>
      </w:r>
      <w:r>
        <w:rPr>
          <w:rFonts w:ascii="Arial" w:cs="Arial" w:eastAsia="Arial" w:hAnsi="Arial"/>
          <w:sz w:val="18"/>
          <w:szCs w:val="18"/>
          <w:i w:val="1"/>
          <w:iCs w:val="1"/>
          <w:color w:val="auto"/>
        </w:rPr>
        <w:t>Equity</w:t>
      </w:r>
      <w:r>
        <w:rPr>
          <w:rFonts w:ascii="Arial" w:cs="Arial" w:eastAsia="Arial" w:hAnsi="Arial"/>
          <w:sz w:val="18"/>
          <w:szCs w:val="18"/>
          <w:color w:val="auto"/>
        </w:rPr>
        <w:t>, the Company has adjusted the computations of basic and diluted earnings per share retroactively for all periods presented.</w:t>
      </w:r>
    </w:p>
    <w:p>
      <w:pPr>
        <w:spacing w:after="0" w:line="184"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2021,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78"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2022 are not necessarily indicative of results to be expected for the year ending December 31,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September 30, 2022, the Company has an equity investment in PINE.</w:t>
      </w:r>
    </w:p>
    <w:p>
      <w:pPr>
        <w:spacing w:after="0" w:line="176"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Prior to the Interest Purchase (hereinafter defined in Note 7, “Investment in Joint Ventures”) completed on September 30, 2021, the Company held a 30% retained interest in the entity that owns the Mitigation Bank. Additionally, the Company held a 33.5% retained interest in the entity that held approximately 1,600 acres of undeveloped land in Daytona Beach, Florida (the “Land JV”) prior the sale of all of its remaining land holdings, which sale was completed on December 10, 2021, for $66.3 million to Timberline Acquisition Partners, LLC an affiliate of Timberline Real Estate Partners (the “Land JV Sale”).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i w:val="1"/>
          <w:iCs w:val="1"/>
          <w:color w:val="auto"/>
        </w:rPr>
        <w:t xml:space="preserve">Cessation of LIBOR. </w:t>
      </w:r>
      <w:r>
        <w:rPr>
          <w:rFonts w:ascii="Arial" w:cs="Arial" w:eastAsia="Arial" w:hAnsi="Arial"/>
          <w:sz w:val="16"/>
          <w:szCs w:val="16"/>
          <w:color w:val="auto"/>
        </w:rPr>
        <w:t>In January 2021, the Financial Accounting Standards Board (“FASB”) issued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Update (“ASU”) 2021-01 which is in response to concerns about structural 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that its interest rate swaps, hereinafter described in Note 17, “Interest Rate Swaps”, meet the scope of Topic 848-</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10-15-3A and therefore, the Company will be able to continue to apply a perfectly effective assessment method for each interest rate swap by electing the corresponding optional expedient for subsequent assessments.</w:t>
      </w:r>
    </w:p>
    <w:p>
      <w:pPr>
        <w:spacing w:after="0" w:line="170"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i w:val="1"/>
          <w:iCs w:val="1"/>
          <w:color w:val="auto"/>
        </w:rPr>
        <w:t xml:space="preserve">Debt with Conversion and Other Options. </w:t>
      </w:r>
      <w:r>
        <w:rPr>
          <w:rFonts w:ascii="Arial" w:cs="Arial" w:eastAsia="Arial" w:hAnsi="Arial"/>
          <w:sz w:val="17"/>
          <w:szCs w:val="17"/>
          <w:color w:val="auto"/>
        </w:rPr>
        <w:t>In August 2020, the FASB issued ASU 2020-06 related to simplifying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Effective January 1, 2022, the Company adopted ASU 2020-06 whereby diluted EPS includes the dilutive impact, if any, of the 2025 Notes (hereinafter defined) using the if-converted method. Further, the Company elected, upon adoption, to utilize the modified retrospective approach, negating the required restatement of EPS for periods prior to adoption.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includes cash on hand, bank demand accounts, and money market accounts having original maturities of 90 days or less. The Company’s bank balances as of September 30, 2022 and December 31, 2021 include certain amounts over the Federal Deposit Insurance Corporation limits.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Restricted cash totaled $37.3 million at September 30, 2022, of which $35.1 million is being held in various escrow accounts to be reinvested through the like-kind exchange structure into other income properties, $0.6 million is being held in an escrow account in connection with the Mitigation Bank as required by the applicable state and federal permitting authorities, $1.3 million is being held in three interest reserve accounts related to the Company’s commercial loans and investments, and the remaining $0.3 million is being held in various escrow accounts related to certain tenant improvements.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 and Hedging Activity</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The Company accounts for its cash flow hedging derivatives in accordance with FASB ASC Topic 815-20,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Depending upon the hedge’s value at each balance sheet date, the derivatives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8"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71"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17,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The carrying amounts of the Company’s financial assets and liabilities including cash and cash equivalents, restricted cash, accounts receivable, accounts payable, and accrued and other liabilities at September 30, 2022 and December 31, 2021, approximate fair value because of the short maturity of these instruments. The carrying value of the Company’s Credit Facility (hereinafter defined) as of September 30, 2022 and December 31, 2021,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September 30, 2022 and December 31, 2021 are measured at fair value based on current market rates for financial instruments with similar risks and maturities (see Note 9, “Fair Value of Financial Instruments”).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76" w:lineRule="exact"/>
        <w:rPr>
          <w:sz w:val="20"/>
          <w:szCs w:val="20"/>
          <w:color w:val="auto"/>
        </w:rPr>
      </w:pPr>
    </w:p>
    <w:p>
      <w:pPr>
        <w:ind w:left="840" w:hanging="33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17"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Recognition of Interest Income from Commercial Loans and Investments</w:t>
      </w:r>
    </w:p>
    <w:p>
      <w:pPr>
        <w:spacing w:after="0" w:line="225"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Mitigation Credits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$1.6 million and $0.9 million as of September 30, 2022 and December 31, 2021, respectively. The $0.7 million increase is primarily attributable to an increase in estimated accrued receivables for variable lease payments including common area maintenance, insurance, real estate taxes and other operating expenses.</w:t>
      </w:r>
    </w:p>
    <w:p>
      <w:pPr>
        <w:spacing w:after="0" w:line="161"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Accounts receivable related to real estate operations, which are classified in other assets on the consolidated balance sheets, totaled $1.1 million as of September 30, 2022 and December 31, 2021. The accounts receivable as of September 30, 2022 and December 31, 2021 are primarily related to the reimbursement of certain infrastructure costs completed by the Company in conjunction with two land sale transactions that closed during the fourth quarter of 2015 as more fully described in Note 12, “Other Assets.”</w:t>
      </w:r>
    </w:p>
    <w:p>
      <w:pPr>
        <w:spacing w:after="0" w:line="18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September 30, 2022 and December 31, 2021, $0.2 million and $0.3 million, respectively, was due from the buyer of the golf operations for the rounds surcharge the Company paid to the City of Daytona Beach.</w:t>
      </w:r>
    </w:p>
    <w:p>
      <w:pPr>
        <w:spacing w:after="0" w:line="170"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 xml:space="preserve">The collectability of the aforementioned receivables shall be considered and adjusted through an allowance for credit losses pursuant to ASC 326,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As of September 30, 2022 and December 31, 2021, the Company recorded an allowance for doubtful accounts of $1.3 million and $0.5 million,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Arial" w:cs="Arial" w:eastAsia="Arial" w:hAnsi="Arial"/>
          <w:sz w:val="16"/>
          <w:szCs w:val="16"/>
          <w:i w:val="1"/>
          <w:iCs w:val="1"/>
          <w:color w:val="auto"/>
        </w:rPr>
        <w:t>Business Combinations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(Topic 805):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of Real Estate</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8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Gains and losses on land sales, in addition to the sale of Subsurface Interests and mitigation credits, are accounted for as required by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187"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21,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INCOME PROPERTIES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and reimbursements from tenants for common area maintenance, insurance, real estate taxes, and other operating expenses.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8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28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13,556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38,760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30,743</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rPr>
              <w:t>Total Leasing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36,757</w:t>
            </w: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Minimum future base rental receipts under non-cancelable operating leases, excluding percentage rent and other lease payments that are not fixed and determinable, having remaining terms in excess of one year subsequent to September 30, 2022, are summarized as follows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0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14,245</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53,054</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49,860</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44,278</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37,054</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 and Thereafter (Cumulative)</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117,490</w:t>
            </w:r>
          </w:p>
        </w:tc>
      </w:tr>
      <w:tr>
        <w:trPr>
          <w:trHeight w:val="20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367,339</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 xml:space="preserve">2022 Acquisitions. </w:t>
      </w:r>
      <w:r>
        <w:rPr>
          <w:rFonts w:ascii="Arial" w:cs="Arial" w:eastAsia="Arial" w:hAnsi="Arial"/>
          <w:sz w:val="18"/>
          <w:szCs w:val="18"/>
          <w:color w:val="auto"/>
        </w:rPr>
        <w:t>During the nine months ended September 30, 2022, the Company acquired two multi-tenant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properties for an aggregate purchase price of $119.3 million, or a total acquisition cost of $119.7 million, as follows:</w:t>
      </w:r>
    </w:p>
    <w:p>
      <w:pPr>
        <w:spacing w:after="0" w:line="76" w:lineRule="exact"/>
        <w:rPr>
          <w:sz w:val="20"/>
          <w:szCs w:val="20"/>
          <w:color w:val="auto"/>
        </w:rPr>
      </w:pPr>
    </w:p>
    <w:p>
      <w:pPr>
        <w:jc w:val="both"/>
        <w:ind w:left="1160" w:right="79" w:hanging="327"/>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Plaza Shopping Center, a multi-tenant income property located in Katy, Texas for a purchase price of $39.1 million, or a total acquisition cost of $39.2 million including capitalized acquisition costs. Price Plaza Shopping Center comprises 205,813 square feet, was 95% leased at acquisition, and had a weighted average remaining lease term of 5.7 years at acquisition. In connection with the acquisition of Price Plaza Shopping Center, the company assumed a $17.8 million fixed-rate mortgage note, as further discussed in Note 16, “Long-Term Debt.”</w:t>
      </w:r>
    </w:p>
    <w:p>
      <w:pPr>
        <w:spacing w:after="0" w:line="84" w:lineRule="exact"/>
        <w:rPr>
          <w:rFonts w:ascii="Arial" w:cs="Arial" w:eastAsia="Arial" w:hAnsi="Arial"/>
          <w:sz w:val="18"/>
          <w:szCs w:val="18"/>
          <w:color w:val="auto"/>
        </w:rPr>
      </w:pPr>
    </w:p>
    <w:p>
      <w:pPr>
        <w:jc w:val="both"/>
        <w:ind w:left="1160" w:right="79" w:hanging="327"/>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Madison Yards, a multi-tenant grocery-anchored income property located in Atlanta, Georgia for a purchase price of $80.2 million, or a total acquisition cost of $80.5 million including capitalized acquisition costs. Madison Yards comprises 162,500 square feet, was 98% leased at acquisition, and had a weighted average remaining lease term of 10.4 years at acquisition.</w:t>
      </w:r>
    </w:p>
    <w:p>
      <w:pPr>
        <w:spacing w:after="0" w:line="187" w:lineRule="exact"/>
        <w:rPr>
          <w:sz w:val="20"/>
          <w:szCs w:val="20"/>
          <w:color w:val="auto"/>
        </w:rPr>
      </w:pPr>
    </w:p>
    <w:p>
      <w:pPr>
        <w:jc w:val="both"/>
        <w:ind w:left="60" w:right="79" w:firstLine="441"/>
        <w:spacing w:after="0" w:line="301" w:lineRule="auto"/>
        <w:rPr>
          <w:sz w:val="20"/>
          <w:szCs w:val="20"/>
          <w:color w:val="auto"/>
        </w:rPr>
      </w:pPr>
      <w:r>
        <w:rPr>
          <w:rFonts w:ascii="Arial" w:cs="Arial" w:eastAsia="Arial" w:hAnsi="Arial"/>
          <w:sz w:val="16"/>
          <w:szCs w:val="16"/>
          <w:color w:val="auto"/>
        </w:rPr>
        <w:t>Of the aggregate $119.7 million total acquisition cost, $35.4 million was allocated to land, $65.9 million was allocated to buildings and improvements, and $19.7 million was allocated to intangible assets pertaining to the in-place lease value, leasing costs, and above market lease value and $1.3 million was allocated to intangible liabilities for the below market lease value. The amortization period for the intangible assets and liabilities was 9.0 years at acquisition.</w:t>
      </w:r>
    </w:p>
    <w:p>
      <w:pPr>
        <w:spacing w:after="0" w:line="157"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i w:val="1"/>
          <w:iCs w:val="1"/>
          <w:color w:val="auto"/>
        </w:rPr>
        <w:t xml:space="preserve">2022 Dispositions. </w:t>
      </w:r>
      <w:r>
        <w:rPr>
          <w:rFonts w:ascii="Arial" w:cs="Arial" w:eastAsia="Arial" w:hAnsi="Arial"/>
          <w:sz w:val="16"/>
          <w:szCs w:val="16"/>
          <w:color w:val="auto"/>
        </w:rPr>
        <w:t>During the nine months ended September 30, 2022, the Company sold six income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w:t>
      </w:r>
    </w:p>
    <w:p>
      <w:pPr>
        <w:spacing w:after="0" w:line="2" w:lineRule="exact"/>
        <w:rPr>
          <w:sz w:val="20"/>
          <w:szCs w:val="20"/>
          <w:color w:val="auto"/>
        </w:rPr>
      </w:pPr>
    </w:p>
    <w:p>
      <w:pPr>
        <w:jc w:val="both"/>
        <w:ind w:left="60" w:right="59" w:hanging="10"/>
        <w:spacing w:after="0" w:line="253" w:lineRule="auto"/>
        <w:tabs>
          <w:tab w:leader="none" w:pos="40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3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2021 Acquisitions. </w:t>
      </w:r>
      <w:r>
        <w:rPr>
          <w:rFonts w:ascii="Arial" w:cs="Arial" w:eastAsia="Arial" w:hAnsi="Arial"/>
          <w:sz w:val="16"/>
          <w:szCs w:val="16"/>
          <w:color w:val="auto"/>
        </w:rPr>
        <w:t>During the nine months ended September 30, 2021, the Company acquired three multi-tenant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properties for an aggregate purchase price of $111.0 million, or a total acquisition cost of $111.3 million including capitalized acquisition costs. Of the total acquisition cost, $40.4 million was allocated to land, $41.4 million was allocated to buildings and improvements, and $29.5 million was allocated to intangible assets pertaining to the in-place lease value, leasing costs, and above market lease value and $0.05 million was allocated to intangible liabilities for the below market lease value. The weighted average amortization period for the intangible assets and liabilities was 7.1 years at acquisition.</w:t>
      </w:r>
    </w:p>
    <w:p>
      <w:pPr>
        <w:spacing w:after="0" w:line="16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2021 Dispositions. </w:t>
      </w:r>
      <w:r>
        <w:rPr>
          <w:rFonts w:ascii="Arial" w:cs="Arial" w:eastAsia="Arial" w:hAnsi="Arial"/>
          <w:sz w:val="17"/>
          <w:szCs w:val="17"/>
          <w:color w:val="auto"/>
        </w:rPr>
        <w:t>During the nine months ended September 30, 2021, the Company disposed of one multi-tenant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property and 13 single-tenant income properties, including (i) World of Beer/Fuzzy’s Taco Shop, a multi-tenant income property located in Brandon, Florida for $2.3 million, (ii) Moe’s Southwest Grill, a single-tenant income property located in Jacksonville, Florida for $2.5 million, (iii) Burlington, a single-tenant income property located in North Richland Hills, Texas for $11.5 million, (iv) Staples, a single-tenant income property located in Sarasota, Florida for $4.7 million, (v) the CMBS Portfolio, sold to PINE, consisting of six single-tenant income properties for $44.5 million, (vi) Chick-fil-A, a single-tenant property, located in Chandler, Arizona for $2.9 million, (vii) JPMorgan Chase Bank, a single-tenant property, located in Chandler, Arizona for $4.7 million, (viii) Fogo De Chao, a single-tenant property, located in Jacksonville, Florida for $4.7 million, and (ix) Wells Fargo, a single-tenant office income property located in Raleigh, North Carolina for $63.0 million. The sale of the properties reflect a total disposition volume of $140.8 million, resulting in aggregate gains of $28.0 million.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COMMERCIAL LOANS AND INVESTMENTS</w:t>
      </w:r>
    </w:p>
    <w:p>
      <w:pPr>
        <w:spacing w:after="0" w:line="229"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87"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i w:val="1"/>
          <w:iCs w:val="1"/>
          <w:color w:val="auto"/>
        </w:rPr>
        <w:t>2022 Activity</w:t>
      </w:r>
      <w:r>
        <w:rPr>
          <w:rFonts w:ascii="Arial" w:cs="Arial" w:eastAsia="Arial" w:hAnsi="Arial"/>
          <w:sz w:val="18"/>
          <w:szCs w:val="18"/>
          <w:color w:val="auto"/>
        </w:rPr>
        <w:t>. On January 26, 2022, the Company originated a construction loan secured by the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to be constructed thereon for the second phase of The Exchange at Gwinnett project located in Buford, Georgia for $8.7 million. The construction loan matures on January 26, 2024, has a one-year extension option, bears a fixed interest rate of 7.25%, and requires payments of interest only prior to maturity. At closing, an origination fee of $0.1 million was received by the Company. Funding of the loan occurs as the borrower completes the underlying construction. As of September 30, 2022, the Company had funded $0.3 million to the borrower, leaving a remaining commitment of $8.4 million to the borrower.</w:t>
      </w:r>
    </w:p>
    <w:p>
      <w:pPr>
        <w:spacing w:after="0" w:line="195"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 xml:space="preserve">On March 11, 2022, the Company sold the Carpenter Hotel ground lease located in Austin, Texas for $17.1 million. The lease with Carpenter Hotel included two tenant repurchase options. Pursuant to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the initial $16.25 million investment was recorded in the consolidated balance sheets as a commercial loan investment at the time of acquisition. The carrying value at the time of sale totaled $17.3 million.</w:t>
      </w:r>
    </w:p>
    <w:p>
      <w:pPr>
        <w:spacing w:after="0" w:line="171"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 xml:space="preserve">On April 7, 2022, the Company entered into a preferred equity agreement to provide $30.0 million of funding towards the total investment in Watters Creek at Montgomery Farm, a grocery-anchored, mixed-use property located in Allen, Texas (the “Watters Creek Investment”). Pursuant to FASB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and as further described in Note 7. “Investment in Joint Ventures,” the Company determined we are not the primary beneficiary of the entity underlying the Watters Creek Investment; accordingly, the $30.0 million was recorded in the consolidated balance sheets as a commercial loan investment at the time of acquisition.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w:t>
      </w:r>
    </w:p>
    <w:p>
      <w:pPr>
        <w:spacing w:after="0" w:line="181" w:lineRule="exact"/>
        <w:rPr>
          <w:sz w:val="20"/>
          <w:szCs w:val="20"/>
          <w:color w:val="auto"/>
        </w:rPr>
      </w:pPr>
    </w:p>
    <w:p>
      <w:pPr>
        <w:jc w:val="both"/>
        <w:ind w:left="60" w:right="59" w:firstLine="492"/>
        <w:spacing w:after="0" w:line="290" w:lineRule="auto"/>
        <w:rPr>
          <w:sz w:val="20"/>
          <w:szCs w:val="20"/>
          <w:color w:val="auto"/>
        </w:rPr>
      </w:pPr>
      <w:r>
        <w:rPr>
          <w:rFonts w:ascii="Arial" w:cs="Arial" w:eastAsia="Arial" w:hAnsi="Arial"/>
          <w:sz w:val="16"/>
          <w:szCs w:val="16"/>
          <w:color w:val="auto"/>
        </w:rPr>
        <w:t>On April 29, 2022, the Company originated a construction loan secured by the property and improvements to be constructed thereon for the WaterStar Residential and Retail project located in Kissimmee, Florida for $19.0 million. The construction loan matures on August 31, 2022, bears a fixed interest rate of 8.00%, and requires payments of interest only prior to maturity. At closing, an origination fee of $0.1 million was received by the Company. Funding of the loan will occur as the borrower completes the underlying construction. As of September 30, 2022, the Company had funded $19.0 million to the borrower, leaving no remaining commitment. The Borrower repaid $4.8 million of the construction loan principal balance as of September 30, 2022, leaving an outstanding balance of $14.2 million. Effective August 29, 2022, the Company entered into an agreement to extend the maturity date to November 1, 2022 at a fixed interest rate of 12.00%.</w:t>
      </w:r>
    </w:p>
    <w:p>
      <w:pPr>
        <w:spacing w:after="0" w:line="165"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On May 9, 2022, the Company originated an improvement loan for a tenant at the Ashford Lane property located in Atlanta, Georgia for $1.5 million. The improvement loan matures on April 30, 2025, bears a fixed interest rate of 12.00%, until the location is open at which time the fixed interest rate will be 10.00%, and requires payments of interest only prior to maturity. Funding of the loan will occur as the borrower completes the underlying improvements. As of September 30, 2022, the Company had funded $1.1 million to the borrower, leaving a remaining commitment of $0.4 million.</w:t>
      </w:r>
    </w:p>
    <w:p>
      <w:pPr>
        <w:spacing w:after="0" w:line="161"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 xml:space="preserve">On July 28, 2022, the Company sold the Westland Gateway Plaza located in Hialeah, Florida for $22.2 million. The lease with Westland Gateway Plaza included a tenant purchase option. Pursuant to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the initial $21.1 million investment was recorded in the consolidated balance sheets as a commercial loan investment at the time of acquisition. The carrying value at the time of sale totaled $21.2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40" w:firstLine="441"/>
        <w:spacing w:after="0" w:line="277" w:lineRule="auto"/>
        <w:rPr>
          <w:sz w:val="20"/>
          <w:szCs w:val="20"/>
          <w:color w:val="auto"/>
        </w:rPr>
      </w:pPr>
      <w:r>
        <w:rPr>
          <w:rFonts w:ascii="Arial" w:cs="Arial" w:eastAsia="Arial" w:hAnsi="Arial"/>
          <w:sz w:val="18"/>
          <w:szCs w:val="18"/>
          <w:color w:val="auto"/>
        </w:rPr>
        <w:t>The Company’s commercial loans and investments were comprised of the following at September 30, 2022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8"/>
              </w:rPr>
              <w:t>Original</w:t>
            </w:r>
          </w:p>
        </w:tc>
        <w:tc>
          <w:tcPr>
            <w:tcW w:w="7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5"/>
              </w:rPr>
              <w:t>Current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4"/>
              </w:rPr>
              <w:t>Date of</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3"/>
              </w:rPr>
              <w:t>Face</w:t>
            </w:r>
          </w:p>
        </w:tc>
        <w:tc>
          <w:tcPr>
            <w:tcW w:w="7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3"/>
              </w:rPr>
              <w:t>Face</w:t>
            </w:r>
          </w:p>
        </w:tc>
        <w:tc>
          <w:tcPr>
            <w:tcW w:w="74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7"/>
              </w:rPr>
              <w:t>Carrying</w:t>
            </w:r>
          </w:p>
        </w:tc>
        <w:tc>
          <w:tcPr>
            <w:tcW w:w="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r>
      <w:tr>
        <w:trPr>
          <w:trHeight w:val="179"/>
        </w:trPr>
        <w:tc>
          <w:tcPr>
            <w:tcW w:w="4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0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0"/>
              </w:rPr>
              <w:t>Investment</w:t>
            </w:r>
          </w:p>
        </w:tc>
        <w:tc>
          <w:tcPr>
            <w:tcW w:w="11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8"/>
              </w:rPr>
              <w:t>Maturity Date</w:t>
            </w: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Amount</w:t>
            </w:r>
          </w:p>
        </w:tc>
        <w:tc>
          <w:tcPr>
            <w:tcW w:w="7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Amount</w:t>
            </w:r>
          </w:p>
        </w:tc>
        <w:tc>
          <w:tcPr>
            <w:tcW w:w="7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Value</w:t>
            </w: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8"/>
              </w:rPr>
              <w:t>Rate</w:t>
            </w:r>
          </w:p>
        </w:tc>
      </w:tr>
      <w:tr>
        <w:trPr>
          <w:trHeight w:val="156"/>
        </w:trPr>
        <w:tc>
          <w:tcPr>
            <w:tcW w:w="39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Mortgage Note – 4311 Maple Avenue – Dallas, TX</w:t>
            </w: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2"/>
              </w:rPr>
              <w:t>October 2020</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7"/>
              </w:rPr>
              <w:t>April 2023</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400</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400</w:t>
            </w:r>
          </w:p>
        </w:tc>
        <w:tc>
          <w:tcPr>
            <w:tcW w:w="1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395</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7.50%</w:t>
            </w:r>
          </w:p>
        </w:tc>
      </w:tr>
      <w:tr>
        <w:trPr>
          <w:trHeight w:val="162"/>
        </w:trPr>
        <w:tc>
          <w:tcPr>
            <w:tcW w:w="41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Mortgage Note – 110 N Beach Street – Daytona Beach, FL</w:t>
            </w:r>
          </w:p>
        </w:tc>
        <w:tc>
          <w:tcPr>
            <w:tcW w:w="100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w w:val="91"/>
              </w:rPr>
              <w:t>June 2021</w:t>
            </w:r>
          </w:p>
        </w:tc>
        <w:tc>
          <w:tcPr>
            <w:tcW w:w="116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1"/>
              </w:rPr>
              <w:t>December 2022</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364</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364</w:t>
            </w: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364</w:t>
            </w:r>
          </w:p>
        </w:tc>
        <w:tc>
          <w:tcPr>
            <w:tcW w:w="16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color w:val="auto"/>
                <w:w w:val="94"/>
              </w:rPr>
              <w:t>10.00%</w:t>
            </w:r>
          </w:p>
        </w:tc>
      </w:tr>
      <w:tr>
        <w:trPr>
          <w:trHeight w:val="162"/>
        </w:trPr>
        <w:tc>
          <w:tcPr>
            <w:tcW w:w="4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Construction Loan – The Exchange At Gwinnett – Buford, GA</w:t>
            </w:r>
          </w:p>
        </w:tc>
        <w:tc>
          <w:tcPr>
            <w:tcW w:w="1000" w:type="dxa"/>
            <w:vAlign w:val="bottom"/>
            <w:gridSpan w:val="2"/>
            <w:shd w:val="clear" w:color="auto" w:fill="CCEEFF"/>
          </w:tcPr>
          <w:p>
            <w:pPr>
              <w:jc w:val="center"/>
              <w:ind w:right="180"/>
              <w:spacing w:after="0" w:line="162" w:lineRule="exact"/>
              <w:rPr>
                <w:sz w:val="20"/>
                <w:szCs w:val="20"/>
                <w:color w:val="auto"/>
              </w:rPr>
            </w:pPr>
            <w:r>
              <w:rPr>
                <w:rFonts w:ascii="Arial" w:cs="Arial" w:eastAsia="Arial" w:hAnsi="Arial"/>
                <w:sz w:val="15"/>
                <w:szCs w:val="15"/>
                <w:color w:val="auto"/>
                <w:w w:val="90"/>
              </w:rPr>
              <w:t>January 2022</w:t>
            </w:r>
          </w:p>
        </w:tc>
        <w:tc>
          <w:tcPr>
            <w:tcW w:w="116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5"/>
                <w:szCs w:val="15"/>
                <w:color w:val="auto"/>
                <w:w w:val="90"/>
              </w:rPr>
              <w:t>January 2024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7.25%</w:t>
            </w:r>
          </w:p>
        </w:tc>
      </w:tr>
      <w:tr>
        <w:trPr>
          <w:trHeight w:val="162"/>
        </w:trPr>
        <w:tc>
          <w:tcPr>
            <w:tcW w:w="41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Preferred Investment - Watters Creek – Allen, TX</w:t>
            </w:r>
          </w:p>
        </w:tc>
        <w:tc>
          <w:tcPr>
            <w:tcW w:w="100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rPr>
              <w:t>April 2022</w:t>
            </w:r>
          </w:p>
        </w:tc>
        <w:tc>
          <w:tcPr>
            <w:tcW w:w="116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7"/>
              </w:rPr>
              <w:t>April 2025</w:t>
            </w:r>
          </w:p>
        </w:tc>
        <w:tc>
          <w:tcPr>
            <w:tcW w:w="580" w:type="dxa"/>
            <w:vAlign w:val="bottom"/>
          </w:tcPr>
          <w:p>
            <w:pPr>
              <w:jc w:val="right"/>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29,874</w:t>
            </w:r>
          </w:p>
        </w:tc>
        <w:tc>
          <w:tcPr>
            <w:tcW w:w="16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color w:val="auto"/>
                <w:w w:val="93"/>
              </w:rPr>
              <w:t>8.50%</w:t>
            </w:r>
          </w:p>
        </w:tc>
      </w:tr>
      <w:tr>
        <w:trPr>
          <w:trHeight w:val="162"/>
        </w:trPr>
        <w:tc>
          <w:tcPr>
            <w:tcW w:w="4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Construction Loan - WaterStar – Kissimmee, FL</w:t>
            </w:r>
          </w:p>
        </w:tc>
        <w:tc>
          <w:tcPr>
            <w:tcW w:w="100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rPr>
              <w:t>April 2022</w:t>
            </w:r>
          </w:p>
        </w:tc>
        <w:tc>
          <w:tcPr>
            <w:tcW w:w="116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5"/>
                <w:szCs w:val="15"/>
                <w:color w:val="auto"/>
                <w:w w:val="91"/>
              </w:rPr>
              <w:t>November 2022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14,249</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14,249</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4"/>
              </w:rPr>
              <w:t>12.00%</w:t>
            </w:r>
          </w:p>
        </w:tc>
      </w:tr>
      <w:tr>
        <w:trPr>
          <w:trHeight w:val="162"/>
        </w:trPr>
        <w:tc>
          <w:tcPr>
            <w:tcW w:w="412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5"/>
                <w:szCs w:val="15"/>
                <w:color w:val="auto"/>
              </w:rPr>
              <w:t>Improvement Loan - Ashford Lane – Atlanta, GA</w:t>
            </w:r>
          </w:p>
        </w:tc>
        <w:tc>
          <w:tcPr>
            <w:tcW w:w="1000" w:type="dxa"/>
            <w:vAlign w:val="bottom"/>
            <w:tcBorders>
              <w:bottom w:val="single" w:sz="8" w:color="CCEEFF"/>
            </w:tcBorders>
            <w:gridSpan w:val="2"/>
          </w:tcPr>
          <w:p>
            <w:pPr>
              <w:jc w:val="center"/>
              <w:ind w:right="160"/>
              <w:spacing w:after="0" w:line="162" w:lineRule="exact"/>
              <w:rPr>
                <w:sz w:val="20"/>
                <w:szCs w:val="20"/>
                <w:color w:val="auto"/>
              </w:rPr>
            </w:pPr>
            <w:r>
              <w:rPr>
                <w:rFonts w:ascii="Arial" w:cs="Arial" w:eastAsia="Arial" w:hAnsi="Arial"/>
                <w:sz w:val="15"/>
                <w:szCs w:val="15"/>
                <w:color w:val="auto"/>
                <w:w w:val="97"/>
              </w:rPr>
              <w:t>May 2022</w:t>
            </w:r>
          </w:p>
        </w:tc>
        <w:tc>
          <w:tcPr>
            <w:tcW w:w="1160" w:type="dxa"/>
            <w:vAlign w:val="bottom"/>
            <w:tcBorders>
              <w:bottom w:val="single" w:sz="8" w:color="CCEEFF"/>
            </w:tcBorders>
            <w:gridSpan w:val="2"/>
          </w:tcPr>
          <w:p>
            <w:pPr>
              <w:jc w:val="center"/>
              <w:ind w:right="140"/>
              <w:spacing w:after="0" w:line="162" w:lineRule="exact"/>
              <w:rPr>
                <w:sz w:val="20"/>
                <w:szCs w:val="20"/>
                <w:color w:val="auto"/>
              </w:rPr>
            </w:pPr>
            <w:r>
              <w:rPr>
                <w:rFonts w:ascii="Arial" w:cs="Arial" w:eastAsia="Arial" w:hAnsi="Arial"/>
                <w:sz w:val="15"/>
                <w:szCs w:val="15"/>
                <w:color w:val="auto"/>
                <w:w w:val="97"/>
              </w:rPr>
              <w:t>April 2025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1,053</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center"/>
              <w:spacing w:after="0" w:line="162" w:lineRule="exact"/>
              <w:rPr>
                <w:sz w:val="20"/>
                <w:szCs w:val="20"/>
                <w:color w:val="auto"/>
              </w:rPr>
            </w:pPr>
            <w:r>
              <w:rPr>
                <w:rFonts w:ascii="Arial" w:cs="Arial" w:eastAsia="Arial" w:hAnsi="Arial"/>
                <w:sz w:val="15"/>
                <w:szCs w:val="15"/>
                <w:color w:val="auto"/>
                <w:w w:val="94"/>
              </w:rPr>
              <w:t>12.00%</w:t>
            </w:r>
          </w:p>
        </w:tc>
      </w:tr>
      <w:tr>
        <w:trPr>
          <w:trHeight w:val="155"/>
        </w:trPr>
        <w:tc>
          <w:tcPr>
            <w:tcW w:w="39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8"/>
              </w:rPr>
              <w:t>$ 59,964</w:t>
            </w: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8"/>
              </w:rPr>
              <w:t>$ 46,390</w:t>
            </w: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8"/>
              </w:rPr>
              <w:t>$ 46,201</w:t>
            </w:r>
          </w:p>
        </w:tc>
        <w:tc>
          <w:tcPr>
            <w:tcW w:w="1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60" w:firstLine="441"/>
        <w:spacing w:after="0" w:line="258" w:lineRule="auto"/>
        <w:rPr>
          <w:sz w:val="20"/>
          <w:szCs w:val="20"/>
          <w:color w:val="auto"/>
        </w:rPr>
      </w:pPr>
      <w:r>
        <w:rPr>
          <w:rFonts w:ascii="Arial" w:cs="Arial" w:eastAsia="Arial" w:hAnsi="Arial"/>
          <w:sz w:val="18"/>
          <w:szCs w:val="18"/>
          <w:color w:val="auto"/>
        </w:rPr>
        <w:t>The Company’s commercial loans and investments were comprised of the following at December 31, 2021 (in thousands):</w:t>
      </w:r>
    </w:p>
    <w:tbl>
      <w:tblPr>
        <w:tblLayout w:type="fixed"/>
        <w:tblInd w:w="4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140"/>
              <w:spacing w:after="0" w:line="159" w:lineRule="exact"/>
              <w:rPr>
                <w:sz w:val="20"/>
                <w:szCs w:val="20"/>
                <w:color w:val="auto"/>
              </w:rPr>
            </w:pPr>
            <w:r>
              <w:rPr>
                <w:rFonts w:ascii="Arial" w:cs="Arial" w:eastAsia="Arial" w:hAnsi="Arial"/>
                <w:sz w:val="15"/>
                <w:szCs w:val="15"/>
                <w:b w:val="1"/>
                <w:bCs w:val="1"/>
                <w:color w:val="auto"/>
                <w:w w:val="98"/>
              </w:rPr>
              <w:t>Original</w:t>
            </w:r>
          </w:p>
        </w:tc>
        <w:tc>
          <w:tcPr>
            <w:tcW w:w="780" w:type="dxa"/>
            <w:vAlign w:val="bottom"/>
            <w:gridSpan w:val="2"/>
          </w:tcPr>
          <w:p>
            <w:pPr>
              <w:jc w:val="center"/>
              <w:ind w:right="140"/>
              <w:spacing w:after="0" w:line="159" w:lineRule="exact"/>
              <w:rPr>
                <w:sz w:val="20"/>
                <w:szCs w:val="20"/>
                <w:color w:val="auto"/>
              </w:rPr>
            </w:pPr>
            <w:r>
              <w:rPr>
                <w:rFonts w:ascii="Arial" w:cs="Arial" w:eastAsia="Arial" w:hAnsi="Arial"/>
                <w:sz w:val="15"/>
                <w:szCs w:val="15"/>
                <w:b w:val="1"/>
                <w:bCs w:val="1"/>
                <w:color w:val="auto"/>
                <w:w w:val="95"/>
              </w:rPr>
              <w:t>Current</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4"/>
              </w:rPr>
              <w:t>Date of</w:t>
            </w:r>
          </w:p>
        </w:tc>
        <w:tc>
          <w:tcPr>
            <w:tcW w:w="9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rPr>
              <w:t>Maturity</w:t>
            </w:r>
          </w:p>
        </w:tc>
        <w:tc>
          <w:tcPr>
            <w:tcW w:w="7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87"/>
              </w:rPr>
              <w:t>Face</w:t>
            </w:r>
          </w:p>
        </w:tc>
        <w:tc>
          <w:tcPr>
            <w:tcW w:w="78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3"/>
              </w:rPr>
              <w:t>Face</w:t>
            </w:r>
          </w:p>
        </w:tc>
        <w:tc>
          <w:tcPr>
            <w:tcW w:w="6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7"/>
              </w:rPr>
              <w:t>Carrying</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Coupon</w:t>
            </w:r>
          </w:p>
        </w:tc>
      </w:tr>
      <w:tr>
        <w:trPr>
          <w:trHeight w:val="179"/>
        </w:trPr>
        <w:tc>
          <w:tcPr>
            <w:tcW w:w="386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Investment</w:t>
            </w:r>
          </w:p>
        </w:tc>
        <w:tc>
          <w:tcPr>
            <w:tcW w:w="9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Date</w:t>
            </w:r>
          </w:p>
        </w:tc>
        <w:tc>
          <w:tcPr>
            <w:tcW w:w="7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7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Amount</w:t>
            </w:r>
          </w:p>
        </w:tc>
        <w:tc>
          <w:tcPr>
            <w:tcW w:w="620" w:type="dxa"/>
            <w:vAlign w:val="bottom"/>
          </w:tcPr>
          <w:p>
            <w:pPr>
              <w:jc w:val="right"/>
              <w:ind w:right="44"/>
              <w:spacing w:after="0"/>
              <w:rPr>
                <w:sz w:val="20"/>
                <w:szCs w:val="20"/>
                <w:color w:val="auto"/>
              </w:rPr>
            </w:pPr>
            <w:r>
              <w:rPr>
                <w:rFonts w:ascii="Arial" w:cs="Arial" w:eastAsia="Arial" w:hAnsi="Arial"/>
                <w:sz w:val="15"/>
                <w:szCs w:val="15"/>
                <w:b w:val="1"/>
                <w:bCs w:val="1"/>
                <w:color w:val="auto"/>
              </w:rPr>
              <w:t>Value</w:t>
            </w:r>
          </w:p>
        </w:tc>
        <w:tc>
          <w:tcPr>
            <w:tcW w:w="1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5"/>
        </w:trPr>
        <w:tc>
          <w:tcPr>
            <w:tcW w:w="37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Carpenter Hotel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$ 16,250</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$ 16,250</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$ 17,189</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8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Westland Gateway Plaza – Hialeah, FL</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0"/>
              </w:rPr>
              <w:t>September 2020</w:t>
            </w:r>
          </w:p>
        </w:tc>
        <w:tc>
          <w:tcPr>
            <w:tcW w:w="96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rPr>
              <w:t>N/A</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21,148</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8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5"/>
                <w:szCs w:val="15"/>
                <w:color w:val="auto"/>
                <w:w w:val="92"/>
              </w:rPr>
              <w:t>October 2020</w:t>
            </w:r>
          </w:p>
        </w:tc>
        <w:tc>
          <w:tcPr>
            <w:tcW w:w="96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5"/>
                <w:szCs w:val="15"/>
                <w:color w:val="auto"/>
                <w:w w:val="97"/>
              </w:rPr>
              <w:t>April 2023</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394</w:t>
            </w:r>
          </w:p>
        </w:tc>
        <w:tc>
          <w:tcPr>
            <w:tcW w:w="720" w:type="dxa"/>
            <w:vAlign w:val="bottom"/>
            <w:gridSpan w:val="2"/>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7.50%</w:t>
            </w: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5"/>
                <w:szCs w:val="15"/>
                <w:color w:val="auto"/>
                <w:w w:val="89"/>
              </w:rPr>
              <w:t>December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5"/>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w w:val="97"/>
              </w:rPr>
              <w:t>Mortgage Note – 110 N Beach Street – Daytona Beach, FL</w:t>
            </w:r>
          </w:p>
        </w:tc>
        <w:tc>
          <w:tcPr>
            <w:tcW w:w="11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5"/>
                <w:szCs w:val="15"/>
                <w:color w:val="auto"/>
                <w:w w:val="91"/>
              </w:rPr>
              <w:t>June 2021</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89"/>
              </w:rPr>
              <w:t>2022</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10.00%</w:t>
            </w:r>
          </w:p>
        </w:tc>
      </w:tr>
      <w:tr>
        <w:trPr>
          <w:trHeight w:val="155"/>
        </w:trPr>
        <w:tc>
          <w:tcPr>
            <w:tcW w:w="37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$ 38,099</w:t>
            </w: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$ 38,099</w:t>
            </w: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$ 39,095</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40" w:firstLine="441"/>
        <w:spacing w:after="0" w:line="277" w:lineRule="auto"/>
        <w:rPr>
          <w:sz w:val="20"/>
          <w:szCs w:val="20"/>
          <w:color w:val="auto"/>
        </w:rPr>
      </w:pPr>
      <w:r>
        <w:rPr>
          <w:rFonts w:ascii="Arial" w:cs="Arial" w:eastAsia="Arial" w:hAnsi="Arial"/>
          <w:sz w:val="18"/>
          <w:szCs w:val="18"/>
          <w:color w:val="auto"/>
        </w:rPr>
        <w:t>The carrying value of the commercial loans and investments portfolio at September 30, 2022 and December 31, 2021 consisted of the following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48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2022</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2021</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46,390</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Imputed Interest over Rent Payments Received</w:t>
            </w:r>
          </w:p>
        </w:tc>
        <w:tc>
          <w:tcPr>
            <w:tcW w:w="5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Unaccreted Origination Fees</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CECL Reserve</w:t>
            </w:r>
          </w:p>
        </w:tc>
        <w:tc>
          <w:tcPr>
            <w:tcW w:w="5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 and Investments</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RELATED PARTY MANAGEMENT SERVICES BUSINESS</w:t>
      </w:r>
    </w:p>
    <w:p>
      <w:pPr>
        <w:spacing w:after="0" w:line="229" w:lineRule="exact"/>
        <w:rPr>
          <w:sz w:val="20"/>
          <w:szCs w:val="20"/>
          <w:color w:val="auto"/>
        </w:rPr>
      </w:pPr>
    </w:p>
    <w:p>
      <w:pPr>
        <w:jc w:val="both"/>
        <w:ind w:left="60" w:right="140" w:firstLine="441"/>
        <w:spacing w:after="0" w:line="269" w:lineRule="auto"/>
        <w:rPr>
          <w:sz w:val="20"/>
          <w:szCs w:val="20"/>
          <w:color w:val="auto"/>
        </w:rPr>
      </w:pPr>
      <w:r>
        <w:rPr>
          <w:rFonts w:ascii="Arial" w:cs="Arial" w:eastAsia="Arial" w:hAnsi="Arial"/>
          <w:sz w:val="17"/>
          <w:szCs w:val="17"/>
          <w:i w:val="1"/>
          <w:iCs w:val="1"/>
          <w:color w:val="auto"/>
        </w:rPr>
        <w:t xml:space="preserve">Alpine Income Property Trust. </w:t>
      </w:r>
      <w:r>
        <w:rPr>
          <w:rFonts w:ascii="Arial" w:cs="Arial" w:eastAsia="Arial" w:hAnsi="Arial"/>
          <w:sz w:val="17"/>
          <w:szCs w:val="17"/>
          <w:color w:val="auto"/>
        </w:rPr>
        <w:t>Pursuant to the Company’s management agreement with PINE,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generates a base management fee equal to 0.375% per quarter of PINE’s total equity (as defined in the management agreement and based on a 1.5% annual rate), calculated and payable in cash, quarterly in arrears. The structure of the base fee provides the Company with an opportunity for the base fee to grow should PINE’s independent board members determine to raise additional equity capital in the future. The Company also has an opportunity to achieve additional cash flows as manager of PINE pursuant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2021.</w:t>
      </w:r>
    </w:p>
    <w:p>
      <w:pPr>
        <w:spacing w:after="0" w:line="185" w:lineRule="exact"/>
        <w:rPr>
          <w:sz w:val="20"/>
          <w:szCs w:val="20"/>
          <w:color w:val="auto"/>
        </w:rPr>
      </w:pPr>
    </w:p>
    <w:p>
      <w:pPr>
        <w:jc w:val="both"/>
        <w:ind w:left="60" w:right="140" w:firstLine="441"/>
        <w:spacing w:after="0" w:line="291" w:lineRule="auto"/>
        <w:rPr>
          <w:sz w:val="20"/>
          <w:szCs w:val="20"/>
          <w:color w:val="auto"/>
        </w:rPr>
      </w:pPr>
      <w:r>
        <w:rPr>
          <w:rFonts w:ascii="Arial" w:cs="Arial" w:eastAsia="Arial" w:hAnsi="Arial"/>
          <w:sz w:val="16"/>
          <w:szCs w:val="16"/>
          <w:color w:val="auto"/>
        </w:rPr>
        <w:t>During the three and nine months ended September 30, 2022, the Company earned management fee revenue from PINE totaling $0.9 million and $2.8 million, respectively. Dividend income for the three and nine months ended September 30, 2022 totaled $0.6 million and $1.7 million, respectively. During the three and nine months ended September 30, 2021, the Company earned management fee revenue from PINE totaling $0.9 million and $2.3 million, respectively. Dividend income for the three and nine months ended September 30, 2021 totaled $0.5 million and $1.5 million, respectively. Management fee revenue from PINE, included in management services, and dividend income, included in investment and other income (loss), are reflected in the accompanying consolidated statements of operations.</w:t>
      </w:r>
    </w:p>
    <w:p>
      <w:pPr>
        <w:sectPr>
          <w:pgSz w:w="11900" w:h="16838" w:orient="portrait"/>
          <w:cols w:equalWidth="0" w:num="1">
            <w:col w:w="9100"/>
          </w:cols>
          <w:pgMar w:left="1440" w:top="51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40" w:top="517" w:right="1359"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represents amounts due (to) from PINE as of September 30, 2022 and December 31, 2021 which are included in other assets on the consolidated balance sheets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September 30, 2022</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Management Services Fee due From PINE</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Dividend Receivable</w:t>
            </w: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On November 26, 2019, as part of the initial public offering (the “IPO”) of PINE on the NYSE,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78"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On October 26, 2021, the Board authorized the purchase by the Company of up to $5.0 million in shares of common stock of PINE, at a weighted average price not to exceed $17.75 per share. On February 17, 2022, the Board authorized an increase in the weighted average purchase price of common stock of PINE to an amount not to exceed $18.50 per share. During the three months ended September 30, 2022, the Company purchased 26,355 shares of PINE common stock on the open market for a total of $0.5 million, or an average price of $17.28 per share. During the nine months ended September 30, 2022, the Company purchased 126,133 shares of PINE common stock on the open market for a total of $2.3 million, or an average price of $17.83 per share. During the year ended December 31, 2021, the Company purchased 8,088 shares of PINE common stock on the open market for a total of $0.1 million, or an average price of $17.65 per share. As of September 30, 2022, CTO owns, in the aggregate, 1,223,854 OP Units and 950,011 shares of PINE common stock, representing an investment totaling $35.3 million, or 16.0% of PINE’s outstanding equity.</w:t>
      </w:r>
    </w:p>
    <w:p>
      <w:pPr>
        <w:spacing w:after="0" w:line="209"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During the nine months ended September 30,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(the “CMBS Portfolio”) for an aggregate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w:t>
      </w:r>
    </w:p>
    <w:p>
      <w:pPr>
        <w:spacing w:after="0" w:line="206"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i w:val="1"/>
          <w:iCs w:val="1"/>
          <w:color w:val="auto"/>
        </w:rPr>
        <w:t xml:space="preserve">Land JV. </w:t>
      </w:r>
      <w:r>
        <w:rPr>
          <w:rFonts w:ascii="Arial" w:cs="Arial" w:eastAsia="Arial" w:hAnsi="Arial"/>
          <w:sz w:val="17"/>
          <w:szCs w:val="17"/>
          <w:color w:val="auto"/>
        </w:rPr>
        <w:t>Prior to the Land JV Sale on December 10, 2021, pursuant to the terms of the operating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Land JV, the initial amount of the management fee was $20,000 per month. The management fee was evaluated quarterly and as land sales occurred in the Land JV, the basis for the Company’s management fee was reduced as the management fee was based on the value of real property that remained in the Land JV. The monthly management fee as of September 30, 2021 was $10,000 per month. During the three and nine months ended September 30, 2021, the Company earned management fee revenue from the Land JV totaling $0.03 million and $0.09 million which is included in management fee income in the accompanying consolidated statements of operations and was collected in full during the period earned. As a result of the Land JV Sale, no management fee revenues were earned during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6. REAL ESTATE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Land and development costs at September 30, 2022 and December 31, 2021 were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Subsurface Interests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0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Land and Development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i w:val="1"/>
          <w:iCs w:val="1"/>
          <w:color w:val="auto"/>
        </w:rPr>
        <w:t xml:space="preserve">Subsurface Interests. </w:t>
      </w:r>
      <w:r>
        <w:rPr>
          <w:rFonts w:ascii="Arial" w:cs="Arial" w:eastAsia="Arial" w:hAnsi="Arial"/>
          <w:sz w:val="17"/>
          <w:szCs w:val="17"/>
          <w:color w:val="auto"/>
        </w:rPr>
        <w:t>As of September 30, 2022, the Company owns 355,000 acres of Subsurface Interests.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three and nine months ended September 30, 2022, the Company sold subsurface oil, gas, and mineral rights of 1,500 acres for a sales price of $0.7 million and 14,582 acres for a sales price of $1.6 million, respectively. During the three and nine months ended September 30, 2021, the Company sold subsurface oil, gas, and mineral rights of 4,700 acres for a sales price of $0.9 million and 39,200 acres for a sales price of $3.5 million, respectively. Revenues received from oil royalties totaled $0.03 million during the nine months ended September 30, 2022 and 2021.</w:t>
      </w:r>
    </w:p>
    <w:p>
      <w:pPr>
        <w:spacing w:after="0" w:line="226"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$0.2 million and $0.1 million during the nine months ended September 30, 2022 and 2021, respectively.</w:t>
      </w:r>
    </w:p>
    <w:p>
      <w:pPr>
        <w:spacing w:after="0" w:line="191"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i w:val="1"/>
          <w:iCs w:val="1"/>
          <w:color w:val="auto"/>
        </w:rPr>
        <w:t xml:space="preserve">Mitigation Credits. </w:t>
      </w:r>
      <w:r>
        <w:rPr>
          <w:rFonts w:ascii="Arial" w:cs="Arial" w:eastAsia="Arial" w:hAnsi="Arial"/>
          <w:sz w:val="16"/>
          <w:szCs w:val="16"/>
          <w:color w:val="auto"/>
        </w:rPr>
        <w:t>The Company owns mitigation credits and mitigation credit rights with an aggregate cost basis of</w:t>
      </w:r>
      <w:r>
        <w:rPr>
          <w:rFonts w:ascii="Arial" w:cs="Arial" w:eastAsia="Arial" w:hAnsi="Arial"/>
          <w:sz w:val="16"/>
          <w:szCs w:val="16"/>
          <w:i w:val="1"/>
          <w:iCs w:val="1"/>
          <w:color w:val="auto"/>
        </w:rPr>
        <w:t xml:space="preserve"> </w:t>
      </w:r>
      <w:r>
        <w:rPr>
          <w:rFonts w:ascii="Arial" w:cs="Arial" w:eastAsia="Arial" w:hAnsi="Arial"/>
          <w:sz w:val="16"/>
          <w:szCs w:val="16"/>
          <w:color w:val="auto"/>
        </w:rPr>
        <w:t>$22.8 million and $24.7 million as of September 30, 2022 and December 31, 2021, respectively. During the three months ended September 30, 2021, the Company completed the Interest Purchase, hereinafter defined in Note 7, “Investment in Joint Ventures”. As a result of the Interest Purchase, as of September 30, 2021, the Company owns 100% of the Mitigation Bank, and therefore its underlying assets, which includes an inventory of mitigation credits. Certain of the mitigation credits are currently available for sale with the remainder to become available as they are released to the Mitigation Bank by the applicable state and federal authorities pursuant to the completion of phases of the approved mitigation plans (“Mitigation Credit Rights”). At the time of the Interest Purchase on September 30, 2021, the Company’s cost basis in the newly acquired mitigation credits and Mitigation Credit Rights totaled $0.9 million and $21.6 million, respectively, which is comprised of (i) $15.6 million of the $18.0 million Interest Purchase allocated to the mitigation credit assets and (ii) the $6.9 million previously recorded value of the retained interest in the entity that owns the Mitigation Bank. During the nine months ended September 30, 2022, 15.62 credits were released to the Mitigation Bank.</w:t>
      </w:r>
    </w:p>
    <w:p>
      <w:pPr>
        <w:spacing w:after="0" w:line="20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Revenues and the cost of sales of mitigation credit sales are reported as revenues from, and direct costs of, real estate operations, respectively, in the consolidated statements of operations. During the nine months ended September 30, 2022, 26.62 credits were sold for an aggregate $2.6 million and related cost of sales of $1.7 million. During the nine months ended September 30, 2021, the Company sold mitigation credits for proceeds of $0.2 million with a cost basis of $0.1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INVESTMENT IN JOINT VENTURES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no investments in joint ventures as of September 30, 2022 or December 31, 2021.</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i w:val="1"/>
          <w:iCs w:val="1"/>
          <w:color w:val="auto"/>
        </w:rPr>
        <w:t xml:space="preserve">Watters Creek Investment. </w:t>
      </w:r>
      <w:r>
        <w:rPr>
          <w:rFonts w:ascii="Arial" w:cs="Arial" w:eastAsia="Arial" w:hAnsi="Arial"/>
          <w:sz w:val="16"/>
          <w:szCs w:val="16"/>
          <w:color w:val="auto"/>
        </w:rPr>
        <w:t>As described in Note 4. “Commercial Loans and Investments,” on April 7, 2022,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entered into the Watters Creek Investment. The Watters Creek Investment represents $30.0 million, or approximately 23%, of funding towards the total investment in Watters Creek at Montgomery Farm, a grocery-anchored,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mixed-use property located in Allen, Texas (the “Watters Creek Property”). The remaining funding is comprised of a combination of third-party sponsorship equity and a secured first mortgage. 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spacing w:after="0" w:line="17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 xml:space="preserve">Land JV. </w:t>
      </w:r>
      <w:r>
        <w:rPr>
          <w:rFonts w:ascii="Arial" w:cs="Arial" w:eastAsia="Arial" w:hAnsi="Arial"/>
          <w:sz w:val="18"/>
          <w:szCs w:val="18"/>
          <w:color w:val="auto"/>
        </w:rPr>
        <w:t>The Company’s previously held retained interest in the Land JV represented a notional 33.5% stake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the value of which was realized in the form of distributions based on the timing and the amount of proceeds achieved when the land was ultimately sold by the Land JV. On December 10, 2021, the Land JV completed the sale of all of its remaining land holdings.</w:t>
      </w:r>
    </w:p>
    <w:p>
      <w:pPr>
        <w:spacing w:after="0" w:line="187"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The Company served as the manager of the Land JV and was responsible for day-to-day operations at the direction of the partners of the Land JV prior to the Land JV Sale. All major decisions and certain other actions that could be taken by the Company, as manager, were approved by the unanimous consent of the JV Partners. Pursuant to the Land JV’s operating agreement, the Land JV paid the Company, as manager, a management fee in the initial amount of $20,000 per month. The management fee was evaluated quarterly, and as land sales occurred in the Land JV, the basis for the Company’s management fee was reduced as the management fee was based on the value of real property that remained in the Land JV. The final monthly management fee was received in December 2021 and totaled $10,000.</w:t>
      </w:r>
    </w:p>
    <w:p>
      <w:pPr>
        <w:spacing w:after="0" w:line="166"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 xml:space="preserve">Prior to the Land JV Sale, the investment in joint ventures on the Company’s consolidated balance sheets included the Company’s previously held ownership interest in the Land JV. We concluded the Land JV to be a variable interest entity and therefore, it was accounted for under the equity method of accounting as the Company was not the primary beneficiary as defined in FASB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The significant factors related to this determination included, but were not limited to, the Land JV being jointly controlled by the members through the use of unanimous approval for all material actions. Under the guidance of FASB ASC 323,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the Company used the equity method to account for the Land JV investment.</w:t>
      </w:r>
    </w:p>
    <w:p>
      <w:pPr>
        <w:spacing w:after="0" w:line="177"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year ended December 31, 2021, the Company recognized impairment charges on its previously held retained interest in the Land JV totaling $17.6 million. The aggregate $17.6 million impairment on the previously held retained interest in the Land JV is comprised of a $16.5 million charge during the three months ended June 30, 2021 and a $1.1 million charge during the three months ended December 31, 2021, which is a result of eliminating the investment in joint ventures based on the final proceeds received through distributions of the Land JV in connection with the Land JV Sale.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summarized financial information of the Land JV for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0"/>
              </w:rPr>
              <w:t>Nine Months Ended</w:t>
            </w:r>
          </w:p>
        </w:tc>
      </w:tr>
      <w:tr>
        <w:trPr>
          <w:trHeight w:val="234"/>
        </w:trPr>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2021</w:t>
            </w:r>
          </w:p>
        </w:tc>
        <w:tc>
          <w:tcPr>
            <w:tcW w:w="1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September 30, 2021</w:t>
            </w: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1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0"/>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The Company’s share of the Land JV’s net loss was zero for the three and nine months ended September 30, 2021. Pursuant to ASC 323, certain adjustments are made when calculating the Company’s share of net income of the Land JV, including adjustments required to reflect the investor’s share of changes in investee’s capital to reflect distributions from the Land JV. Additionally, basis differences are also considered. The Company recorded the initial retained interest in the Land JV of $48.9 million at the estimated fair market value based on the relationship of the $97.0 million sales price of the 66.5% equity interest to the 33.5% retained interest. The Land JV recorded the assets contributed by the Company at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carry-over basis pursuant to ASC 845 which states that transfers of nonmonetary assets should typically be recorded at the transferor’s historical cost basis. Accordingly, the Company’s basis difference in the 33.5% retained equity interest was evaluated each quarter upon determining the Company’s share of the Land JV’s net income (loss). As a result of the Land JV Sale, the liquidation of the Land JV’s assets, and the dissolution of the underlying entities, such evaluation was no longer required subsequent to December 31, 2021.</w:t>
      </w:r>
    </w:p>
    <w:p>
      <w:pPr>
        <w:spacing w:after="0" w:line="188"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i w:val="1"/>
          <w:iCs w:val="1"/>
          <w:color w:val="auto"/>
        </w:rPr>
        <w:t xml:space="preserve">Mitigation Bank. </w:t>
      </w:r>
      <w:r>
        <w:rPr>
          <w:rFonts w:ascii="Arial" w:cs="Arial" w:eastAsia="Arial" w:hAnsi="Arial"/>
          <w:sz w:val="17"/>
          <w:szCs w:val="17"/>
          <w:color w:val="auto"/>
        </w:rPr>
        <w:t>The mitigation bank transaction completed in June 2018 consisted of the sale of a 70%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entity that owns the Mitigation Bank (the “Mitigation Bank JV”). The purchaser of the 70% interest in the Mitigation Bank JV was comprised of certain funds and accounts managed by an investment advisor subsidiary of BlackRock, Inc. (“BlackRock”). The Company retained a 30% non-controlling interest in the Mitigation Bank JV. A third-party was retained by the Mitigation Bank JV as the day-to-day manager of the Mitigation Bank JV property, responsible for the maintenance, generation, tracking, and other aspects of wetland mitigation credits. Prior to September 30, 2021, the investment in joint ventures included on the Company’s consolidated balance sheets included $6.9 million related to the fair market value of the 30% retained interest in the Mitigation Bank JV.</w:t>
      </w:r>
    </w:p>
    <w:p>
      <w:pPr>
        <w:spacing w:after="0" w:line="178"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 xml:space="preserve">On September 30, 2021, the Company, through a wholly owned and fully consolidated TRS, purchased the remaining 70% interest in the Mitigation Bank JV from BlackRock for $18.0 million (the “Interest Purchase”) resulting in a net cash payment by the Company of $16.1 million after utilizing the available cash in the Mitigation Bank JV of $1.9 million. As a result of the Interest Purchase, the Mitigation Bank JV is now wholly owned by the Company and is referred to as the Mitigation Bank. Pursuant to ASU 2017-01, </w:t>
      </w:r>
      <w:r>
        <w:rPr>
          <w:rFonts w:ascii="Arial" w:cs="Arial" w:eastAsia="Arial" w:hAnsi="Arial"/>
          <w:sz w:val="16"/>
          <w:szCs w:val="16"/>
          <w:i w:val="1"/>
          <w:iCs w:val="1"/>
          <w:color w:val="auto"/>
        </w:rPr>
        <w:t>Business Combinations: Clarifying the Definition of a Business</w:t>
      </w:r>
      <w:r>
        <w:rPr>
          <w:rFonts w:ascii="Arial" w:cs="Arial" w:eastAsia="Arial" w:hAnsi="Arial"/>
          <w:sz w:val="16"/>
          <w:szCs w:val="16"/>
          <w:color w:val="auto"/>
        </w:rPr>
        <w:t>, the Interest Purchase represents an asset acquisition as substantially all of the fair value of the gross assets acquired are concentrated in a group of similar identifiable assets, i.e. the mitigation credits and mitigation credit rights. Accordingly, the Company recorded the Interest Purchase by allocating the total cost of the asset group to the individual assets acquired. The Company’s total cost of the Interest Purchase totaled $24.9 million which is comprised of (i) the $18.0 million Interest Purchase and (ii) the $6.9 million previously recorded value of the retained interest in the entity that owns the Mitigation Bank. In connection with the Interest Purchase, the previously recorded value of $6.9 million of the retained interest was eliminated and the $24.9 million total cost was allocated as follows: (i) $1.8 million to cash and cash equivalents, (ii) $0.6 million to restricted cash, (iii) $0.9 million to the mitigation credits, and (iv) $21.6 million to the mitigation credit rights.</w:t>
      </w:r>
    </w:p>
    <w:p>
      <w:pPr>
        <w:spacing w:after="0" w:line="174"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During the period from June 2018 through the date of the Interest Purchase on September 30, 2021, the operations of the Mitigation Bank JV are summarized as follows. The operating agreement of the Mitigation Bank JV (the “Operating Agreement”) was executed in conjunction with the mitigation bank transaction and stipulated that the Company should have arranged for sales of the Mitigation Bank JV’s mitigation credits to unrelated third parties totaling no less than $6.0 million of revenue to the Mitigation Bank JV, net of commissions, by the end of 2020, utilizing a maximum of 60 mitigation credits (the “Minimum Sales Requirement”). The Operating Agreement stipulated that if the Minimum Sales Requirement was not achieved, then BlackRock had the right, but was not required, to cause the Company to purchase the number of mitigation credits necessary to reach the Minimum Sales Requirement (the “Minimum Sales Guarantee”). As a result of not having achieved the Minimum Sales Requirement prior to December 31, 2020, during the nine months ended September 30, 2021, the Company had active discussions with BlackRock whereby BlackRock did not cause the Company to effectuate the Minimum Sales Guarantee; rather, the Company purchased the remaining 70% interest in the Mitigation Bank JV from BlackRock.</w:t>
      </w:r>
    </w:p>
    <w:p>
      <w:pPr>
        <w:spacing w:after="0" w:line="17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provides summarized financial information of the Mitigation Bank JV for the three and nine months ended September 30, 2021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2021</w:t>
            </w:r>
          </w:p>
        </w:tc>
        <w:tc>
          <w:tcPr>
            <w:tcW w:w="1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September 30, 2021</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09"/>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The Company’s share of the Mitigation Bank JV’s net loss was zero for the three and nine months ended September 30, 2021. Pursuant to ASC 323, certain adjustments are made when calculating the Company’s share of net income, including adjustments required to reflect the investor’s share of changes in investee’s capital to reflect distributions from the Mitigation Bank JV. Additionally, basis differences are also considered. The Company recorded the initial retained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interest in the Mitigation Bank JV of $6.8 million in June 2018 at the estimated fair market value based on the relationship of the $15.3 million sales price of the 70% equity interest to the 30% retained interest. The Mitigation Bank JV recorded the assets contributed by the Company at carry-over basis pursuant to ASC 845 which states that transfers of nonmonetary assets should typically be recorded at the transferor’s historical cost basis. Accordingly, the Company’s basis difference in the 30% retained equity interest was evaluated each quarter upon determining the Company’s share of the Mitigation Bank JV’s net income (loss). As a result of the Interest Purchase, such evaluation was no longer required subsequent to December 31,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INVESTMENT SECURITIES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As of September 30, 2022, the Company owns, in the aggregate and on a fully diluted basis, 2.17 million shares of PINE, or 16.0% of PINE’s total shares outstanding for an investment value of $35.3 million, which total includes 1.2 million OP Units, or 9.0%, which the Company received in exchange for the contribution of certain income properties to the PINE Operating Partnership, in addition to 950,011 shares of common stock owned by the Company, or 8.0%. The Company has elected the fair value option related to the aggregate investment in securities of PINE pursuant to ASC 825, otherwise such investments would have been accounted for under the equity method.</w:t>
      </w:r>
    </w:p>
    <w:p>
      <w:pPr>
        <w:spacing w:after="0" w:line="178"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consolidated statements of operations for the three and nine months ended September 30, 2022 and 2021.</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Arial" w:cs="Arial" w:eastAsia="Arial" w:hAnsi="Arial"/>
          <w:sz w:val="18"/>
          <w:szCs w:val="18"/>
          <w:color w:val="auto"/>
        </w:rPr>
        <w:t>The Company’s available-for-sale securities as of September 30, 2022 and December 31, 2021 are summarized below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Gains in</w:t>
            </w:r>
          </w:p>
        </w:tc>
        <w:tc>
          <w:tcPr>
            <w:tcW w:w="1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Losses in</w:t>
            </w: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(Level 1 Inputs)</w:t>
            </w: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17,896</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(2,487)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15,409</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19,851</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41,149</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35,260</w:t>
            </w:r>
          </w:p>
        </w:tc>
      </w:tr>
      <w:tr>
        <w:trPr>
          <w:trHeight w:val="20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35,260</w:t>
            </w: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15,643</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16,511</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38,896</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41,037</w:t>
            </w:r>
          </w:p>
        </w:tc>
      </w:tr>
      <w:tr>
        <w:trPr>
          <w:trHeight w:val="20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41,037</w:t>
            </w: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FAIR VALUE OF FINANCIAL INSTRUMENTS</w:t>
      </w:r>
    </w:p>
    <w:p>
      <w:pPr>
        <w:spacing w:after="0" w:line="229"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The following table presents the carrying value and estimated fair value of the Company’s financial instruments not carried at fair value on the consolidated balance sheets at September 30, 2022 and December 31, 2021 (in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ind w:left="260"/>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Pr>
          <w:p>
            <w:pPr>
              <w:spacing w:after="0"/>
              <w:rPr>
                <w:sz w:val="20"/>
                <w:szCs w:val="20"/>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4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8,615</w:t>
            </w: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37,292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37,292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22,734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22,734</w:t>
            </w: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 - Level 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370,248</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363,740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278,273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288,000</w:t>
            </w:r>
          </w:p>
        </w:tc>
      </w:tr>
    </w:tbl>
    <w:p>
      <w:pPr>
        <w:spacing w:after="0" w:line="18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following table presents the fair value of assets measured on a recurring basis by level as of September 30, 2022 and December 31, 2021 (in thousands). See Note 17, “Interest Rate Swaps” for further disclosure related to the Company’s interest rate swaps.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w w:val="92"/>
              </w:rPr>
              <w:t>Fair Value at Reporting Date Using</w:t>
            </w:r>
          </w:p>
        </w:tc>
      </w:tr>
      <w:tr>
        <w:trPr>
          <w:trHeight w:val="185"/>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Quoted Prices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 Active</w:t>
            </w: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Significant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Markets for</w:t>
            </w: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Significant</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Identical Assets</w:t>
            </w: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Observable</w:t>
            </w:r>
          </w:p>
        </w:tc>
        <w:tc>
          <w:tcPr>
            <w:tcW w:w="8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w w:val="96"/>
              </w:rPr>
              <w:t>Unobservable</w:t>
            </w:r>
          </w:p>
        </w:tc>
      </w:tr>
      <w:tr>
        <w:trPr>
          <w:trHeight w:val="213"/>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rPr>
              <w:t>Inputs (Level 2)</w:t>
            </w: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Inputs (Level 3)</w:t>
            </w: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Arial" w:cs="Arial" w:eastAsia="Arial" w:hAnsi="Arial"/>
                <w:sz w:val="16"/>
                <w:szCs w:val="16"/>
                <w:color w:val="auto"/>
                <w:w w:val="96"/>
              </w:rPr>
              <w:t>Cash Flow Hedge - 2026 Term Loan Interest Rate Swap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5,017</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5,017</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Cash Flow Hedge - 2026 Term Loan 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tcPr>
          <w:p>
            <w:pPr>
              <w:ind w:left="120"/>
              <w:spacing w:after="0"/>
              <w:rPr>
                <w:sz w:val="20"/>
                <w:szCs w:val="20"/>
                <w:color w:val="auto"/>
              </w:rPr>
            </w:pPr>
            <w:r>
              <w:rPr>
                <w:rFonts w:ascii="Arial" w:cs="Arial" w:eastAsia="Arial" w:hAnsi="Arial"/>
                <w:sz w:val="16"/>
                <w:szCs w:val="16"/>
                <w:color w:val="auto"/>
                <w:w w:val="96"/>
              </w:rPr>
              <w:t>Cash Flow Hedge - 2027 Term Loan Interest Rate Swap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11,055</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11,055</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Cash Flow Hedge - 2028 Term Loan 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tcPr>
          <w:p>
            <w:pPr>
              <w:ind w:left="120"/>
              <w:spacing w:after="0"/>
              <w:rPr>
                <w:sz w:val="20"/>
                <w:szCs w:val="20"/>
                <w:color w:val="auto"/>
              </w:rPr>
            </w:pPr>
            <w:r>
              <w:rPr>
                <w:rFonts w:ascii="Arial" w:cs="Arial" w:eastAsia="Arial" w:hAnsi="Arial"/>
                <w:sz w:val="16"/>
                <w:szCs w:val="16"/>
                <w:color w:val="auto"/>
              </w:rPr>
              <w:t>Investment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35,260</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35,260</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Arial" w:cs="Arial" w:eastAsia="Arial" w:hAnsi="Arial"/>
                <w:sz w:val="16"/>
                <w:szCs w:val="16"/>
                <w:color w:val="auto"/>
                <w:w w:val="96"/>
              </w:rPr>
              <w:t>Cash Flow Hedge - 2026 Term Loan Interest Rate Swap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727</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727</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Cash Flow Hedge - 2026 Term Loan 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tcPr>
          <w:p>
            <w:pPr>
              <w:ind w:left="120"/>
              <w:spacing w:after="0"/>
              <w:rPr>
                <w:sz w:val="20"/>
                <w:szCs w:val="20"/>
                <w:color w:val="auto"/>
              </w:rPr>
            </w:pPr>
            <w:r>
              <w:rPr>
                <w:rFonts w:ascii="Arial" w:cs="Arial" w:eastAsia="Arial" w:hAnsi="Arial"/>
                <w:sz w:val="16"/>
                <w:szCs w:val="16"/>
                <w:color w:val="auto"/>
                <w:w w:val="96"/>
              </w:rPr>
              <w:t>Cash Flow Hedge - 2027 Term Loan Interest Rate Swap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550</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550</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assets were measured on a non-recurring basis as of September 30, 2022 or December 31, 2021.</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INTANGIBLE ASSETS AND LIABILITIES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2022 and December 31, 2021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240" w:type="dxa"/>
            <w:vAlign w:val="bottom"/>
          </w:tcPr>
          <w:p>
            <w:pPr>
              <w:spacing w:after="0"/>
              <w:rPr>
                <w:sz w:val="16"/>
                <w:szCs w:val="16"/>
                <w:color w:val="auto"/>
              </w:rPr>
            </w:pPr>
          </w:p>
        </w:tc>
        <w:tc>
          <w:tcPr>
            <w:tcW w:w="15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20" w:type="dxa"/>
            <w:vAlign w:val="bottom"/>
          </w:tcPr>
          <w:p>
            <w:pPr>
              <w:spacing w:after="0"/>
              <w:rPr>
                <w:sz w:val="16"/>
                <w:szCs w:val="16"/>
                <w:color w:val="auto"/>
              </w:rPr>
            </w:pPr>
          </w:p>
        </w:tc>
      </w:tr>
      <w:tr>
        <w:trPr>
          <w:trHeight w:val="234"/>
        </w:trPr>
        <w:tc>
          <w:tcPr>
            <w:tcW w:w="50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69,642</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59,293</w:t>
            </w: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20" w:type="dxa"/>
            <w:vAlign w:val="bottom"/>
          </w:tcPr>
          <w:p>
            <w:pPr>
              <w:spacing w:after="0"/>
              <w:rPr>
                <w:sz w:val="18"/>
                <w:szCs w:val="18"/>
                <w:color w:val="auto"/>
              </w:rPr>
            </w:pPr>
          </w:p>
        </w:tc>
      </w:tr>
      <w:tr>
        <w:trPr>
          <w:trHeight w:val="216"/>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18,456</w:t>
            </w:r>
          </w:p>
        </w:tc>
        <w:tc>
          <w:tcPr>
            <w:tcW w:w="20" w:type="dxa"/>
            <w:vAlign w:val="bottom"/>
          </w:tcPr>
          <w:p>
            <w:pPr>
              <w:spacing w:after="0"/>
              <w:rPr>
                <w:sz w:val="18"/>
                <w:szCs w:val="18"/>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100,965</w:t>
            </w:r>
          </w:p>
        </w:tc>
        <w:tc>
          <w:tcPr>
            <w:tcW w:w="20" w:type="dxa"/>
            <w:vAlign w:val="bottom"/>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(27,161)</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(21,473)</w:t>
            </w:r>
          </w:p>
        </w:tc>
        <w:tc>
          <w:tcPr>
            <w:tcW w:w="20" w:type="dxa"/>
            <w:vAlign w:val="bottom"/>
          </w:tcPr>
          <w:p>
            <w:pPr>
              <w:spacing w:after="0"/>
              <w:rPr>
                <w:sz w:val="18"/>
                <w:szCs w:val="18"/>
                <w:color w:val="auto"/>
              </w:rPr>
            </w:pPr>
          </w:p>
        </w:tc>
      </w:tr>
      <w:tr>
        <w:trPr>
          <w:trHeight w:val="210"/>
        </w:trPr>
        <w:tc>
          <w:tcPr>
            <w:tcW w:w="5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79,492</w:t>
            </w:r>
          </w:p>
        </w:tc>
        <w:tc>
          <w:tcPr>
            <w:tcW w:w="20" w:type="dxa"/>
            <w:vAlign w:val="bottom"/>
          </w:tcPr>
          <w:p>
            <w:pPr>
              <w:spacing w:after="0"/>
              <w:rPr>
                <w:sz w:val="18"/>
                <w:szCs w:val="18"/>
                <w:color w:val="auto"/>
              </w:rPr>
            </w:pPr>
          </w:p>
        </w:tc>
      </w:tr>
      <w:tr>
        <w:trPr>
          <w:trHeight w:val="182"/>
        </w:trPr>
        <w:tc>
          <w:tcPr>
            <w:tcW w:w="5080" w:type="dxa"/>
            <w:vAlign w:val="bottom"/>
          </w:tcPr>
          <w:p>
            <w:pPr>
              <w:ind w:left="20"/>
              <w:spacing w:after="0" w:line="182" w:lineRule="exact"/>
              <w:rPr>
                <w:sz w:val="20"/>
                <w:szCs w:val="20"/>
                <w:color w:val="auto"/>
              </w:rPr>
            </w:pPr>
            <w:r>
              <w:rPr>
                <w:rFonts w:ascii="Arial" w:cs="Arial" w:eastAsia="Arial" w:hAnsi="Arial"/>
                <w:sz w:val="18"/>
                <w:szCs w:val="18"/>
                <w:color w:val="auto"/>
              </w:rPr>
              <w:t>Intangible Lease Liabilities (Included in Accrued and Other</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(8,057)</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20" w:type="dxa"/>
            <w:vAlign w:val="bottom"/>
          </w:tcPr>
          <w:p>
            <w:pPr>
              <w:spacing w:after="0"/>
              <w:rPr>
                <w:sz w:val="18"/>
                <w:szCs w:val="18"/>
                <w:color w:val="auto"/>
              </w:rPr>
            </w:pPr>
          </w:p>
        </w:tc>
      </w:tr>
      <w:tr>
        <w:trPr>
          <w:trHeight w:val="210"/>
        </w:trPr>
        <w:tc>
          <w:tcPr>
            <w:tcW w:w="508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(8,057)</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8"/>
                <w:szCs w:val="18"/>
                <w:color w:val="auto"/>
              </w:rPr>
            </w:pPr>
          </w:p>
        </w:tc>
      </w:tr>
      <w:tr>
        <w:trPr>
          <w:trHeight w:val="21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20" w:type="dxa"/>
            <w:vAlign w:val="bottom"/>
          </w:tcPr>
          <w:p>
            <w:pPr>
              <w:spacing w:after="0"/>
              <w:rPr>
                <w:sz w:val="18"/>
                <w:szCs w:val="18"/>
                <w:color w:val="auto"/>
              </w:rPr>
            </w:pPr>
          </w:p>
        </w:tc>
      </w:tr>
      <w:tr>
        <w:trPr>
          <w:trHeight w:val="20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81,676</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73,891</w:t>
            </w: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nine months ended September 30, 2022 and 2021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620" w:type="dxa"/>
            <w:vAlign w:val="bottom"/>
            <w:gridSpan w:val="5"/>
          </w:tcPr>
          <w:p>
            <w:pPr>
              <w:ind w:lef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136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2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2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Accretion to Income Properties Revenue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4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Amortization of Intangible Assets and</w:t>
            </w:r>
          </w:p>
        </w:tc>
        <w:tc>
          <w:tcPr>
            <w:tcW w:w="240" w:type="dxa"/>
            <w:vAlign w:val="bottom"/>
            <w:tcBorders>
              <w:top w:val="single" w:sz="8" w:color="auto"/>
            </w:tcBorders>
            <w:vMerge w:val="restart"/>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Future</w:t>
            </w: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Future Accretion</w:t>
            </w: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to Income</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Intangible Assets</w:t>
            </w:r>
          </w:p>
        </w:tc>
      </w:t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Revenue</w:t>
            </w:r>
          </w:p>
        </w:tc>
        <w:tc>
          <w:tcPr>
            <w:tcW w:w="10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and Liabilities</w:t>
            </w:r>
          </w:p>
        </w:tc>
      </w:tr>
      <w:tr>
        <w:trPr>
          <w:trHeight w:val="209"/>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14,298</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12,365</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9,820</w:t>
            </w:r>
          </w:p>
        </w:tc>
      </w:tr>
      <w:tr>
        <w:trPr>
          <w:trHeight w:val="21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 and Thereafter</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17,068</w:t>
            </w:r>
          </w:p>
        </w:tc>
      </w:tr>
      <w:tr>
        <w:trPr>
          <w:trHeight w:val="21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81,676</w:t>
            </w:r>
          </w:p>
        </w:tc>
      </w:tr>
      <w:tr>
        <w:trPr>
          <w:trHeight w:val="20"/>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September 30, 2022, the weighted average amortization period of total intangible assets and liabilities was 6.5 years and 9.8 years,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IMPAIRMENT OF LONG-LIVED ASSETS</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6"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There were no impairment charges on the Company’s income property portfolio during the three or nine months ended September 30, 2022. The $16.5 million impairment charge recognized during the nine months ended September 30, 2021 was related to the Company’s previously held retained interest in the Land JV as a result of the estimated proceeds to be received in connection with the contract entered into with Timberline Acquisition Partners, an affiliate of Timberline Real Estate Partners (“Timberline”). The sale to Timberline closed on December 10, 2021.</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OTHER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consisted of the following as of September 30, 2022 and December 31, 2021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860" w:type="dxa"/>
            <w:vAlign w:val="bottom"/>
            <w:tcBorders>
              <w:bottom w:val="single" w:sz="8" w:color="auto"/>
            </w:tcBorders>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36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224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10"/>
        </w:trPr>
        <w:tc>
          <w:tcPr>
            <w:tcW w:w="64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Income Property Tenant Receivables, Net of Allowance for Doubtful Accounts </w:t>
            </w:r>
            <w:r>
              <w:rPr>
                <w:rFonts w:ascii="Arial" w:cs="Arial" w:eastAsia="Arial" w:hAnsi="Arial"/>
                <w:sz w:val="24"/>
                <w:szCs w:val="24"/>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Income Property Straight-line Rent Adjustment and COVID-19 Deferral Balance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5,180</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 Right-of-Use Asset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Golf Rounds Surcharge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Infrastructure Reimbursement Receivables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Deposits, and 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Due from Alpine Income Property Trust, Inc.</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1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14,897</w:t>
            </w:r>
          </w:p>
        </w:tc>
      </w:tr>
      <w:tr>
        <w:trPr>
          <w:trHeight w:val="20"/>
        </w:trPr>
        <w:tc>
          <w:tcPr>
            <w:tcW w:w="2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r>
    </w:tbl>
    <w:p>
      <w:pPr>
        <w:ind w:left="380" w:hanging="330"/>
        <w:spacing w:after="0" w:line="200" w:lineRule="auto"/>
        <w:tabs>
          <w:tab w:leader="none" w:pos="38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Includes a $1.3 million and $0.5 million allowance for doubtful accounts as of September 30, 2022 and December 31, 2021, respectively.</w:t>
      </w:r>
    </w:p>
    <w:p>
      <w:pPr>
        <w:spacing w:after="0" w:line="188"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i w:val="1"/>
          <w:iCs w:val="1"/>
          <w:color w:val="auto"/>
        </w:rPr>
        <w:t xml:space="preserve">Income Property Straight-Line Rent Adjustment. </w:t>
      </w:r>
      <w:r>
        <w:rPr>
          <w:rFonts w:ascii="Arial" w:cs="Arial" w:eastAsia="Arial" w:hAnsi="Arial"/>
          <w:sz w:val="16"/>
          <w:szCs w:val="16"/>
          <w:color w:val="auto"/>
        </w:rPr>
        <w:t>As of September 30, 2022 and December 31, 2021, the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rent adjustment includes a balance of $0.1 million of deferred rent related to the COVID-19 Pandemic. Pursuant to the interpretive guidance issued by the FASB in April 2020 on lease modifications, for leases in which deferred rent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agreements were reached, the Company has continued to account for the lease concessions by recognizing the normal straight-line rental income and as the deferred rents are repaid by the tenant, the straight-line receivable will be reduced.</w:t>
      </w:r>
    </w:p>
    <w:p>
      <w:pPr>
        <w:spacing w:after="0" w:line="124"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Infrastructure Reimbursement Receivables. </w:t>
      </w:r>
      <w:r>
        <w:rPr>
          <w:rFonts w:ascii="Arial" w:cs="Arial" w:eastAsia="Arial" w:hAnsi="Arial"/>
          <w:sz w:val="18"/>
          <w:szCs w:val="18"/>
          <w:color w:val="auto"/>
        </w:rPr>
        <w:t>As of September 30, 2022 and December 31, 2021, the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receivables were all related to the land sales within the Tomoka Town Center. The balance as of September 30, 2022 consisted of $0.8 million due from Tanger for infrastructure reimbursement to be repaid in five remaining annual installments of approximately $0.2 million each, net of a discount of $0.08 million, and $0.3 million due from Sam’s Club for infrastructure reimbursement to be repaid in three remaining annual installments of $0.1 million each, net of a discount of $0.02 million.</w:t>
      </w:r>
    </w:p>
    <w:p>
      <w:pPr>
        <w:spacing w:after="0" w:line="19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 xml:space="preserve">Prepaid Expenses, Deposits, and Other. </w:t>
      </w:r>
      <w:r>
        <w:rPr>
          <w:rFonts w:ascii="Arial" w:cs="Arial" w:eastAsia="Arial" w:hAnsi="Arial"/>
          <w:sz w:val="18"/>
          <w:szCs w:val="18"/>
          <w:color w:val="auto"/>
        </w:rPr>
        <w:t>As of September 30, 2022, the $8.8 million of prepaid expenses,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included $4.7 million of earnest money deposits related to the acquisition of West Broad Village which closed on October 14, 2022 as further described in Note 25. “Subsequent Events”.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 xml:space="preserve">On April 27, 2022, the Company announced that its Board of Directors approved a three-for-one stock split of the Company’s common stock to be effected in the form of a stock dividend. Each stockholder of record at the close of business on June 27, 2022 (the “Record Date”), received two additional shares of the Company’s common stock for each share held as of the Record Date. The new shares were distributed after the market closed on June 30, 2022. The Company’s stock began trading at the post-split price on July 1, 2022. Pursuant to FASB ASC Topic 505, </w:t>
      </w:r>
      <w:r>
        <w:rPr>
          <w:rFonts w:ascii="Arial" w:cs="Arial" w:eastAsia="Arial" w:hAnsi="Arial"/>
          <w:sz w:val="17"/>
          <w:szCs w:val="17"/>
          <w:i w:val="1"/>
          <w:iCs w:val="1"/>
          <w:color w:val="auto"/>
        </w:rPr>
        <w:t>Equity</w:t>
      </w:r>
      <w:r>
        <w:rPr>
          <w:rFonts w:ascii="Arial" w:cs="Arial" w:eastAsia="Arial" w:hAnsi="Arial"/>
          <w:sz w:val="17"/>
          <w:szCs w:val="17"/>
          <w:color w:val="auto"/>
        </w:rPr>
        <w:t>, the Company has adjusted the computations of basic and diluted earnings per share retroactively for all periods presented. Similarly, the Company has retroactively updated the disclosures in each prior period presented to conform to the split-adjusted dividend amount, for per share amounts including but not limited to dividends declared, stock-based compensation shares outstanding, ATM program activity, and share repurchases.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21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 On October 11, 2022, the Company filed a new shelf registration statement on Form S-3 (File No. 333-267819). See Note 25, “Subsequent Events”.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On April 30, 2021, the Company implemented a $150.0 million “at-the-market” equity offering program (the “ATM Program”) pursuant to which the Company may sell, from time to time, shares of the Company’s common stock. During the three months ended September 30, 2022, the Company sold 565,687 shares under the ATM Program for gross proceeds of $12.5 million at a weighted average price of $22.02 per share, generating net proceeds of $12.3 million after deducting transaction fees totaling less than $0.2 million. During the nine months ended September 30, 2022, the Company sold 961,261 shares under the ATM Program for gross proceeds of $21.1 million at a weighted average price of $21.99 per share, generating net proceeds of $20.8 million after deducting transaction fees totaling $0.3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following table outlines dividends declared and paid for each issuance of CTO’s stock during the three and nine months ended September 30, 2022 and 2021 (in thousands, except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30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2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0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420" w:type="dxa"/>
            <w:vAlign w:val="bottom"/>
          </w:tcPr>
          <w:p>
            <w:pPr>
              <w:jc w:val="center"/>
              <w:ind w:right="1150"/>
              <w:spacing w:after="0"/>
              <w:rPr>
                <w:sz w:val="20"/>
                <w:szCs w:val="20"/>
                <w:color w:val="auto"/>
              </w:rPr>
            </w:pPr>
            <w:r>
              <w:rPr>
                <w:rFonts w:ascii="Arial" w:cs="Arial" w:eastAsia="Arial" w:hAnsi="Arial"/>
                <w:sz w:val="18"/>
                <w:szCs w:val="18"/>
                <w:color w:val="auto"/>
                <w:w w:val="93"/>
              </w:rPr>
              <w:t>Dividends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3,586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16"/>
        </w:trPr>
        <w:tc>
          <w:tcPr>
            <w:tcW w:w="242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6"/>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0.3763</w:t>
            </w: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42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90"/>
              </w:rPr>
              <w:t>Common Stock</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420" w:type="dxa"/>
            <w:vAlign w:val="bottom"/>
          </w:tcPr>
          <w:p>
            <w:pPr>
              <w:jc w:val="center"/>
              <w:ind w:right="1150"/>
              <w:spacing w:after="0"/>
              <w:rPr>
                <w:sz w:val="20"/>
                <w:szCs w:val="20"/>
                <w:color w:val="auto"/>
              </w:rPr>
            </w:pPr>
            <w:r>
              <w:rPr>
                <w:rFonts w:ascii="Arial" w:cs="Arial" w:eastAsia="Arial" w:hAnsi="Arial"/>
                <w:sz w:val="18"/>
                <w:szCs w:val="18"/>
                <w:color w:val="auto"/>
                <w:w w:val="93"/>
              </w:rPr>
              <w:t>Dividends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7,095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20,292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17,700</w:t>
            </w:r>
          </w:p>
        </w:tc>
      </w:tr>
      <w:tr>
        <w:trPr>
          <w:trHeight w:val="216"/>
        </w:trPr>
        <w:tc>
          <w:tcPr>
            <w:tcW w:w="242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6"/>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2025 NOTES</w:t>
      </w:r>
    </w:p>
    <w:p>
      <w:pPr>
        <w:spacing w:after="0" w:line="225"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COMMON STOCK AND EARNINGS PER SHARE</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Basic earnings per common share is computed by dividing net income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w:t>
      </w:r>
    </w:p>
    <w:p>
      <w:pPr>
        <w:spacing w:after="0" w:line="163" w:lineRule="exact"/>
        <w:rPr>
          <w:sz w:val="20"/>
          <w:szCs w:val="20"/>
          <w:color w:val="auto"/>
        </w:rPr>
      </w:pPr>
    </w:p>
    <w:p>
      <w:pPr>
        <w:jc w:val="both"/>
        <w:ind w:left="60" w:right="59" w:firstLine="441"/>
        <w:spacing w:after="0" w:line="261" w:lineRule="auto"/>
        <w:rPr>
          <w:sz w:val="20"/>
          <w:szCs w:val="20"/>
          <w:color w:val="auto"/>
        </w:rPr>
      </w:pPr>
      <w:r>
        <w:rPr>
          <w:rFonts w:ascii="Arial" w:cs="Arial" w:eastAsia="Arial" w:hAnsi="Arial"/>
          <w:sz w:val="18"/>
          <w:szCs w:val="18"/>
          <w:color w:val="auto"/>
        </w:rPr>
        <w:t>The following is a reconciliation of basic and diluted earnings per common share for each of the periods presented (in thousands, except share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2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Basic and Diluted Earnings: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Used in Basic EPS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0" w:type="dxa"/>
            <w:vAlign w:val="bottom"/>
          </w:tcPr>
          <w:p>
            <w:pPr>
              <w:spacing w:after="0"/>
              <w:rPr>
                <w:sz w:val="1"/>
                <w:szCs w:val="1"/>
                <w:color w:val="auto"/>
              </w:rPr>
            </w:pPr>
          </w:p>
        </w:tc>
      </w:tr>
      <w:tr>
        <w:trPr>
          <w:trHeight w:val="192"/>
        </w:trPr>
        <w:tc>
          <w:tcPr>
            <w:tcW w:w="3880" w:type="dxa"/>
            <w:vAlign w:val="bottom"/>
          </w:tcPr>
          <w:p>
            <w:pPr>
              <w:ind w:left="20"/>
              <w:spacing w:after="0" w:line="192" w:lineRule="exact"/>
              <w:rPr>
                <w:sz w:val="20"/>
                <w:szCs w:val="20"/>
                <w:color w:val="auto"/>
              </w:rPr>
            </w:pPr>
            <w:r>
              <w:rPr>
                <w:rFonts w:ascii="Arial" w:cs="Arial" w:eastAsia="Arial" w:hAnsi="Arial"/>
                <w:sz w:val="18"/>
                <w:szCs w:val="18"/>
                <w:color w:val="auto"/>
              </w:rPr>
              <w:t>Add Back: Effect of Dilutive Interest Related to</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880" w:type="dxa"/>
            <w:vAlign w:val="bottom"/>
          </w:tcPr>
          <w:p>
            <w:pPr>
              <w:ind w:left="20"/>
              <w:spacing w:after="0" w:line="24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8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Common</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0" w:type="dxa"/>
            <w:vAlign w:val="bottom"/>
          </w:tcPr>
          <w:p>
            <w:pPr>
              <w:spacing w:after="0"/>
              <w:rPr>
                <w:sz w:val="1"/>
                <w:szCs w:val="1"/>
                <w:color w:val="auto"/>
              </w:rPr>
            </w:pPr>
          </w:p>
        </w:tc>
      </w:tr>
      <w:tr>
        <w:trPr>
          <w:trHeight w:val="21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Used in Diluted EPS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18,386,435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17,703,284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18,044,299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17,678,701</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Common Shares Applicable to Dilutive Effect of</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88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6"/>
                <w:szCs w:val="26"/>
                <w:color w:val="auto"/>
                <w:vertAlign w:val="superscript"/>
              </w:rPr>
              <w:t>(2)</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3,119,025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21,505,460</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17,703,284</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18,044,299</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17,678,701</w:t>
            </w: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Per Share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Income Attributable to Common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760730</wp:posOffset>
            </wp:positionV>
            <wp:extent cx="1414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380" w:right="79" w:hanging="330"/>
        <w:spacing w:after="0" w:line="225" w:lineRule="auto"/>
        <w:tabs>
          <w:tab w:leader="none" w:pos="38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As applicable, includes interest expense, amortization of discount, amortization of fees, and other changes in net income or loss that would result from the assumed conversion of the 2025 Notes (hereinafter defined). For the three months ended September 30 2022, a total of $0.5 million was included as the impact to earnings per share, if-converted, is dilutive. For the nine months ended September 30, 2022, the impact of $1.6 million was not included as the impact to earnings per share, if-converted, would be antidilutive to the net income of $2.6 million.</w:t>
      </w:r>
    </w:p>
    <w:p>
      <w:pPr>
        <w:spacing w:after="0" w:line="2" w:lineRule="exact"/>
        <w:rPr>
          <w:rFonts w:ascii="Arial" w:cs="Arial" w:eastAsia="Arial" w:hAnsi="Arial"/>
          <w:sz w:val="17"/>
          <w:szCs w:val="17"/>
          <w:color w:val="auto"/>
          <w:vertAlign w:val="superscript"/>
        </w:rPr>
      </w:pPr>
    </w:p>
    <w:p>
      <w:pPr>
        <w:jc w:val="both"/>
        <w:ind w:left="380" w:right="79" w:hanging="330"/>
        <w:spacing w:after="0" w:line="212" w:lineRule="auto"/>
        <w:tabs>
          <w:tab w:leader="none" w:pos="38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 total of 3.1 million shares representing the dilutive impact of the 2025 Notes, upon adoption of ASU 2020-06 effective January 1, 2022, were included in the computation of diluted net income per share attributable to common stockholders for the three months ended September 30, 2022. A total of 3.1 million shares representing the dilutive impact of the 2025 Notes, were not included in the computation of diluted net income per share attributable to common stockholders for the nine months ended September 30, 2022 because they were antidilutive to the net income of $2.6 million.</w:t>
      </w:r>
    </w:p>
    <w:p>
      <w:pPr>
        <w:spacing w:after="0" w:line="189"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There were no potentially dilutive securities for the three and nine months ended September 30, 2022 or 2021 related to the Company’s stock options and restricted stock. The effect of 68,269 potentially dilutive stock options and restricted stock units were not included for the nine months ended September 30, 2022, as the effect would be anti-dilutive.</w:t>
      </w:r>
    </w:p>
    <w:p>
      <w:pPr>
        <w:spacing w:after="0" w:line="149"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Effective January 1, 2022, the Company adopted ASU 2020-06 whereby diluted EPS includes the dilutive impact, if any, of the 2025 Notes (hereinafter defined)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Company overcame the presumption of share settlement prior to the adoption of ASU 2020-06, and therefore, there was no dilutive impact for the year ended December 31, 2021. The effect of 3.1 million potentially dilutive 2025 Notes, if-converted, were not included for the nine months ended September 30, 2022, as the effect would be anti-dilutive.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SHARE REPURCHASES</w:t>
      </w:r>
    </w:p>
    <w:p>
      <w:pPr>
        <w:spacing w:after="0" w:line="229"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In February 2020, the Company’s Board approved a $10.0 million stock repurchase program (the “$10.0 Million Repurchase Program”). During the year ended December 31, 2020, the Company repurchased 88,565 shares of its common stock on the open market for a total cost of $4.1 million, or an average price per share of $46.29. During the year ended December 31, 2021, the Company repurchased 40,553 shares of its common stock on the open market for a total cost of $2.2 million, or an average price per share of $54.48. During the nine months ended September 30, 2022, the Company repurchased 145,724 shares of its common stock on the open market for a total cost of $2.8 million, or an average price per share of $19.15. There were no repurchases of the Company’s common stock during the nine months ended September 30, 2021. The $10.0 Million Repurchase Program has $0.9 million remaining and does not have an expiration date.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2022, the Company’s outstanding indebtedness, at face value, was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Face Value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Maturity Date</w:t>
            </w:r>
          </w:p>
        </w:tc>
        <w:tc>
          <w:tcPr>
            <w:tcW w:w="2120" w:type="dxa"/>
            <w:vAlign w:val="bottom"/>
          </w:tcPr>
          <w:p>
            <w:pPr>
              <w:ind w:left="56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195"/>
        </w:trPr>
        <w:tc>
          <w:tcPr>
            <w:tcW w:w="224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ind w:left="240"/>
              <w:spacing w:after="0" w:line="195" w:lineRule="exact"/>
              <w:rPr>
                <w:sz w:val="20"/>
                <w:szCs w:val="20"/>
                <w:color w:val="auto"/>
              </w:rPr>
            </w:pPr>
            <w:r>
              <w:rPr>
                <w:rFonts w:ascii="Arial" w:cs="Arial" w:eastAsia="Arial" w:hAnsi="Arial"/>
                <w:sz w:val="18"/>
                <w:szCs w:val="18"/>
                <w:color w:val="auto"/>
                <w:w w:val="94"/>
              </w:rPr>
              <w:t>30-day SOFR + 0.10% +</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January 2027</w:t>
            </w:r>
          </w:p>
        </w:tc>
        <w:tc>
          <w:tcPr>
            <w:tcW w:w="21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422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(1)</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ind w:left="240"/>
              <w:spacing w:after="0" w:line="201" w:lineRule="exact"/>
              <w:rPr>
                <w:sz w:val="20"/>
                <w:szCs w:val="20"/>
                <w:color w:val="auto"/>
              </w:rPr>
            </w:pPr>
            <w:r>
              <w:rPr>
                <w:rFonts w:ascii="Arial" w:cs="Arial" w:eastAsia="Arial" w:hAnsi="Arial"/>
                <w:sz w:val="18"/>
                <w:szCs w:val="18"/>
                <w:color w:val="auto"/>
                <w:w w:val="94"/>
              </w:rPr>
              <w:t>30-day SOFR + 0.10% +</w:t>
            </w:r>
          </w:p>
        </w:tc>
        <w:tc>
          <w:tcPr>
            <w:tcW w:w="0" w:type="dxa"/>
            <w:vAlign w:val="bottom"/>
          </w:tcPr>
          <w:p>
            <w:pPr>
              <w:spacing w:after="0"/>
              <w:rPr>
                <w:sz w:val="1"/>
                <w:szCs w:val="1"/>
                <w:color w:val="auto"/>
              </w:rPr>
            </w:pPr>
          </w:p>
        </w:tc>
      </w:tr>
      <w:tr>
        <w:trPr>
          <w:trHeight w:val="230"/>
        </w:trPr>
        <w:tc>
          <w:tcPr>
            <w:tcW w:w="42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March 2026</w:t>
            </w:r>
          </w:p>
        </w:tc>
        <w:tc>
          <w:tcPr>
            <w:tcW w:w="2120" w:type="dxa"/>
            <w:vAlign w:val="bottom"/>
          </w:tcPr>
          <w:p>
            <w:pPr>
              <w:jc w:val="center"/>
              <w:ind w:left="7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42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30-day SOFR + 0.10% +</w:t>
            </w:r>
          </w:p>
        </w:tc>
        <w:tc>
          <w:tcPr>
            <w:tcW w:w="0" w:type="dxa"/>
            <w:vAlign w:val="bottom"/>
          </w:tcPr>
          <w:p>
            <w:pPr>
              <w:spacing w:after="0"/>
              <w:rPr>
                <w:sz w:val="1"/>
                <w:szCs w:val="1"/>
                <w:color w:val="auto"/>
              </w:rPr>
            </w:pPr>
          </w:p>
        </w:tc>
      </w:tr>
      <w:tr>
        <w:trPr>
          <w:trHeight w:val="230"/>
        </w:trPr>
        <w:tc>
          <w:tcPr>
            <w:tcW w:w="42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January 2027</w:t>
            </w:r>
          </w:p>
        </w:tc>
        <w:tc>
          <w:tcPr>
            <w:tcW w:w="21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422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2028 Term Loan </w:t>
            </w:r>
            <w:r>
              <w:rPr>
                <w:rFonts w:ascii="Arial" w:cs="Arial" w:eastAsia="Arial" w:hAnsi="Arial"/>
                <w:sz w:val="26"/>
                <w:szCs w:val="26"/>
                <w:color w:val="auto"/>
                <w:vertAlign w:val="superscript"/>
              </w:rPr>
              <w:t>(3)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ind w:left="240"/>
              <w:spacing w:after="0" w:line="201" w:lineRule="exact"/>
              <w:rPr>
                <w:sz w:val="20"/>
                <w:szCs w:val="20"/>
                <w:color w:val="auto"/>
              </w:rPr>
            </w:pPr>
            <w:r>
              <w:rPr>
                <w:rFonts w:ascii="Arial" w:cs="Arial" w:eastAsia="Arial" w:hAnsi="Arial"/>
                <w:sz w:val="18"/>
                <w:szCs w:val="18"/>
                <w:color w:val="auto"/>
                <w:w w:val="94"/>
              </w:rPr>
              <w:t>30-day SOFR + 0.10% +</w:t>
            </w:r>
          </w:p>
        </w:tc>
        <w:tc>
          <w:tcPr>
            <w:tcW w:w="0" w:type="dxa"/>
            <w:vAlign w:val="bottom"/>
          </w:tcPr>
          <w:p>
            <w:pPr>
              <w:spacing w:after="0"/>
              <w:rPr>
                <w:sz w:val="1"/>
                <w:szCs w:val="1"/>
                <w:color w:val="auto"/>
              </w:rPr>
            </w:pPr>
          </w:p>
        </w:tc>
      </w:tr>
      <w:tr>
        <w:trPr>
          <w:trHeight w:val="230"/>
        </w:trPr>
        <w:tc>
          <w:tcPr>
            <w:tcW w:w="42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January 2028</w:t>
            </w:r>
          </w:p>
        </w:tc>
        <w:tc>
          <w:tcPr>
            <w:tcW w:w="2120" w:type="dxa"/>
            <w:vAlign w:val="bottom"/>
          </w:tcPr>
          <w:p>
            <w:pPr>
              <w:jc w:val="center"/>
              <w:ind w:left="70"/>
              <w:spacing w:after="0"/>
              <w:rPr>
                <w:sz w:val="20"/>
                <w:szCs w:val="20"/>
                <w:color w:val="auto"/>
              </w:rPr>
            </w:pPr>
            <w:r>
              <w:rPr>
                <w:rFonts w:ascii="Arial" w:cs="Arial" w:eastAsia="Arial" w:hAnsi="Arial"/>
                <w:sz w:val="18"/>
                <w:szCs w:val="18"/>
                <w:color w:val="auto"/>
                <w:w w:val="93"/>
              </w:rPr>
              <w:t>[1.20% - 2.15%]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3.875% Convertible Senior Notes due 2025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April 2025</w:t>
            </w:r>
          </w:p>
        </w:tc>
        <w:tc>
          <w:tcPr>
            <w:tcW w:w="21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3.875%</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Mortgage Note Payable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17,800</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2"/>
              </w:rPr>
              <w:t>August 2026</w:t>
            </w:r>
          </w:p>
        </w:tc>
        <w:tc>
          <w:tcPr>
            <w:tcW w:w="2120" w:type="dxa"/>
            <w:vAlign w:val="bottom"/>
            <w:tcBorders>
              <w:bottom w:val="single" w:sz="8" w:color="CCEEFF"/>
            </w:tcBorders>
          </w:tcPr>
          <w:p>
            <w:pPr>
              <w:jc w:val="center"/>
              <w:ind w:left="70"/>
              <w:spacing w:after="0"/>
              <w:rPr>
                <w:sz w:val="20"/>
                <w:szCs w:val="20"/>
                <w:color w:val="auto"/>
              </w:rPr>
            </w:pPr>
            <w:r>
              <w:rPr>
                <w:rFonts w:ascii="Arial" w:cs="Arial" w:eastAsia="Arial" w:hAnsi="Arial"/>
                <w:sz w:val="18"/>
                <w:szCs w:val="18"/>
                <w:color w:val="auto"/>
                <w:w w:val="91"/>
              </w:rPr>
              <w:t>4.060%</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Face Value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372,334</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79" w:hanging="330"/>
        <w:spacing w:after="0" w:line="195" w:lineRule="auto"/>
        <w:tabs>
          <w:tab w:leader="none" w:pos="379"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Company utilized interest rate swaps on the $65.0 million 2026 Term Loan balance to fix SOFR and achieve a weighted average fixed swap rate of 0.26% plus the 10 bps SOFR adjustment plus the applicable spread.</w:t>
      </w:r>
    </w:p>
    <w:p>
      <w:pPr>
        <w:ind w:left="380" w:right="79" w:hanging="330"/>
        <w:spacing w:after="0" w:line="182" w:lineRule="auto"/>
        <w:tabs>
          <w:tab w:leader="none" w:pos="3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Company utilized interest rate swaps on the $100.0 million 2027 Term Loan balance to fix SOFR and achieve a fixed swap rate of 0.64% plus the 10 bps SOFR adjustment plus the applicable spread.</w:t>
      </w:r>
    </w:p>
    <w:p>
      <w:pPr>
        <w:ind w:left="380" w:right="79" w:hanging="330"/>
        <w:spacing w:after="0" w:line="184"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The Company entered into interest rate swaps on the $100.0 million 2028 Term Loan balance to fix SOFR and achieve a weighted average fixed swap rate of 3.78% plus the 10 bps SOFR adjustment plus the applicable spread.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The Credit Facility, with Bank of Montreal (“BMO”) as the administrative agent for the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As a result of the March 2021 Revolver Amendment and the Eighth Amendment, both as defined below, The Huntington National Bank, PNC Bank, National Association, and Regions Bank, were added as lenders to the Company’s Credit Facility.</w:t>
      </w:r>
    </w:p>
    <w:p>
      <w:pPr>
        <w:spacing w:after="0" w:line="19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spacing w:after="0" w:line="18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July 1, 2020, the Company entered into the fourth amendment to the 2017 Amended Credit Facility (the “July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Revolver Amendment”) whereby the tangible net worth covenant was adjusted to be more reflective of market terms.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July 2020 Revolver Amendment was effective as of March 31, 2020.</w:t>
      </w:r>
    </w:p>
    <w:p>
      <w:pPr>
        <w:spacing w:after="0" w:line="211" w:lineRule="exact"/>
        <w:rPr>
          <w:sz w:val="20"/>
          <w:szCs w:val="20"/>
          <w:color w:val="auto"/>
        </w:rPr>
      </w:pPr>
    </w:p>
    <w:p>
      <w:pPr>
        <w:jc w:val="both"/>
        <w:ind w:left="60" w:right="79" w:firstLine="441"/>
        <w:spacing w:after="0" w:line="291" w:lineRule="auto"/>
        <w:rPr>
          <w:sz w:val="20"/>
          <w:szCs w:val="20"/>
          <w:color w:val="auto"/>
        </w:rPr>
      </w:pPr>
      <w:r>
        <w:rPr>
          <w:rFonts w:ascii="Arial" w:cs="Arial" w:eastAsia="Arial" w:hAnsi="Arial"/>
          <w:sz w:val="16"/>
          <w:szCs w:val="16"/>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95"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61"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the 2026 Term Loan in the aggregate amount of $50.0 million,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spacing w:after="0" w:line="181"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September 20, 2022, the Company entered into an Eighth Amendment to the 2017 Amended Credit Facility (the “Eighth Amendment”), which includes among other things: (i) the origination of a new Term Loan, as defined in the Credit Agreement, in the amount of $100.0 million, (ii) the increase of Revolving Credit Commitments, as defined in the Credit Agreement, up to $300.0 million, (iii) an accordion option that allows the Company to request additional revolving loan commitments and additional term loan commitments, provided, (i) the aggregate amount of revolving loan commitments shall not exceed $750,000,000 and (ii) the aggregate amount of term loan commitments shall not exceed $500,000,000, (iv) an extension of the Revolving Credit Termination Date, as defined in the Credit Agreement, from May 24, 2023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spacing w:after="0" w:line="15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At September 30, 2022, the current commitment level under the Credit Facility was $300.0 million. The undrawn commitment under the Credit Facility totaled $261.5 million. As of September 30, 2022, the Credit Facility had a $38.5 million balance outstanding.</w:t>
      </w:r>
    </w:p>
    <w:p>
      <w:pPr>
        <w:spacing w:after="0" w:line="18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6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Mortgage Notes Payable</w:t>
      </w:r>
      <w:r>
        <w:rPr>
          <w:rFonts w:ascii="Arial" w:cs="Arial" w:eastAsia="Arial" w:hAnsi="Arial"/>
          <w:sz w:val="18"/>
          <w:szCs w:val="18"/>
          <w:color w:val="auto"/>
        </w:rPr>
        <w:t>. On March 3, 2022, in connection with the acquisition of Price Plaza Shopping Center,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assumed an existing $17.8 million secured fixed-rate mortgage note payable, which bears interest at a fixed rate of 4.06% and matures in August 2026.</w:t>
      </w:r>
    </w:p>
    <w:p>
      <w:pPr>
        <w:spacing w:after="0" w:line="184"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The Company’s $75.0 million aggregate principal amount of 4.50% Convertible Notes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Notes”) were scheduled to mature on March 15, 2020; however, the Company completed the Note Exchanges, hereinafter defined, on February 4, 2020. The initial conversion rate was 14.5136 shares of common stock for each $1,000 principal amount of the 2020 Notes, which represented an initial conversion price of $68.90 per share of common stock.</w:t>
      </w:r>
    </w:p>
    <w:p>
      <w:pPr>
        <w:spacing w:after="0" w:line="157"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February 4, 2020, the Company closed privately negotiated exchange agreements with certain holders of its outstanding 2020 Notes pursuant to which the Company issued $57.4 million principal amount of the 2025 Notes in exchange for $57.4 million principal amount of the 2020 Notes (the “Note Exchanges”). In addition, the Company closed a privately negotiated purchase agreement with an investor, who had not invested in the 2020 Notes, and issued $17.6 million principal amount of the 2025 Notes (the “New Notes Placement,” and together with the Note Exchanges, the “Convert Transactions”). The Company used $5.9 million of the proceeds from the New Notes Placement to repurchase $5.9 million of the 2020 Notes. As a result of the Convert Transactions there was a total of $75.0 million aggregate principal amount of 2025 Notes outstanding.</w:t>
      </w:r>
    </w:p>
    <w:p>
      <w:pPr>
        <w:spacing w:after="0" w:line="192"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In exchange for issuing the 2025 Notes pursuant to the Note Exchanges, the Company received and cancelled the exchanged 2020 Notes. The $11.7 million of net proceeds from the New Notes Placement were used to redeem at maturity on March 15, 2020 $11.7 million of the aggregate principal amount of the 2020 Notes that remained outstanding.</w:t>
      </w:r>
    </w:p>
    <w:p>
      <w:pPr>
        <w:spacing w:after="0" w:line="149" w:lineRule="exact"/>
        <w:rPr>
          <w:sz w:val="20"/>
          <w:szCs w:val="20"/>
          <w:color w:val="auto"/>
        </w:rPr>
      </w:pPr>
    </w:p>
    <w:p>
      <w:pPr>
        <w:jc w:val="both"/>
        <w:ind w:left="60" w:right="79" w:firstLine="441"/>
        <w:spacing w:after="0" w:line="275" w:lineRule="auto"/>
        <w:rPr>
          <w:sz w:val="20"/>
          <w:szCs w:val="20"/>
          <w:color w:val="auto"/>
        </w:rPr>
      </w:pPr>
      <w:r>
        <w:rPr>
          <w:rFonts w:ascii="Arial" w:cs="Arial" w:eastAsia="Arial" w:hAnsi="Arial"/>
          <w:sz w:val="17"/>
          <w:szCs w:val="17"/>
          <w:color w:val="auto"/>
        </w:rPr>
        <w:t>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September 30, 2022.</w:t>
      </w:r>
    </w:p>
    <w:p>
      <w:pPr>
        <w:spacing w:after="0" w:line="176"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effectuating the conversion rate for the three-for-one stock split effective July 1, 2022, and after the third quarter 2022 dividend, the conversion rate is equal to 61.1166 shares of common stock for each $1,000 principal amount of 2025 Notes, which represents an adjusted conversion price of $16.36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7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85"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September 30, 2022, the unamortized debt discount of our 2025 Notes was $0.4 million, which represents the cash component of the discount.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5"/>
          </w:tcPr>
          <w:p>
            <w:pPr>
              <w:ind w:left="100"/>
              <w:spacing w:after="0"/>
              <w:rPr>
                <w:sz w:val="20"/>
                <w:szCs w:val="20"/>
                <w:color w:val="auto"/>
              </w:rPr>
            </w:pPr>
            <w:r>
              <w:rPr>
                <w:rFonts w:ascii="Arial" w:cs="Arial" w:eastAsia="Arial" w:hAnsi="Arial"/>
                <w:sz w:val="18"/>
                <w:szCs w:val="18"/>
                <w:b w:val="1"/>
                <w:bCs w:val="1"/>
                <w:color w:val="auto"/>
              </w:rPr>
              <w:t>September 30, 2022</w:t>
            </w:r>
          </w:p>
        </w:tc>
        <w:tc>
          <w:tcPr>
            <w:tcW w:w="420" w:type="dxa"/>
            <w:vAlign w:val="bottom"/>
          </w:tcPr>
          <w:p>
            <w:pPr>
              <w:spacing w:after="0"/>
              <w:rPr>
                <w:sz w:val="20"/>
                <w:szCs w:val="20"/>
                <w:color w:val="auto"/>
              </w:rPr>
            </w:pPr>
          </w:p>
        </w:tc>
        <w:tc>
          <w:tcPr>
            <w:tcW w:w="2580" w:type="dxa"/>
            <w:vAlign w:val="bottom"/>
            <w:gridSpan w:val="4"/>
          </w:tcPr>
          <w:p>
            <w:pPr>
              <w:ind w:left="36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37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93"/>
              </w:rPr>
              <w:t>Due Within</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95"/>
              </w:rPr>
              <w:t>Due Within</w:t>
            </w: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One Year</w:t>
            </w:r>
          </w:p>
        </w:tc>
        <w:tc>
          <w:tcPr>
            <w:tcW w:w="420" w:type="dxa"/>
            <w:vAlign w:val="bottom"/>
          </w:tcPr>
          <w:p>
            <w:pPr>
              <w:spacing w:after="0"/>
              <w:rPr>
                <w:sz w:val="20"/>
                <w:szCs w:val="20"/>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One Year</w:t>
            </w: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Term Loan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2028 Term Loan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02"/>
        </w:trPr>
        <w:tc>
          <w:tcPr>
            <w:tcW w:w="3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3.875% Convertible Senior Notes, net of</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Mortgage Note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2"/>
        </w:trPr>
        <w:tc>
          <w:tcPr>
            <w:tcW w:w="3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Financing Costs, net of Accumulated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0"/>
        </w:trPr>
        <w:tc>
          <w:tcPr>
            <w:tcW w:w="3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370,248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278,273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Payments applicable to reduction of principal amounts as of September 30, 2022 will be required as follows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September 30, 2022</w:t>
            </w:r>
          </w:p>
        </w:tc>
        <w:tc>
          <w:tcPr>
            <w:tcW w:w="360" w:type="dxa"/>
            <w:vAlign w:val="bottom"/>
          </w:tcPr>
          <w:p>
            <w:pPr>
              <w:spacing w:after="0"/>
              <w:rPr>
                <w:sz w:val="20"/>
                <w:szCs w:val="20"/>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Amount</w:t>
            </w:r>
          </w:p>
        </w:tc>
      </w:tr>
      <w:tr>
        <w:trPr>
          <w:trHeight w:val="210"/>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Remainder of 2022</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121,300</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 and Thereafter</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09"/>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372,334</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of long-term debt as of September 30, 2022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372,334</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Unamortized Discount on Convertible Debt</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10"/>
        </w:trPr>
        <w:tc>
          <w:tcPr>
            <w:tcW w:w="70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370,248</w:t>
            </w:r>
          </w:p>
        </w:tc>
      </w:tr>
      <w:tr>
        <w:trPr>
          <w:trHeight w:val="20"/>
        </w:trPr>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In addition to the $1.7 million of financing costs, net of accumulated amortization included in the table above, as of September 30, 2022, the Company also had financing costs, net of accumulated amortization related to the Credit Facility of $2.1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224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0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r>
      <w:tr>
        <w:trPr>
          <w:trHeight w:val="216"/>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Amortization of Discount on Convertible Notes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50"/>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r>
      <w:tr>
        <w:trPr>
          <w:trHeight w:val="197"/>
        </w:trPr>
        <w:tc>
          <w:tcPr>
            <w:tcW w:w="2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35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Total Interest Paid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w:t>
            </w: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62" w:lineRule="exact"/>
        <w:rPr>
          <w:sz w:val="20"/>
          <w:szCs w:val="20"/>
          <w:color w:val="auto"/>
        </w:rPr>
      </w:pPr>
    </w:p>
    <w:p>
      <w:pPr>
        <w:ind w:left="380" w:right="79" w:hanging="330"/>
        <w:spacing w:after="0" w:line="181"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Includes capitalized interest of $0.1 million during the three and nine months ended September 30, 2022, with no interest capitalized during the three and nine months ended September 30, 2021.</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was in compliance with all of its debt covenants as of September 30, 2022 and December 31, 2021.</w:t>
      </w: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17. INTEREST RATE SWAPS</w:t>
      </w:r>
    </w:p>
    <w:p>
      <w:pPr>
        <w:spacing w:after="0" w:line="270"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2022. Accordingly, the changes in fair value on the interest rate swaps have been classified in accumulated other comprehensive income.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Hedged Item </w:t>
            </w:r>
            <w:r>
              <w:rPr>
                <w:rFonts w:ascii="Arial" w:cs="Arial" w:eastAsia="Arial" w:hAnsi="Arial"/>
                <w:sz w:val="24"/>
                <w:szCs w:val="24"/>
                <w:b w:val="1"/>
                <w:bCs w:val="1"/>
                <w:color w:val="auto"/>
                <w:vertAlign w:val="superscript"/>
              </w:rPr>
              <w:t>(1)</w:t>
            </w: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Effective</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Maturity</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Fair Value as of</w:t>
            </w:r>
          </w:p>
        </w:tc>
        <w:tc>
          <w:tcPr>
            <w:tcW w:w="0" w:type="dxa"/>
            <w:vAlign w:val="bottom"/>
          </w:tcPr>
          <w:p>
            <w:pPr>
              <w:spacing w:after="0"/>
              <w:rPr>
                <w:sz w:val="1"/>
                <w:szCs w:val="1"/>
                <w:color w:val="auto"/>
              </w:rPr>
            </w:pPr>
          </w:p>
        </w:tc>
      </w:tr>
      <w:tr>
        <w:trPr>
          <w:trHeight w:val="216"/>
        </w:trPr>
        <w:tc>
          <w:tcPr>
            <w:tcW w:w="1840" w:type="dxa"/>
            <w:vAlign w:val="bottom"/>
            <w:gridSpan w:val="2"/>
            <w:vMerge w:val="continue"/>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w:t>
            </w: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1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2022</w:t>
            </w:r>
          </w:p>
        </w:tc>
        <w:tc>
          <w:tcPr>
            <w:tcW w:w="0" w:type="dxa"/>
            <w:vAlign w:val="bottom"/>
          </w:tcPr>
          <w:p>
            <w:pPr>
              <w:spacing w:after="0"/>
              <w:rPr>
                <w:sz w:val="1"/>
                <w:szCs w:val="1"/>
                <w:color w:val="auto"/>
              </w:rPr>
            </w:pPr>
          </w:p>
        </w:tc>
      </w:tr>
      <w:tr>
        <w:trPr>
          <w:trHeight w:val="196"/>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2026 Term Loan</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3/10/2021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0.12% + 0.10% + applicable spread</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0" w:type="dxa"/>
            <w:vAlign w:val="bottom"/>
          </w:tcPr>
          <w:p>
            <w:pPr>
              <w:spacing w:after="0"/>
              <w:rPr>
                <w:sz w:val="1"/>
                <w:szCs w:val="1"/>
                <w:color w:val="auto"/>
              </w:rPr>
            </w:pPr>
          </w:p>
        </w:tc>
      </w:tr>
      <w:tr>
        <w:trPr>
          <w:trHeight w:val="203"/>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2026 Term Loan</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3/29/2024</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3/10/2026</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1.44% + 0.10% + applicable spread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03"/>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 Term Loan</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8/31/2021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3/10/2026</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0.70% + 0.10% + applicable spread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03"/>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2027 Term Loan</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11/5/2021</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0.64% + 0.10% + applicable spread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5,299</w:t>
            </w:r>
          </w:p>
        </w:tc>
        <w:tc>
          <w:tcPr>
            <w:tcW w:w="0" w:type="dxa"/>
            <w:vAlign w:val="bottom"/>
          </w:tcPr>
          <w:p>
            <w:pPr>
              <w:spacing w:after="0"/>
              <w:rPr>
                <w:sz w:val="1"/>
                <w:szCs w:val="1"/>
                <w:color w:val="auto"/>
              </w:rPr>
            </w:pPr>
          </w:p>
        </w:tc>
      </w:tr>
      <w:tr>
        <w:trPr>
          <w:trHeight w:val="203"/>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 Term Loan</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3/29/2024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1/31/2027</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1.35% + 0.10% + applicable spread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w:t>
            </w:r>
          </w:p>
        </w:tc>
        <w:tc>
          <w:tcPr>
            <w:tcW w:w="0" w:type="dxa"/>
            <w:vAlign w:val="bottom"/>
          </w:tcPr>
          <w:p>
            <w:pPr>
              <w:spacing w:after="0"/>
              <w:rPr>
                <w:sz w:val="1"/>
                <w:szCs w:val="1"/>
                <w:color w:val="auto"/>
              </w:rPr>
            </w:pPr>
          </w:p>
        </w:tc>
      </w:tr>
      <w:tr>
        <w:trPr>
          <w:trHeight w:val="203"/>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2028 Term Loan</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9/30/2022</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1/31/2028</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3.78% + 0.10% + applicable spread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2028 Term Loan</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9/30/2022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1/31/2028</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3.78% + 0.10% + applicable spread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30"/>
        <w:spacing w:after="0" w:line="212" w:lineRule="auto"/>
        <w:tabs>
          <w:tab w:leader="none" w:pos="38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As of September 30, 2022, the Company converted its existing interest rate swaps from 1-month LIBOR to SOFR.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6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18. ACCRUED AND OTHER LIABILITIES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Property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Reserve for Tenant Improvements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5,457</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Security Deposits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Accrued Construction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Environmental Reserve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Operating Leases - Liability</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r>
      <w:tr>
        <w:trPr>
          <w:trHeight w:val="209"/>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Total Accrued and Other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13,121</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i w:val="1"/>
          <w:iCs w:val="1"/>
          <w:color w:val="auto"/>
        </w:rPr>
        <w:t xml:space="preserve">Reserve for Tenant Improvements. </w:t>
      </w:r>
      <w:r>
        <w:rPr>
          <w:rFonts w:ascii="Arial" w:cs="Arial" w:eastAsia="Arial" w:hAnsi="Arial"/>
          <w:sz w:val="16"/>
          <w:szCs w:val="16"/>
          <w:color w:val="auto"/>
        </w:rPr>
        <w:t>In connection with recent acquisitions, the Company received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$7.0 million from the sellers of certain properties for tenant improvement allowances, leasing commissions and other capital improvements. These amounts are included in accrued and other liabilities on the consolidated balance sheets.</w:t>
      </w:r>
    </w:p>
    <w:p>
      <w:pPr>
        <w:spacing w:after="0" w:line="2" w:lineRule="exact"/>
        <w:rPr>
          <w:sz w:val="20"/>
          <w:szCs w:val="20"/>
          <w:color w:val="auto"/>
        </w:rPr>
      </w:pPr>
    </w:p>
    <w:p>
      <w:pPr>
        <w:jc w:val="both"/>
        <w:ind w:left="60" w:right="79" w:firstLine="92"/>
        <w:spacing w:after="0" w:line="260" w:lineRule="auto"/>
        <w:rPr>
          <w:sz w:val="20"/>
          <w:szCs w:val="20"/>
          <w:color w:val="auto"/>
        </w:rPr>
      </w:pPr>
      <w:r>
        <w:rPr>
          <w:rFonts w:ascii="Arial" w:cs="Arial" w:eastAsia="Arial" w:hAnsi="Arial"/>
          <w:sz w:val="18"/>
          <w:szCs w:val="18"/>
          <w:color w:val="auto"/>
        </w:rPr>
        <w:t>Through September 30, 2022, payments totaling $2.5 million were made, leaving a remaining reserve for tenant improvements of $4.5 million.</w:t>
      </w:r>
    </w:p>
    <w:p>
      <w:pPr>
        <w:spacing w:after="0" w:line="226"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i w:val="1"/>
          <w:iCs w:val="1"/>
          <w:color w:val="auto"/>
        </w:rPr>
        <w:t xml:space="preserve">Environmental Reserve. </w:t>
      </w:r>
      <w:r>
        <w:rPr>
          <w:rFonts w:ascii="Arial" w:cs="Arial" w:eastAsia="Arial" w:hAnsi="Arial"/>
          <w:sz w:val="17"/>
          <w:szCs w:val="17"/>
          <w:color w:val="auto"/>
        </w:rPr>
        <w:t>During the year ended December 31, 2014, the Company accrued an environmental reserve</w:t>
      </w:r>
      <w:r>
        <w:rPr>
          <w:rFonts w:ascii="Arial" w:cs="Arial" w:eastAsia="Arial" w:hAnsi="Arial"/>
          <w:sz w:val="17"/>
          <w:szCs w:val="17"/>
          <w:i w:val="1"/>
          <w:iCs w:val="1"/>
          <w:color w:val="auto"/>
        </w:rPr>
        <w:t xml:space="preserve"> </w:t>
      </w:r>
      <w:r>
        <w:rPr>
          <w:rFonts w:ascii="Arial" w:cs="Arial" w:eastAsia="Arial" w:hAnsi="Arial"/>
          <w:sz w:val="17"/>
          <w:szCs w:val="17"/>
          <w:color w:val="auto"/>
        </w:rPr>
        <w:t>of $0.1 million in connection with an estimate of additional costs required to monitor a parcel of less than one acre of land owned by the Company in Highlands County, Florida, on which environmental remediation work had previously been performed. The Company engaged legal counsel who, in turn, engaged environmental engineers to review the site and the prior monitoring test results. During the year ended December 31, 2015, their review was completed, and the Company made an additional accrual of $0.5 million, representing the low end of the range of possible costs estimated by the engineers to be between $0.5 million and $1.0 million to resolve this matter subject to the approval of the state department of environmental protection (the “FDEP”). The FDEP issued a Remedial Action Plan Modification Approval Order (the “FDEP Approval”) in August 2016 which supports the approximate $0.5 million accrual made in 2015. The Company is implementing the remediation plan pursuant to the FDEP Approval. During the fourth quarter of 2017, the Company made an additional accrual of less than $0.1 million for the second year of monitoring as the low end of the original range of estimated costs was increased for the amount of monitoring now anticipated. Since the total accrual of $0.7 million was made, $0.6 million in costs have been incurred through September 30, 2022, leaving a remaining accrual of less than $0.1 million.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19. DEFERRED REVENUE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Deferred revenue consisted of the following (in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As of</w:t>
            </w:r>
          </w:p>
        </w:tc>
        <w:tc>
          <w:tcPr>
            <w:tcW w:w="126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09"/>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Interest Reserve from Commercial Loans and Investments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Contributions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5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Deferred Revenue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Deferred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86"/>
        <w:spacing w:after="0" w:line="311" w:lineRule="auto"/>
        <w:rPr>
          <w:sz w:val="20"/>
          <w:szCs w:val="20"/>
          <w:color w:val="auto"/>
        </w:rPr>
      </w:pPr>
      <w:r>
        <w:rPr>
          <w:rFonts w:ascii="Arial" w:cs="Arial" w:eastAsia="Arial" w:hAnsi="Arial"/>
          <w:sz w:val="16"/>
          <w:szCs w:val="16"/>
          <w:i w:val="1"/>
          <w:iCs w:val="1"/>
          <w:color w:val="auto"/>
        </w:rPr>
        <w:t>Interest Reserve from Commercial Loans and Investments</w:t>
      </w:r>
      <w:r>
        <w:rPr>
          <w:rFonts w:ascii="Arial" w:cs="Arial" w:eastAsia="Arial" w:hAnsi="Arial"/>
          <w:sz w:val="16"/>
          <w:szCs w:val="16"/>
          <w:color w:val="auto"/>
        </w:rPr>
        <w:t>. In connection with three of the Company’s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loan investments, the borrower has deposited interest reserves in accounts held by the Company. Those accounts balances are included in restricted cash on the Company’s consolidated balance sheets with the corresponding liability recorded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deferred revenue as seen above. Pursuant to each respective agreement, interest reserves are either (i) utilized to fund the monthly interest due on the loan or (ii) maintained throughout the term of the loan.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20.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STOCK-BASED COMPENSATION</w:t>
      </w:r>
    </w:p>
    <w:p>
      <w:pPr>
        <w:spacing w:after="0" w:line="229" w:lineRule="exact"/>
        <w:rPr>
          <w:sz w:val="20"/>
          <w:szCs w:val="20"/>
          <w:color w:val="auto"/>
        </w:rPr>
      </w:pPr>
    </w:p>
    <w:p>
      <w:pPr>
        <w:jc w:val="both"/>
        <w:ind w:left="60" w:right="59" w:firstLine="486"/>
        <w:spacing w:after="0" w:line="263" w:lineRule="auto"/>
        <w:rPr>
          <w:sz w:val="20"/>
          <w:szCs w:val="20"/>
          <w:color w:val="auto"/>
        </w:rPr>
      </w:pPr>
      <w:r>
        <w:rPr>
          <w:rFonts w:ascii="Arial" w:cs="Arial" w:eastAsia="Arial" w:hAnsi="Arial"/>
          <w:sz w:val="18"/>
          <w:szCs w:val="18"/>
          <w:color w:val="auto"/>
        </w:rPr>
        <w:t>A summary of share activity for all equity classified stock compensation during the nine months ended September 30, 2022, is presented below. As described in Note 13, “Equity” all share counts herein have been retroactively adjusted for the three-for-one stock split effective July 1, 2022.</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Vested /</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Outstanding</w:t>
            </w:r>
          </w:p>
        </w:tc>
        <w:tc>
          <w:tcPr>
            <w:tcW w:w="8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Granted</w:t>
            </w:r>
          </w:p>
        </w:tc>
        <w:tc>
          <w:tcPr>
            <w:tcW w:w="8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Exercised</w:t>
            </w:r>
          </w:p>
        </w:tc>
        <w:tc>
          <w:tcPr>
            <w:tcW w:w="820" w:type="dxa"/>
            <w:vAlign w:val="bottom"/>
            <w:gridSpan w:val="2"/>
          </w:tcPr>
          <w:p>
            <w:pPr>
              <w:ind w:left="100"/>
              <w:spacing w:after="0"/>
              <w:rPr>
                <w:sz w:val="20"/>
                <w:szCs w:val="20"/>
                <w:color w:val="auto"/>
              </w:rPr>
            </w:pPr>
            <w:r>
              <w:rPr>
                <w:rFonts w:ascii="Arial" w:cs="Arial" w:eastAsia="Arial" w:hAnsi="Arial"/>
                <w:sz w:val="16"/>
                <w:szCs w:val="16"/>
                <w:b w:val="1"/>
                <w:bCs w:val="1"/>
                <w:color w:val="auto"/>
              </w:rPr>
              <w:t>Expired</w:t>
            </w: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Forfeited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13"/>
        </w:trPr>
        <w:tc>
          <w:tcPr>
            <w:tcW w:w="3580" w:type="dxa"/>
            <w:vAlign w:val="bottom"/>
            <w:gridSpan w:val="2"/>
          </w:tcPr>
          <w:p>
            <w:pPr>
              <w:ind w:left="20"/>
              <w:spacing w:after="0"/>
              <w:rPr>
                <w:sz w:val="20"/>
                <w:szCs w:val="20"/>
                <w:color w:val="auto"/>
              </w:rPr>
            </w:pPr>
            <w:r>
              <w:rPr>
                <w:rFonts w:ascii="Arial" w:cs="Arial" w:eastAsia="Arial" w:hAnsi="Arial"/>
                <w:sz w:val="16"/>
                <w:szCs w:val="16"/>
                <w:b w:val="1"/>
                <w:bCs w:val="1"/>
                <w:color w:val="auto"/>
              </w:rPr>
              <w:t>Type of Award</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at 1/1/2022</w:t>
            </w:r>
          </w:p>
        </w:tc>
        <w:tc>
          <w:tcPr>
            <w:tcW w:w="8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Shares</w:t>
            </w:r>
          </w:p>
        </w:tc>
        <w:tc>
          <w:tcPr>
            <w:tcW w:w="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Shares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4"/>
              </w:rPr>
              <w:t>at 9/30/22</w:t>
            </w:r>
          </w:p>
        </w:tc>
      </w:tr>
      <w:tr>
        <w:trPr>
          <w:trHeight w:val="189"/>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9"/>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Peer Group Market Condition Vesting</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234,354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69,168</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(73,275)</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230,247</w:t>
            </w: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Equity Classified - Three Year Vest Restricted</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Shares</w:t>
            </w:r>
          </w:p>
        </w:tc>
        <w:tc>
          <w:tcPr>
            <w:tcW w:w="880" w:type="dxa"/>
            <w:vAlign w:val="bottom"/>
          </w:tcPr>
          <w:p>
            <w:pPr>
              <w:jc w:val="right"/>
              <w:spacing w:after="0"/>
              <w:rPr>
                <w:sz w:val="20"/>
                <w:szCs w:val="20"/>
                <w:color w:val="auto"/>
              </w:rPr>
            </w:pPr>
            <w:r>
              <w:rPr>
                <w:rFonts w:ascii="Arial" w:cs="Arial" w:eastAsia="Arial" w:hAnsi="Arial"/>
                <w:sz w:val="16"/>
                <w:szCs w:val="16"/>
                <w:color w:val="auto"/>
              </w:rPr>
              <w:t>154,509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137,448</w:t>
            </w:r>
          </w:p>
        </w:tc>
        <w:tc>
          <w:tcPr>
            <w:tcW w:w="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(72,465)</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(7,413)</w:t>
            </w:r>
          </w:p>
        </w:tc>
        <w:tc>
          <w:tcPr>
            <w:tcW w:w="880" w:type="dxa"/>
            <w:vAlign w:val="bottom"/>
          </w:tcPr>
          <w:p>
            <w:pPr>
              <w:jc w:val="right"/>
              <w:spacing w:after="0"/>
              <w:rPr>
                <w:sz w:val="20"/>
                <w:szCs w:val="20"/>
                <w:color w:val="auto"/>
              </w:rPr>
            </w:pPr>
            <w:r>
              <w:rPr>
                <w:rFonts w:ascii="Arial" w:cs="Arial" w:eastAsia="Arial" w:hAnsi="Arial"/>
                <w:sz w:val="16"/>
                <w:szCs w:val="16"/>
                <w:color w:val="auto"/>
              </w:rPr>
              <w:t>212,079</w:t>
            </w:r>
          </w:p>
        </w:tc>
      </w:tr>
      <w:tr>
        <w:trPr>
          <w:trHeight w:val="19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Classified - Non-Qualified Stock Option</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64,623</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(64,623)</w:t>
            </w:r>
          </w:p>
        </w:tc>
        <w:tc>
          <w:tcPr>
            <w:tcW w:w="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Total Shares</w:t>
            </w:r>
          </w:p>
        </w:tc>
        <w:tc>
          <w:tcPr>
            <w:tcW w:w="880" w:type="dxa"/>
            <w:vAlign w:val="bottom"/>
          </w:tcPr>
          <w:p>
            <w:pPr>
              <w:jc w:val="right"/>
              <w:spacing w:after="0"/>
              <w:rPr>
                <w:sz w:val="20"/>
                <w:szCs w:val="20"/>
                <w:color w:val="auto"/>
              </w:rPr>
            </w:pPr>
            <w:r>
              <w:rPr>
                <w:rFonts w:ascii="Arial" w:cs="Arial" w:eastAsia="Arial" w:hAnsi="Arial"/>
                <w:sz w:val="16"/>
                <w:szCs w:val="16"/>
                <w:color w:val="auto"/>
              </w:rPr>
              <w:t>453,486</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206,616</w:t>
            </w:r>
          </w:p>
        </w:tc>
        <w:tc>
          <w:tcPr>
            <w:tcW w:w="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(210,363)</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(7,413)</w:t>
            </w:r>
          </w:p>
        </w:tc>
        <w:tc>
          <w:tcPr>
            <w:tcW w:w="880" w:type="dxa"/>
            <w:vAlign w:val="bottom"/>
          </w:tcPr>
          <w:p>
            <w:pPr>
              <w:jc w:val="right"/>
              <w:spacing w:after="0"/>
              <w:rPr>
                <w:sz w:val="20"/>
                <w:szCs w:val="20"/>
                <w:color w:val="auto"/>
              </w:rPr>
            </w:pPr>
            <w:r>
              <w:rPr>
                <w:rFonts w:ascii="Arial" w:cs="Arial" w:eastAsia="Arial" w:hAnsi="Arial"/>
                <w:sz w:val="16"/>
                <w:szCs w:val="16"/>
                <w:color w:val="auto"/>
              </w:rPr>
              <w:t>442,326</w:t>
            </w: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Amounts recognized in the financial statements for stock-based compensation are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3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Total Cost of Share-Based Plans Charged Against</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734</w:t>
            </w:r>
          </w:p>
        </w:tc>
        <w:tc>
          <w:tcPr>
            <w:tcW w:w="1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 Effect</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EQUITY-CLASSIFIED STOCK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Share Awards – Peer Group Market Condition Vesting</w:t>
      </w:r>
    </w:p>
    <w:p>
      <w:pPr>
        <w:spacing w:after="0" w:line="117"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69,168 performance shares during the nine months ended September 30, 2022.</w:t>
      </w:r>
    </w:p>
    <w:p>
      <w:pPr>
        <w:spacing w:after="0" w:line="17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September 30, 2022, there was $1.8 million of unrecognized compensation cost, adjusted for estimated forfeitures, related to the non-vested performance share awards, which will be recognized over a remaining weighted average period of 1.8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for these awards during the nine months ended September 30, 2022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Wtd. Avg. Fair</w:t>
            </w:r>
          </w:p>
        </w:tc>
      </w:tr>
      <w:tr>
        <w:trPr>
          <w:trHeight w:val="234"/>
        </w:trPr>
        <w:tc>
          <w:tcPr>
            <w:tcW w:w="59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Performance Shares With Market Conditions</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0"/>
              </w:rPr>
              <w:t>Value Per Share</w:t>
            </w:r>
          </w:p>
        </w:tc>
      </w:tr>
      <w:tr>
        <w:trPr>
          <w:trHeight w:val="209"/>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234,354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69,168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20.76</w:t>
            </w:r>
          </w:p>
        </w:tc>
      </w:tr>
      <w:tr>
        <w:trPr>
          <w:trHeight w:val="21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2022</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230,247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r>
      <w:tr>
        <w:trPr>
          <w:trHeight w:val="20"/>
        </w:trPr>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137,448 shares of restricted Company common stock during the nine months ended September 30, 2022.</w:t>
      </w:r>
    </w:p>
    <w:p>
      <w:pPr>
        <w:spacing w:after="0" w:line="16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spacing w:after="0" w:line="184"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September 30, 2022, there was $3.0 million of unrecognized compensation cost, adjusted for estimated forfeitures, related to the non-vested restricted share awards, which will be recognized over a remaining weighted average period of 2.2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for these awards during the nine months ended September 30, 2022 is presented below:</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0"/>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137,448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19.72</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2022</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212,079</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Non-Qualified Stock Option Awards</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Stock option awards have been granted to certain employees under the 2010 Plan. The vesting period of the options awards granted ranged from a period of one to three years. All options had vested as of December 31, 2018. The option expires on the earliest of: (a) the tenth anniversary of the grant date; (b) twelve months after the employee’s death or termination for disability; or (c) thirty days after the termination of employment for any reason other than death or disability.</w:t>
      </w:r>
    </w:p>
    <w:p>
      <w:pPr>
        <w:spacing w:after="0" w:line="188"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for these awards during the nine months ended September 30, 2022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Wtd. Avg.</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Wtd. Avg.</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Non-Qualified Stock Option Awards</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Ex. Price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Outstanding at September 30, 2022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54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Exercisable at January 1, 2022</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388,837</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at September 30, 2022</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total intrinsic value of options exercised during the nine months ended September 30, 2022 totaled $0.4 million. No unexercised options remained as of September 30,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date two business days prior to the date of the award, rounded down to the nearest whole number of shares.</w:t>
      </w:r>
    </w:p>
    <w:p>
      <w:pPr>
        <w:spacing w:after="0" w:line="192"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Each non-employee director serving as of the beginning of each calendar year shall receive an annual award of the Company’s common stock. The value of such award totaled $35,000 for the years ended December 31, 2022 and 2021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will no longer receive meeting fees, but will receive additional retainers for service on Board committees, as set forth in the Company’s Non-Employee Director Compensation Policy available on the Company’s website (www.ctoreit.com).</w:t>
      </w:r>
    </w:p>
    <w:p>
      <w:pPr>
        <w:spacing w:after="0" w:line="204"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During the nine months ended September 30, 2022 and 2021, the expense recognized for the value of the Company’s common stock received by non-employee directors totaled $0.4 million, or 21,400 shares and $0.4 million, or 26,586 shares, respectively. The expense recognized includes the Annual Award received during the first quarter of each respective year, which totaled $0.2 million during each of the nine months ended September 30, 2022 and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21. INCOME TAXES</w:t>
      </w:r>
    </w:p>
    <w:p>
      <w:pPr>
        <w:spacing w:after="0" w:line="270"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will be subject to applicable U.S. federal,</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state and local corporate income tax on their taxable income. For the periods presented, the Company held a total of two TRSs subject to taxation. The Company’s TRSs will file tax returns separately as C-Corporations.</w:t>
      </w:r>
    </w:p>
    <w:p>
      <w:pPr>
        <w:spacing w:after="0" w:line="211"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22.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Commitments – Expenditures</w:t>
      </w:r>
    </w:p>
    <w:p>
      <w:pPr>
        <w:spacing w:after="0" w:line="212" w:lineRule="exact"/>
        <w:rPr>
          <w:sz w:val="20"/>
          <w:szCs w:val="20"/>
          <w:color w:val="auto"/>
        </w:rPr>
      </w:pPr>
    </w:p>
    <w:p>
      <w:pPr>
        <w:jc w:val="both"/>
        <w:ind w:left="60" w:right="59" w:firstLine="492"/>
        <w:spacing w:after="0" w:line="248" w:lineRule="auto"/>
        <w:rPr>
          <w:sz w:val="20"/>
          <w:szCs w:val="20"/>
          <w:color w:val="auto"/>
        </w:rPr>
      </w:pPr>
      <w:r>
        <w:rPr>
          <w:rFonts w:ascii="Arial" w:cs="Arial" w:eastAsia="Arial" w:hAnsi="Arial"/>
          <w:sz w:val="18"/>
          <w:szCs w:val="18"/>
          <w:color w:val="auto"/>
        </w:rPr>
        <w:t>The Company has committed to fund the following capital improvements. The improvements, which are related to several properties, are estimated to be generally completed within twelve months. These commitments, as of September 30, 2022, are as follows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As of September 30,</w:t>
            </w:r>
          </w:p>
        </w:tc>
      </w:tr>
      <w:tr>
        <w:trPr>
          <w:trHeight w:val="234"/>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28,511</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Funded</w:t>
            </w: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13" w:lineRule="exact"/>
        <w:rPr>
          <w:sz w:val="20"/>
          <w:szCs w:val="20"/>
          <w:color w:val="auto"/>
        </w:rPr>
      </w:pPr>
    </w:p>
    <w:p>
      <w:pPr>
        <w:ind w:left="340" w:hanging="290"/>
        <w:spacing w:after="0"/>
        <w:tabs>
          <w:tab w:leader="none" w:pos="34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200"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In addition, the Company is committed to fund the three construction loans as described in Note 4. Commercial Loans and Investments. The unfunded portion of the construction loans totaled $8.8 million as of September 30, 2022.</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23. BUSINESS SEGMENT DATA</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The Company operates in four primary business segments: income properties, management services, commercial loans and investments, and real estate operations. The management services segment consists of the revenue generated from managing PINE and the Land JV, prior to the Land JV Sale. Our income property operations consist of income-producing properties, and our business plan is focused on investing in additional income-producing properties. Our income property operations accounted for 78.6% and 86.0% of our identifiable assets as of September 30, 2022 and December 31, 2021, respectively, and 82.3% and 80.7% of our consolidated revenues for the nine months ended September 30, 2022 and 2021, respectively. As of September 30, 2022, our commercial loans and investments portfolio consisted of five commercial loan investments and one preferred equity investment which is classified as a commercial loan investment. Our real estate operations consist of revenues generated from the sale of and royalty income related to our interests in subsurface oil, gas, and mineral rights, and the generation and sale of mitigation credits.</w:t>
      </w:r>
    </w:p>
    <w:p>
      <w:pPr>
        <w:spacing w:after="0" w:line="168"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Information about the Company’s operations in different segments for the three and nine months ended September 30, 2022 and 2021 are as follows (in thousands):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20"/>
                <w:szCs w:val="20"/>
                <w:color w:val="auto"/>
              </w:rPr>
            </w:pPr>
          </w:p>
        </w:tc>
        <w:tc>
          <w:tcPr>
            <w:tcW w:w="222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88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6"/>
                <w:szCs w:val="16"/>
                <w:color w:val="auto"/>
              </w:rPr>
            </w:pPr>
          </w:p>
        </w:tc>
      </w:tr>
      <w:tr>
        <w:trPr>
          <w:trHeight w:val="234"/>
        </w:trPr>
        <w:tc>
          <w:tcPr>
            <w:tcW w:w="38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17,694</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13,734</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49,229</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36,757</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8"/>
                <w:szCs w:val="18"/>
                <w:color w:val="auto"/>
              </w:rPr>
            </w:pPr>
          </w:p>
        </w:tc>
      </w:tr>
      <w:tr>
        <w:trPr>
          <w:trHeight w:val="202"/>
        </w:trPr>
        <w:tc>
          <w:tcPr>
            <w:tcW w:w="388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2,136</w:t>
            </w:r>
          </w:p>
        </w:tc>
        <w:tc>
          <w:tcPr>
            <w:tcW w:w="20" w:type="dxa"/>
            <w:vAlign w:val="bottom"/>
          </w:tcPr>
          <w:p>
            <w:pPr>
              <w:spacing w:after="0"/>
              <w:rPr>
                <w:sz w:val="20"/>
                <w:szCs w:val="20"/>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18"/>
                <w:szCs w:val="18"/>
                <w:color w:val="auto"/>
              </w:rPr>
            </w:pPr>
          </w:p>
        </w:tc>
      </w:tr>
      <w:tr>
        <w:trPr>
          <w:trHeight w:val="249"/>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59,790</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45,572</w:t>
            </w:r>
          </w:p>
        </w:tc>
        <w:tc>
          <w:tcPr>
            <w:tcW w:w="20" w:type="dxa"/>
            <w:vAlign w:val="bottom"/>
          </w:tcPr>
          <w:p>
            <w:pPr>
              <w:spacing w:after="0"/>
              <w:rPr>
                <w:sz w:val="21"/>
                <w:szCs w:val="21"/>
                <w:color w:val="auto"/>
              </w:rPr>
            </w:pPr>
          </w:p>
        </w:tc>
      </w:tr>
      <w:tr>
        <w:trPr>
          <w:trHeight w:val="197"/>
        </w:trPr>
        <w:tc>
          <w:tcPr>
            <w:tcW w:w="3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12,579</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35,286</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27,069</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8"/>
                <w:szCs w:val="18"/>
                <w:color w:val="auto"/>
              </w:rPr>
            </w:pPr>
          </w:p>
        </w:tc>
      </w:tr>
      <w:tr>
        <w:trPr>
          <w:trHeight w:val="202"/>
        </w:trPr>
        <w:tc>
          <w:tcPr>
            <w:tcW w:w="388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2,136</w:t>
            </w:r>
          </w:p>
        </w:tc>
        <w:tc>
          <w:tcPr>
            <w:tcW w:w="20" w:type="dxa"/>
            <w:vAlign w:val="bottom"/>
          </w:tcPr>
          <w:p>
            <w:pPr>
              <w:spacing w:after="0"/>
              <w:rPr>
                <w:sz w:val="20"/>
                <w:szCs w:val="20"/>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0" w:type="dxa"/>
            <w:vAlign w:val="bottom"/>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General and Corporate Expense</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(10,558)</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(8,247)</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(29,373)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(23,905)</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w:t>
            </w:r>
          </w:p>
        </w:tc>
        <w:tc>
          <w:tcPr>
            <w:tcW w:w="20" w:type="dxa"/>
            <w:vAlign w:val="bottom"/>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28,106</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r>
      <w:tr>
        <w:trPr>
          <w:trHeight w:val="250"/>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10,756</w:t>
            </w:r>
          </w:p>
        </w:tc>
        <w:tc>
          <w:tcPr>
            <w:tcW w:w="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19,262</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22,050</w:t>
            </w:r>
          </w:p>
        </w:tc>
        <w:tc>
          <w:tcPr>
            <w:tcW w:w="20" w:type="dxa"/>
            <w:vAlign w:val="bottom"/>
          </w:tcPr>
          <w:p>
            <w:pPr>
              <w:spacing w:after="0"/>
              <w:rPr>
                <w:sz w:val="21"/>
                <w:szCs w:val="21"/>
                <w:color w:val="auto"/>
              </w:rPr>
            </w:pPr>
          </w:p>
        </w:tc>
      </w:tr>
      <w:tr>
        <w:trPr>
          <w:trHeight w:val="197"/>
        </w:trPr>
        <w:tc>
          <w:tcPr>
            <w:tcW w:w="3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7,283</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5,562</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20,359</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15,413</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50"/>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20,401</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20" w:type="dxa"/>
            <w:vAlign w:val="bottom"/>
          </w:tcPr>
          <w:p>
            <w:pPr>
              <w:spacing w:after="0"/>
              <w:rPr>
                <w:sz w:val="21"/>
                <w:szCs w:val="21"/>
                <w:color w:val="auto"/>
              </w:rPr>
            </w:pPr>
          </w:p>
        </w:tc>
      </w:tr>
      <w:tr>
        <w:trPr>
          <w:trHeight w:val="197"/>
        </w:trPr>
        <w:tc>
          <w:tcPr>
            <w:tcW w:w="3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Capital Expenditures: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83,240</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130,674</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115,861</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0"/>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180,999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115,890</w:t>
            </w:r>
          </w:p>
        </w:tc>
        <w:tc>
          <w:tcPr>
            <w:tcW w:w="2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Identifiable assets of each segment as of September 30, 2022 and December 31, 2021 are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As of</w:t>
            </w:r>
          </w:p>
        </w:tc>
      </w:tr>
      <w:tr>
        <w:trPr>
          <w:trHeight w:val="210"/>
        </w:trPr>
        <w:tc>
          <w:tcPr>
            <w:tcW w:w="5400" w:type="dxa"/>
            <w:vAlign w:val="bottom"/>
          </w:tcPr>
          <w:p>
            <w:pPr>
              <w:spacing w:after="0"/>
              <w:rPr>
                <w:sz w:val="18"/>
                <w:szCs w:val="18"/>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 2021</w:t>
            </w: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664,482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630,747</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Commercial Loans and Investments</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39,095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26,512</w:t>
            </w:r>
          </w:p>
        </w:tc>
      </w:tr>
      <w:tr>
        <w:trPr>
          <w:trHeight w:val="21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108,954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35,132</w:t>
            </w:r>
          </w:p>
        </w:tc>
      </w:tr>
      <w:tr>
        <w:trPr>
          <w:trHeight w:val="21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845,772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733,139</w:t>
            </w:r>
          </w:p>
        </w:tc>
      </w:tr>
      <w:tr>
        <w:trPr>
          <w:trHeight w:val="20"/>
        </w:trPr>
        <w:tc>
          <w:tcPr>
            <w:tcW w:w="5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includes the identifiable assets of the Mitigation Bank and Subsurface Interests. Corporate and other assets consist primarily of cash and restricted cash, property, plant, and equipment related to the other operations, as well as the general and corporate operations.</w:t>
      </w:r>
    </w:p>
    <w:p>
      <w:pPr>
        <w:spacing w:after="0" w:line="178"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management services and real estate operations segments had no capital expenditures during the three and nine months ended September 30, 2022 or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24. ASSETS HELD FOR SALE</w:t>
      </w:r>
    </w:p>
    <w:p>
      <w:pPr>
        <w:spacing w:after="0" w:line="22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Assets held for sale as of December 31, 2021 are summarized below (in thousands). There were no assets held for sale as of September 30,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As of December 31, 2021</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Property, and Equipment—Net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r>
      <w:tr>
        <w:trPr>
          <w:trHeight w:val="216"/>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Lease Assets—Net</w:t>
            </w: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0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Held for Sale</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r>
      <w:tr>
        <w:trPr>
          <w:trHeight w:val="20"/>
        </w:trPr>
        <w:tc>
          <w:tcPr>
            <w:tcW w:w="5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25. SUBSEQUENT EVENTS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Company reviewed all subsequent events and transactions through October 27, 2022, the date the consolidated financial statements were issued.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Acquisition</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On October 14, 2022, the Company completed the acquisition of West Broad Village, a 392,000 square foot property located in the Short Pump submarket of Richmond, Virginia for a purchase price of $93.9 million. The purchase price represents a going-in cap rate above the range of the Company’s guidance for initial cash yields. The acquisition was funded using $35.0 million of restricted cash generated from the Company’s previously completed property dispositions, available unrestricted cash, and draws from the Company’s unsecured revolving credit facility. The acquisition was structured as a reverse like-kind exchange in order to account for possible future dispositions of income properties by the Company.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Shelf Registration</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On October 11, 2022, the Company filed a shelf registration statement on Form S-3 (File No. 333-267819), relating to the registration and potential issuance of its common stock, preferred stock, debt securities, warrants, rights, and units with a maximum aggregate offering price of up to $500.0 million. The Securities and Exchange Commission declared the Form S-3 effective on October 26, 2022, at which time the offering of unsold securities under the Company’s previous shelf registration statement on Form S-3 (File No. 333-254970), declared effective by the Securities and Exchange Commission on April 19, 2021, was deemed terminated pursuant to Rule 415(a)(6) under the Securities Act of 1933, as amended.</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other reportable subsequent events or transactions.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Statements contained in this Quarterly Report on Form 10-Q that are not historical facts are forward-looking statements within the meaning of Section 27A of the Securities Act of 1933 and Section 21E of the Securities Exchange Act of 1934.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74" w:lineRule="exact"/>
        <w:rPr>
          <w:sz w:val="20"/>
          <w:szCs w:val="20"/>
          <w:color w:val="auto"/>
        </w:rPr>
      </w:pPr>
    </w:p>
    <w:p>
      <w:pPr>
        <w:ind w:left="880" w:right="79" w:hanging="317"/>
        <w:spacing w:after="0" w:line="258"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that traditional retail tenants face from e-commerce retail sales, or the integration of brick and mortar stores with e-commerce retail operators, could adversely affect our business;</w:t>
      </w:r>
    </w:p>
    <w:p>
      <w:pPr>
        <w:ind w:left="880" w:right="79" w:hanging="317"/>
        <w:spacing w:after="0" w:line="281"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operate in a highly competitive market for the acquisition of income properties and more established entities or other investors may be able to compete more effectively for acquisition opportunities than we can;</w:t>
      </w:r>
    </w:p>
    <w:p>
      <w:pPr>
        <w:spacing w:after="0" w:line="1" w:lineRule="exact"/>
        <w:rPr>
          <w:rFonts w:ascii="Arial" w:cs="Arial" w:eastAsia="Arial" w:hAnsi="Arial"/>
          <w:sz w:val="16"/>
          <w:szCs w:val="16"/>
          <w:color w:val="auto"/>
        </w:rPr>
      </w:pP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revenues from our income property portfolio or certain tenants would adversely impact our results of operations and cash flows;</w:t>
      </w:r>
    </w:p>
    <w:p>
      <w:pPr>
        <w:jc w:val="both"/>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Arial" w:cs="Arial" w:eastAsia="Arial" w:hAnsi="Arial"/>
          <w:sz w:val="18"/>
          <w:szCs w:val="18"/>
          <w:color w:val="auto"/>
        </w:rPr>
      </w:pPr>
    </w:p>
    <w:p>
      <w:pPr>
        <w:jc w:val="both"/>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prolonged downturn in economic conditions could adversely impact our business, particularly with regard to our ability to maintain revenues from our income-producing assets;</w:t>
      </w: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 of our investment strategy is focused on investing in commercial loans and investments which may involve credit risk;</w:t>
      </w: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suffer losses when a borrower defaults on a loan and the value of the underlying collateral is less than the amount due;</w:t>
      </w:r>
    </w:p>
    <w:p>
      <w:pPr>
        <w:ind w:left="880" w:hanging="31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real estate investments are generally illiquid;</w:t>
      </w:r>
    </w:p>
    <w:p>
      <w:pPr>
        <w:spacing w:after="0" w:line="9" w:lineRule="exact"/>
        <w:rPr>
          <w:rFonts w:ascii="Arial" w:cs="Arial" w:eastAsia="Arial" w:hAnsi="Arial"/>
          <w:sz w:val="18"/>
          <w:szCs w:val="18"/>
          <w:color w:val="auto"/>
        </w:rPr>
      </w:pPr>
    </w:p>
    <w:p>
      <w:pPr>
        <w:jc w:val="both"/>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be unable to obtain debt or equity capital on favorable terms, if at all, or additional borrowings may impact our liquidity or ability to monetize any assets securing such borrowings;</w:t>
      </w: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servicing our debt requires a significant amount of cash, and we may not have sufficient cash flow from our business to service or pay our debt;</w:t>
      </w:r>
    </w:p>
    <w:p>
      <w:pPr>
        <w:ind w:left="880" w:right="79" w:hanging="317"/>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operations and properties could be adversely affected in the event of natural disasters, pandemics, or other significant disruptions;</w:t>
      </w:r>
    </w:p>
    <w:p>
      <w:pPr>
        <w:ind w:left="880" w:right="79" w:hanging="317"/>
        <w:spacing w:after="0" w:line="290"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880" w:right="79" w:hanging="317"/>
        <w:spacing w:after="0" w:line="23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remain qualified as real estate investment trust (“REIT”) for U.S. federal income tax purposes would cause us to be taxed a regular corporation, which would substantially reduce funds available for distribution to stockholders;</w:t>
      </w:r>
    </w:p>
    <w:p>
      <w:pPr>
        <w:spacing w:after="0" w:line="1" w:lineRule="exact"/>
        <w:rPr>
          <w:rFonts w:ascii="Arial" w:cs="Arial" w:eastAsia="Arial" w:hAnsi="Arial"/>
          <w:sz w:val="18"/>
          <w:szCs w:val="18"/>
          <w:color w:val="auto"/>
        </w:rPr>
      </w:pPr>
    </w:p>
    <w:p>
      <w:pPr>
        <w:ind w:left="880" w:hanging="317"/>
        <w:spacing w:after="0" w:line="219"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the REIT requirements could limit our financial flexibility;</w:t>
      </w:r>
    </w:p>
    <w:p>
      <w:pPr>
        <w:ind w:left="880" w:hanging="317"/>
        <w:spacing w:after="0" w:line="219"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limited experience operating as a REIT;</w:t>
      </w:r>
    </w:p>
    <w:p>
      <w:pPr>
        <w:ind w:left="880" w:right="79" w:hanging="317"/>
        <w:spacing w:after="0" w:line="22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pay dividends consistent with the REIT requirements, and expectations as to timing and amounts of such dividends;</w:t>
      </w:r>
    </w:p>
    <w:p>
      <w:pPr>
        <w:spacing w:after="0" w:line="1" w:lineRule="exact"/>
        <w:rPr>
          <w:rFonts w:ascii="Arial" w:cs="Arial" w:eastAsia="Arial" w:hAnsi="Arial"/>
          <w:sz w:val="18"/>
          <w:szCs w:val="18"/>
          <w:color w:val="auto"/>
        </w:rPr>
      </w:pPr>
    </w:p>
    <w:p>
      <w:pPr>
        <w:ind w:left="880" w:hanging="317"/>
        <w:spacing w:after="0" w:line="232"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board of directors (the “Board”) to revoke our REIT status without stockholder approval;</w:t>
      </w:r>
    </w:p>
    <w:p>
      <w:pPr>
        <w:ind w:left="880" w:right="79" w:hanging="317"/>
        <w:spacing w:after="0" w:line="22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exposure to changes in U.S. federal and state income tax laws, including changes to the REIT requirements; and</w:t>
      </w:r>
    </w:p>
    <w:p>
      <w:pPr>
        <w:spacing w:after="0" w:line="1" w:lineRule="exact"/>
        <w:rPr>
          <w:rFonts w:ascii="Arial" w:cs="Arial" w:eastAsia="Arial" w:hAnsi="Arial"/>
          <w:sz w:val="18"/>
          <w:szCs w:val="18"/>
          <w:color w:val="auto"/>
        </w:rPr>
      </w:pPr>
    </w:p>
    <w:p>
      <w:pPr>
        <w:jc w:val="both"/>
        <w:ind w:left="880" w:right="79" w:hanging="317"/>
        <w:spacing w:after="0" w:line="22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epidemic or pandemic (such as the outbreak and worldwide spread of the novel coronavirus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2021),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We are a publicly traded, primarily retail-focused, REIT that was founded in 1910. We own and manage, sometimes utilizing third-party property management companies, 18 commercial real estate properties in nine states in the United States. As of September 30, 2022, we owned five single-tenant and 13 multi-tenant income-producing properties comprising 2.7 million square feet of gross leasable space. Subsequent to September 30, 2022, on October 14, 2022, the Company acquired a 0.4 million square feet property as further described in Note 25, “Subsequent Events”.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addition to our income property portfolio, as of September 30, 2022, our business included the following:</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ind w:left="840" w:right="79" w:hanging="331"/>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PINE, see Note 5, “Related Party Management Services Business”.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ind w:left="840" w:right="79" w:hanging="331"/>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portfolio of five commercial loan investments and one preferred equity investment which is classified as a commercial loan investment.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355,000 surface acres in 19 counties in the State of Florida (“Subsurface Interests”); and</w:t>
      </w:r>
    </w:p>
    <w:p>
      <w:pPr>
        <w:spacing w:after="0" w:line="170" w:lineRule="exact"/>
        <w:rPr>
          <w:rFonts w:ascii="Arial" w:cs="Arial" w:eastAsia="Arial" w:hAnsi="Arial"/>
          <w:sz w:val="18"/>
          <w:szCs w:val="18"/>
          <w:color w:val="auto"/>
        </w:rPr>
      </w:pPr>
    </w:p>
    <w:p>
      <w:pPr>
        <w:jc w:val="both"/>
        <w:ind w:left="840" w:right="79" w:hanging="331"/>
        <w:spacing w:after="0" w:line="291"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(defined in Note 7, “Investment in Joint Ventures”) completed on September 30, 2021, the Company held a 30% retained interest in the entity that owns the Mitigation Bank.</w:t>
      </w:r>
    </w:p>
    <w:p>
      <w:pPr>
        <w:spacing w:after="0" w:line="166"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Our business also includes our investment in PINE. As of September 30, 2022, the fair value of our investment totaled $35.3 million, or 16.0%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61"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Our strategy for investing in income-producing properties is focused on factors including, but not limited to, long-term real estate fundamentals and target markets, including major markets or those markets we believe are experiencing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transact in a tax-efficient manner for the benefit of our shareholders, etc.).</w:t>
      </w:r>
    </w:p>
    <w:p>
      <w:pPr>
        <w:spacing w:after="0" w:line="196"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four single-tenant income properties and two multi-tenant properties during the nine months ended September 30, 2022.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8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Our current portfolio of five single-tenant income properties generates $8.5 million of revenues from annualized straight-line base lease payments and had a weighted average remaining lease term of 5.9 years as of September 30, 2022. Our current portfolio of 13 multi-tenant properties generates $47.6 million of revenue from annualized straight-line base lease payments and had a weighted average remaining lease term of 6.6 years as of September 30, 2022.</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Total revenue for the three months ended September 30, 2022 is presented in the following summary and indicates the changes as compared to the three months September 30, 2021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Segment</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 Variance</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Management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16"/>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1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Total revenue for the three months ended September 30, 2022 increased to $23.1 million, compared to $16.6 million during the three months ended September 30, 2021. The increase in total revenue is primarily attributable to increased income produced by the Company’s recent income property acquisitions versus that of properties disposed of by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Company during the comparative period, in addition to increased income from commercial loans and investments and mitigation credit sales.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70" w:lineRule="auto"/>
        <w:rPr>
          <w:sz w:val="20"/>
          <w:szCs w:val="20"/>
          <w:color w:val="auto"/>
        </w:rPr>
      </w:pPr>
      <w:r>
        <w:rPr>
          <w:rFonts w:ascii="Arial" w:cs="Arial" w:eastAsia="Arial" w:hAnsi="Arial"/>
          <w:sz w:val="17"/>
          <w:szCs w:val="17"/>
          <w:color w:val="auto"/>
        </w:rPr>
        <w:t>Revenue and operating income from our income property operations totaled $17.7 million and $12.6 million, respectively, during the three months ended September 30, 2022, compared to total revenue and operating income of $13.7 million and $9.8 million, respectively, for the three months ended September 30, 2021. The direct costs of revenues for our income property operations totaled $5.1 million and $4.0 million for the three months ended September 30, 2022 and 2021, respectively. The increase in revenues of $4.0 million, or 28.8%, during the three months ended September 30, 2022 is primarily related to the overall growth of the Company’s income property portfolio, as well as the timing of acquisitions versus dispositions. The increase in operating income of $2.8 million from our income property operations reflects increased rent revenues, offset by an increase of $1.1 million in our direct costs of revenues which is also related to the overall growth of the Company’s income property portfolio.</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Revenue from our management services from PINE totaled $0.9 million during the three months ended September 30, 2022. Revenue from our management services totaled $0.9 million during the three months ended September 30, 2021, including $0.9 million and $0.03 million earned from PINE and the Land JV,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Interest income from our commercial loans and investments totaled $1.3 million and $0.7 million during the three months ended September 30, 2022 and 2021, respectively. The increase is primarily due to increased income from the investments made during the nine months ended September 30, 2022, including two construction loans and the Watters Creek Investment, as defined in Note 4. “Commercial Loans and Investments”, which were partially offset by decreased income from two commercial properties which were sold during the nine months ended September 30, 2022 which were accounted for as commercial loan investments due to future repurchase rights.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During the three months ended September 30, 2022, operating income from real estate operations was $1.5 million on revenues totaling $3.1 million. During the three months ended September 30, 2021, operating income from real estate operations was $0.9 million on revenues totaling $1.2 million. The total increase in operating income was $0.6 million which was primarily due to more mitigation credit sales during the three months ended September 30, 2022 as compared to the same period in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Total general and administrative expenses for the three months ended September 30, 2022 is presented in the following summary and indicates the changes as compared to the three months ended September 30, 2021 (in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 Variance</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Non-Cash Stock Compensation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Depreciation and amortization totaled $7.3 million and $5.6 million during the three months ended September 30, 2022 and 2021, respectively. The increase of $1.7 million is primarily due to the overall growth in the Company’s income property portfolio.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Gains and Impairment Charges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2022 Dispositions. </w:t>
      </w:r>
      <w:r>
        <w:rPr>
          <w:rFonts w:ascii="Arial" w:cs="Arial" w:eastAsia="Arial" w:hAnsi="Arial"/>
          <w:sz w:val="16"/>
          <w:szCs w:val="16"/>
          <w:color w:val="auto"/>
        </w:rPr>
        <w:t>During the three months ended September 30, 2022, the Company sold four income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multi-tenant Westland Gateway Plaza located in Hialeah, Florida, which was recorded as a commercial loan investment prior to its disposition, for $22.2 million, (ii) Chuy’s, a single-tenant property, located in Jacksonville, Florida for $5.8 million, (iii) Firebirds, a single-tenant property, located in Jacksonville, Florida for $5.5 million, and (iv) 245 Riverside, a multi-tenant office income property located in Jacksonville, Florida for $23.6 million. The sale of these four properties reflect a total disposition volume of $57.0 million, resulting in aggregate gains of $5.0 million.</w:t>
      </w:r>
    </w:p>
    <w:p>
      <w:pPr>
        <w:spacing w:after="0" w:line="16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2021 Dispositions. </w:t>
      </w:r>
      <w:r>
        <w:rPr>
          <w:rFonts w:ascii="Arial" w:cs="Arial" w:eastAsia="Arial" w:hAnsi="Arial"/>
          <w:sz w:val="18"/>
          <w:szCs w:val="18"/>
          <w:color w:val="auto"/>
        </w:rPr>
        <w:t>During the three months ended September 30, 2021, the Company sold four income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 Chick-fil-A, a single-tenant property, located in Chandler, Arizona for $2.9 million, (ii) JPMorgan Chase Bank, a single-tenant property, located in Chandler, Arizona for $4.7 million, (iii) Fogo De Chao, a single-tenant property, located in Jacksonville, Florida for $4.7 million, and (iv) Wells Fargo, a single-tenant office income property located in Raleigh, North Carolina for $63.0 million. The sale of the properties reflect a total disposition volume of $75.3 million, resulting in aggregate gains of $22.7 million.</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There were no impairment charges on the Company’s undeveloped land holdings, or its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portfolio during the three months ended September 30, 2022 and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During the three months ended September 30, 2022, the closing stock price of PINE decreased by $1.70 per share, with a closing price of $16.22 on September 30, 2022. During the three months ended September 30, 2021, the closing stock price of PINE decreased by $0.65 per share, with a closing price of $18.37 on September 30, 2021. The change in stock price resulted in an unrealized, non-cash losses on the Company’s investment in PINE of $3.7 million and $1.3 million which is included in investment and other income (loss) in the consolidated statements of operations for the three months ended September 30, 2022 and 2021, respectively.</w:t>
      </w:r>
    </w:p>
    <w:p>
      <w:pPr>
        <w:spacing w:after="0" w:line="178"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$0.6 million and $0.5 million during the three months ended September 30, 2022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Interest expense totaled $3.0 million and $2.0 million for the three months ended September 30, 2022 and 2021, respectively. The increase of $1.0 million resulted primarily from (i) the increase in the variable interest rate under the Company’s Credit Facility during the three months ended September 30, 2022 prior to the repayment with proceeds from the 2028 Term Loan, (ii) the increase in debt related to the $17.8 million mortgage loan assumed in connection with the acquisition of Price Plaza, the $100.0 million 2027 Term Loan, and the $100.0 million 2028 Term Loan.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Attributable to the Company</w:t>
      </w:r>
    </w:p>
    <w:p>
      <w:pPr>
        <w:spacing w:after="0" w:line="229"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Net income attributable to the Company totaled $4.8 million during the three months ended September 30, 2022 as compared to $23.9 million of net income during the three months ended September 30, 2021. The decrease in net income is attributable to the factors described above, and notably the decrease of $17.7 million of gains on the disposition of assets.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Total revenue for the nine months ended September 30, 2022 is presented in the following summary and indicates the changes as compared to the nine months ended September 30, 2021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Segment</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 Variance</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Management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Total revenue for the nine months ended September 30, 2022 increased to $59.8 million, compared to $45.6 million during the nine months ended September 30, 2021. The increase in total revenue is primarily attributable to increased income produced by the Company’s recent income property acquisitions versus that of properties disposed of by the Company during the comparative period, in addition to the increased management fee income from PINE and increased income from commercial loans and investments.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70" w:lineRule="auto"/>
        <w:rPr>
          <w:sz w:val="20"/>
          <w:szCs w:val="20"/>
          <w:color w:val="auto"/>
        </w:rPr>
      </w:pPr>
      <w:r>
        <w:rPr>
          <w:rFonts w:ascii="Arial" w:cs="Arial" w:eastAsia="Arial" w:hAnsi="Arial"/>
          <w:sz w:val="17"/>
          <w:szCs w:val="17"/>
          <w:color w:val="auto"/>
        </w:rPr>
        <w:t>Revenue and operating income from our income property operations totaled $49.2 million and $35.3 million, respectively, during the nine months ended September 30, 2022, compared to total revenue and operating income of $36.8 million and $27.1 million, respectively, for the nine months ended September 30, 2021. The direct costs of revenues for our income property operations totaled $13.9 million and $9.7 million for the nine months ended September 30, 2022 and 2021, respectively. The increase in revenues of $12.5 million, or 33.9%, during the nine months ended September 30, 2022 is primarily related to the overall growth of the Company’s income property portfolio, as well as the timing of acquisitions versus dispositions. The increase in operating income of $8.2 million from our income property operations reflects increased rent revenues, offset by an increase of $4.3 million in our direct costs of revenues which is also related to the overall growth of the Company’s income property portfolio.</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Revenue from our management services from PINE totaled $2.8 million during the nine months ended September 30, 2022. Revenue from our management services totaled $2.4 million during the nine months ended September 30, 2021, including $2.3 million and $0.09 million earned from PINE and the Land JV,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Interest income from our commercial loans and investments totaled $3.3 million and $2.1 million during the nine months ended September 30, 2022 and 2021, respectively. The increase is due to increased income from the investments made during the nine months ended September 30, 2022, including three construction loans and the Watters Creek Investment, as defined in Note 4. “Commercial Loans and Investments”, which were partially offset by decreased income from two commercial properties which was sold during the nine months ended September 30, 2022, which were accounted for as commercial loan investments due to future repurchase rights.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During the nine months ended September 30, 2022, operating income from real estate operations was $2.5 million on revenues totaling $4.4 million. During the nine months ended September 30, 2021, operating income from real estate operations was $3.5 million on revenues totaling $4.3 million. The total decrease in operating income was $1.0 million, of which $1.4 million of the decrease was due to fewer Subsurface Interest sales. This $1.4 million decrease was partially offset by the Company’s sale of 26.62 mitigation credits for an aggregate sales price of $2.6 million and related cost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sales of $1.7 million during the nine months ended September 30, 2022, with no such mitigation credit sales during the nine months ended September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Total general and administrative expenses for the nine months ended September 30, 2022 is presented in the following summary and indicates the changes as compared to the nine months ended September 30, 2021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5"/>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top w:val="single" w:sz="8" w:color="auto"/>
            </w:tcBorders>
            <w:gridSpan w:val="3"/>
          </w:tcPr>
          <w:p>
            <w:pPr>
              <w:ind w:left="20"/>
              <w:spacing w:after="0" w:line="205"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ind w:left="20"/>
              <w:spacing w:after="0" w:line="205"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1"/>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 Variance</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Non-Cash Stock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REIT Conversion and Other Non-Recurring Items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Depreciation and amortization totaled $20.4 million and $15.4 million during the nine months ended September 30, 2022 and 2021, respectively. The increase of $5.0 million is primarily due to the overall growth in the Company’s income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Gains (Losses) and Impairment Charges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i w:val="1"/>
          <w:iCs w:val="1"/>
          <w:color w:val="auto"/>
        </w:rPr>
        <w:t xml:space="preserve">2022 Dispositions. </w:t>
      </w:r>
      <w:r>
        <w:rPr>
          <w:rFonts w:ascii="Arial" w:cs="Arial" w:eastAsia="Arial" w:hAnsi="Arial"/>
          <w:sz w:val="16"/>
          <w:szCs w:val="16"/>
          <w:color w:val="auto"/>
        </w:rPr>
        <w:t>During the nine months ended September 30, 2022, the Company sold six income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w:t>
      </w:r>
    </w:p>
    <w:p>
      <w:pPr>
        <w:spacing w:after="0" w:line="2" w:lineRule="exact"/>
        <w:rPr>
          <w:sz w:val="20"/>
          <w:szCs w:val="20"/>
          <w:color w:val="auto"/>
        </w:rPr>
      </w:pPr>
    </w:p>
    <w:p>
      <w:pPr>
        <w:jc w:val="both"/>
        <w:ind w:left="60" w:right="59" w:hanging="10"/>
        <w:spacing w:after="0" w:line="253" w:lineRule="auto"/>
        <w:tabs>
          <w:tab w:leader="none" w:pos="4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9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2021 Dispositions. </w:t>
      </w:r>
      <w:r>
        <w:rPr>
          <w:rFonts w:ascii="Arial" w:cs="Arial" w:eastAsia="Arial" w:hAnsi="Arial"/>
          <w:sz w:val="17"/>
          <w:szCs w:val="17"/>
          <w:color w:val="auto"/>
        </w:rPr>
        <w:t>During the nine months ended September 30, 2021, the Company disposed of one multi-tenant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property and 13 single-tenant income properties, including (i) World of Beer/Fuzzy’s Taco Shop, a multi-tenant income property located in Brandon, Florida for $2.3 million, (ii) Moe’s Southwest Grill, a single-tenant income property located in Jacksonville, Florida for $2.5 million, (iii) Burlington, a single-tenant income property located in North Richland Hills, Texas for $11.5 million, (iv) Staples, a single-tenant income property located in Sarasota, Florida for $4.7 million, (v) the CMBS Portfolio, sold to PINE, consisting of six single-tenant income properties for $44.5 million, (vi) Chick-fil-A, a single-tenant property, located in Chandler, Arizona for $2.9 million, (vii) JPMorgan Chase Bank, a single-tenant property, located in Chandler, Arizona for $4.7 million, (viii) Fogo De Chao, a single-tenant property, located in Jacksonville, Florida for $4.7 million, and (ix) Wells Fargo, a single-tenant office income property located in Raleigh, North Carolina for $63.0 million. The sale of the properties reflect a total disposition volume of $140.8 million, resulting in aggregate gains of $28.0 million.</w:t>
      </w:r>
    </w:p>
    <w:p>
      <w:pPr>
        <w:spacing w:after="0" w:line="18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Impairment Charges. </w:t>
      </w:r>
      <w:r>
        <w:rPr>
          <w:rFonts w:ascii="Arial" w:cs="Arial" w:eastAsia="Arial" w:hAnsi="Arial"/>
          <w:sz w:val="17"/>
          <w:szCs w:val="17"/>
          <w:color w:val="auto"/>
        </w:rPr>
        <w:t>There were no impairment charges on the Company’s undeveloped land holdings, or its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portfolio during the nine months ended September 30, 2022 and 2021. The $16.5 million impairment charge, net of the $4.1 million related income tax benefit, recognized during the nine months ended September 30, 2021 was related to the Company’s previously held retained interest in the Land JV as a result of the estimated proceeds to be received in connection with the contract entered into with Timberline Acquisition Partners, an affiliate of Timberline Real Estate Partners (“Timberline”). The sale to Timberline closed on December 10,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During the nine months ended September 30, 2022, the closing stock price of PINE decreased by $3.82 per share, with a closing price of $16.22 on September 30, 2022. During the nine months ended September 30, 2021, the closing stock price of PINE increased by $3.38 per share, with a closing price of $18.37 on September 30, 2021. The change in stock price resulted in an unrealized, non-cash gain (loss) on the Company’s investment in PINE of ($8.1) million and $6.9 million which is included in investment and other income (loss) in the consolidated statements of operations for the nine months ended September 30, 2022 and 2021, respectively.</w:t>
      </w:r>
    </w:p>
    <w:p>
      <w:pPr>
        <w:spacing w:after="0" w:line="17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$1.7 million and $1.5 million during the nine months ended September 30, 2022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Interest expense totaled $7.2 million and $6.8 million for the nine months ended September 30, 2022 and 2021, respectively. The increase of $0.4 resulted primarily from (i) the net decrease in long-term debt outstanding under the Company’s Credit Facility during the nine months ended September 30, 2022 as compared to the same period in 2021, which is primarily driven by the use of proceeds received from the Series A Preferred Stock offering and the 2028 Term Loan, (ii) the payoff of the Company’s $23.2 million variable-rate mortgage note, (iii) the disposition of the CMBS Portfolio under which the buyer assumed a $30.0 million fixed-rate mortgage note, and (iv) the repurchase of $11.4 million aggregate principal amount of 2025 Notes. These decreases in debt were offset by increases in debt related to (i) the $17.8 million mortgage loan assumed in connection with the acquisition of Price Plaza and (ii) the $200.0 million in debt from the 2027 Term Loan and 2028 Term Loan, as well as increased rates related to the unhedged credit facility balance.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Attributable to the Company</w:t>
      </w:r>
    </w:p>
    <w:p>
      <w:pPr>
        <w:spacing w:after="0" w:line="229"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Net income attributable to the Company totaled $6.2 million during the nine months ended September 30, 2022 as compared to net income of $28.0 million during the nine months ended September 30, 2021. The decrease in net income is attributable to the factors described above, and notably the decrease of $23.4 million of gains on the disposition of assets.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totaled $9.5 million at September 30, 2022, while restricted cash totaled $37.3 million, see Note 2, “Summary of Significant Accounting Policies” under the heading Restricted Cash for the Company’s disclosure related to its restricted cash balance at September 30, 2022.</w:t>
      </w:r>
    </w:p>
    <w:p>
      <w:pPr>
        <w:spacing w:after="0" w:line="184"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Our cash flows provided by operating activities totaled $34.1 million during the nine months ended September 30, 2022, compared to cash flows provided by operating activities totaling $12.4 million for the nine months ended September 30, 2021, an increase of $21.7 million. The increase is primarily related to the increase in the cash flows provided by income properties, which is the result of the overall growth of the Company’s income property portfolio. The cash flows provided by operating activities was also impacted by more cash flows from the Company’s management fee income and interest income from commercial loans and investments.</w:t>
      </w:r>
    </w:p>
    <w:p>
      <w:pPr>
        <w:spacing w:after="0" w:line="17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Our cash flows used in investing activities totaled $80.4 million for the nine months ended September 30, 2022, compared to cash flows used in investing activities of $7.7 million for the nine months ended September 30, 2021, an increase in cash outflows of $72.7 million. The increase in cash used in investing activities is primarily related to $67.7 million less in proceeds from income property dispositions, during the nine months ended September 30, 2022 as compared to the same period in 2021.</w:t>
      </w:r>
    </w:p>
    <w:p>
      <w:pPr>
        <w:spacing w:after="0" w:line="188"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cash flows provided by financing activities totaled $61.8 million for the nine months ended September 30, 2022, compared to cash flows provided by financing activities of $37.1 million for the nine months ended September 30, 2021, an increase in cash inflows of $24.7 million. The increase is primarily related to a $86.3 million increase in cash flows provided by debt activity offset by an increase in cash outflows of $5.0 million related to dividends paid during the nine months ended September 30, 2022 as compared to the same period in the prior year and an increase in cash outflows of $2.8 million of repurchases of the Company’s common stock. Cash flows from financing activities also benefitted from cash inflows of $20.8 million of net proceeds received from the sale of 961,261 shares of the Company’s common stock</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under the ATM Program during the nine months ended September 30, 2022, with no such activity during the same period in 2021.</w:t>
      </w:r>
    </w:p>
    <w:p>
      <w:pPr>
        <w:spacing w:after="0" w:line="170"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September 30, 2022, the Company had $261.5 million undrawn commitment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See Note 16, “Long-Term Debt” for the Company’s disclosure related to its long-term debt balance at September 30, 2022.</w:t>
      </w:r>
    </w:p>
    <w:p>
      <w:pPr>
        <w:spacing w:after="0" w:line="184"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 acquired two multi-tenant income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2022 for a purchase price of $119.3 million, as further described in Note 3, “Income Properties”. The Company also originated three structured investments to provide $57.7 million of funding towards three retail and mixed-use properties.</w:t>
      </w:r>
    </w:p>
    <w:p>
      <w:pPr>
        <w:spacing w:after="0" w:line="187"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The Company’s guidance for 2022 investments in income-producing properties totals $271.0 million. 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pacing w:after="0" w:line="1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During the nine months ended September 30, 2022, the Company sold six income properties for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volume of $81.1 million, two of which were classified as commercial loan investments due to tenant repurchase options, as further described in Note 3, “Income Properties”.</w:t>
      </w:r>
    </w:p>
    <w:p>
      <w:pPr>
        <w:spacing w:after="0" w:line="18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ATM Program</w:t>
      </w:r>
      <w:r>
        <w:rPr>
          <w:rFonts w:ascii="Arial" w:cs="Arial" w:eastAsia="Arial" w:hAnsi="Arial"/>
          <w:sz w:val="18"/>
          <w:szCs w:val="18"/>
          <w:color w:val="auto"/>
        </w:rPr>
        <w:t>. During the nine months ended September 30, 2022, the Company sold 961,261 shares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ATM Program for gross proceeds of $21.1 million at a weighted average price of $21.99 per share, generating net proceeds of $20.8 million after deducting transaction fees totaling $0.3 million.</w:t>
      </w:r>
    </w:p>
    <w:p>
      <w:pPr>
        <w:spacing w:after="0" w:line="18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Contractual Commitments – Expenditures. </w:t>
      </w:r>
      <w:r>
        <w:rPr>
          <w:rFonts w:ascii="Arial" w:cs="Arial" w:eastAsia="Arial" w:hAnsi="Arial"/>
          <w:sz w:val="18"/>
          <w:szCs w:val="18"/>
          <w:color w:val="auto"/>
        </w:rPr>
        <w:t>The Company has committed to fund the following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The improvements, which are related to several properties, are estimated to be generally completed within twelve months. These commitments, as of September 30, 2022, are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As of September 30,</w:t>
            </w:r>
          </w:p>
        </w:tc>
      </w:tr>
      <w:tr>
        <w:trPr>
          <w:trHeight w:val="234"/>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r>
      <w:tr>
        <w:trPr>
          <w:trHeight w:val="210"/>
        </w:trPr>
        <w:tc>
          <w:tcPr>
            <w:tcW w:w="69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28,511</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Funded</w:t>
            </w: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r>
      <w:tr>
        <w:trPr>
          <w:trHeight w:val="20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173"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7"/>
          <w:szCs w:val="17"/>
          <w:color w:val="auto"/>
        </w:rPr>
        <w:t>In addition, the Company is committed to fund the three construction loans as described in Note 4. Commercial Loans and Investments. The unfunded portion of the construction loans totaled $8.8 million as of September 30, 2022.</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None.</w:t>
      </w:r>
    </w:p>
    <w:p>
      <w:pPr>
        <w:spacing w:after="0" w:line="21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We believe we will have sufficient liquidity to fund our operations, capital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debt service requirements over the next twelve months and into the foreseeable future, with cash on hand, cash flow from our operations, $128.9 million of availability remaining under the ATM Program, and $261.5 million undrawn commitment under the existing $300.0 million Credit Facility as of September 30, 2022.</w:t>
      </w:r>
    </w:p>
    <w:p>
      <w:pPr>
        <w:spacing w:after="0" w:line="171"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color w:val="auto"/>
        </w:rPr>
        <w:t>We believe that we currently have a reasonable level of leverage. Our strategy is to utilize leverage, when appropriate and necessary, and proceeds from sales of income properties, the disposition or payoffs on our commercial loan and master lease investments, and certain transactions in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p>
      <w:pPr>
        <w:spacing w:after="0" w:line="2" w:lineRule="exact"/>
        <w:rPr>
          <w:sz w:val="20"/>
          <w:szCs w:val="20"/>
          <w:color w:val="auto"/>
        </w:rPr>
      </w:pPr>
    </w:p>
    <w:p>
      <w:pPr>
        <w:ind w:left="840" w:right="79" w:hanging="331"/>
        <w:spacing w:after="0" w:line="250"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Multi-tenant, primarily retail-oriented, properties in major metropolitan areas and growth markets, typically stabilized;</w:t>
      </w:r>
    </w:p>
    <w:p>
      <w:pPr>
        <w:ind w:left="840" w:right="79" w:hanging="331"/>
        <w:spacing w:after="0" w:line="265" w:lineRule="auto"/>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Single-tenant retail or other commercial, double or triple net leased, properties in major metropolitan areas and growth markets that are compliant with our commitments under the PINE ROFO Agreement;</w:t>
      </w:r>
    </w:p>
    <w:p>
      <w:pPr>
        <w:ind w:left="840" w:right="79" w:hanging="331"/>
        <w:spacing w:after="0" w:line="250"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Ground leases, whether purchased or originated by the Company, that are compliant with our commitments under the ROFO Agreement;</w:t>
      </w:r>
    </w:p>
    <w:p>
      <w:pPr>
        <w:ind w:left="840" w:hanging="331"/>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Self-developed retail or other commercial properties;</w:t>
      </w:r>
    </w:p>
    <w:p>
      <w:pPr>
        <w:spacing w:after="0" w:line="9" w:lineRule="exact"/>
        <w:rPr>
          <w:rFonts w:ascii="Arial" w:cs="Arial" w:eastAsia="Arial" w:hAnsi="Arial"/>
          <w:sz w:val="18"/>
          <w:szCs w:val="18"/>
          <w:color w:val="auto"/>
        </w:rPr>
      </w:pPr>
    </w:p>
    <w:p>
      <w:pPr>
        <w:jc w:val="both"/>
        <w:ind w:left="840" w:right="79" w:hanging="331"/>
        <w:spacing w:after="0" w:line="250"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loan and master lease investments, whether purchased or originated by the Company, with loan terms of 1-10 years with strong risk-adjusted yields secured by property types to include hotel, retail, residential, land and industrial;</w:t>
      </w:r>
    </w:p>
    <w:p>
      <w:pPr>
        <w:spacing w:after="0" w:line="1" w:lineRule="exact"/>
        <w:rPr>
          <w:rFonts w:ascii="Arial" w:cs="Arial" w:eastAsia="Arial" w:hAnsi="Arial"/>
          <w:sz w:val="18"/>
          <w:szCs w:val="18"/>
          <w:color w:val="auto"/>
        </w:rPr>
      </w:pPr>
    </w:p>
    <w:p>
      <w:pPr>
        <w:ind w:left="840" w:right="79" w:hanging="331"/>
        <w:spacing w:after="0" w:line="250"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 estate-related investment securities, including commercial mortgage-backed securities, preferred or common stock, and corporate bonds.</w:t>
      </w:r>
    </w:p>
    <w:p>
      <w:pPr>
        <w:spacing w:after="0" w:line="18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18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Our reported results are presented in accordance with accounting principles generally accepted in the United States of America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76"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64" w:lineRule="exact"/>
        <w:rPr>
          <w:sz w:val="20"/>
          <w:szCs w:val="20"/>
          <w:color w:val="auto"/>
        </w:rPr>
      </w:pPr>
    </w:p>
    <w:p>
      <w:pPr>
        <w:jc w:val="both"/>
        <w:ind w:left="60" w:right="59" w:firstLine="441"/>
        <w:spacing w:after="0" w:line="261" w:lineRule="auto"/>
        <w:rPr>
          <w:sz w:val="20"/>
          <w:szCs w:val="20"/>
          <w:color w:val="auto"/>
        </w:rPr>
      </w:pPr>
      <w:r>
        <w:rPr>
          <w:rFonts w:ascii="Arial" w:cs="Arial" w:eastAsia="Arial" w:hAnsi="Arial"/>
          <w:sz w:val="17"/>
          <w:szCs w:val="17"/>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as well as adding back the interest related to the 2025 Notes, if the effect is dilutive. Such items may cause short-term fluctuations in net income but have no impact on operating cash flows or long-term operating performance. We use AFFO as one measure of our performance when we formulate corporate goals.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740" w:type="dxa"/>
            <w:vAlign w:val="bottom"/>
            <w:gridSpan w:val="10"/>
          </w:tcPr>
          <w:p>
            <w:pPr>
              <w:ind w:left="20"/>
              <w:spacing w:after="0"/>
              <w:rPr>
                <w:sz w:val="20"/>
                <w:szCs w:val="20"/>
                <w:color w:val="auto"/>
              </w:rPr>
            </w:pPr>
            <w:r>
              <w:rPr>
                <w:rFonts w:ascii="Arial" w:cs="Arial" w:eastAsia="Arial" w:hAnsi="Arial"/>
                <w:sz w:val="18"/>
                <w:szCs w:val="18"/>
                <w:b w:val="1"/>
                <w:bCs w:val="1"/>
                <w:color w:val="auto"/>
                <w:w w:val="98"/>
              </w:rPr>
              <w:t>Reconciliation of Non-U.S. GAAP Measures (in thousands, except share and dividend data):</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32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6"/>
                <w:szCs w:val="16"/>
                <w:color w:val="auto"/>
              </w:rPr>
            </w:pPr>
          </w:p>
        </w:tc>
        <w:tc>
          <w:tcPr>
            <w:tcW w:w="1240" w:type="dxa"/>
            <w:vAlign w:val="bottom"/>
            <w:tcBorders>
              <w:top w:val="single" w:sz="8" w:color="auto"/>
            </w:tcBorders>
            <w:gridSpan w:val="3"/>
          </w:tcPr>
          <w:p>
            <w:pPr>
              <w:jc w:val="right"/>
              <w:ind w:right="1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Company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60" w:type="dxa"/>
            <w:vAlign w:val="bottom"/>
          </w:tcPr>
          <w:p>
            <w:pPr>
              <w:ind w:left="220"/>
              <w:spacing w:after="0" w:line="192" w:lineRule="exact"/>
              <w:rPr>
                <w:sz w:val="20"/>
                <w:szCs w:val="20"/>
                <w:color w:val="auto"/>
              </w:rPr>
            </w:pPr>
            <w:r>
              <w:rPr>
                <w:rFonts w:ascii="Arial" w:cs="Arial" w:eastAsia="Arial" w:hAnsi="Arial"/>
                <w:sz w:val="18"/>
                <w:szCs w:val="18"/>
                <w:color w:val="auto"/>
              </w:rPr>
              <w:t>Add Back: Effect of Dilutive Interest Related to</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220"/>
              <w:spacing w:after="0" w:line="24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0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the Company, If-</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Depreciation and Amortization of Real Estate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on Disposition of Assets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Gains on Disposition of Other Assets</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(2,473)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Charges, Net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8"/>
              </w:rPr>
              <w:t>Unrealized Loss (Gain) on Investment Securities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Distributions to Preferred Stockholders</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(3,586)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Funds From Operations Attributable to Common</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 to Lease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60" w:type="dxa"/>
            <w:vAlign w:val="bottom"/>
          </w:tcPr>
          <w:p>
            <w:pPr>
              <w:ind w:left="220"/>
              <w:spacing w:after="0" w:line="192" w:lineRule="exact"/>
              <w:rPr>
                <w:sz w:val="20"/>
                <w:szCs w:val="20"/>
                <w:color w:val="auto"/>
              </w:rPr>
            </w:pPr>
            <w:r>
              <w:rPr>
                <w:rFonts w:ascii="Arial" w:cs="Arial" w:eastAsia="Arial" w:hAnsi="Arial"/>
                <w:sz w:val="18"/>
                <w:szCs w:val="18"/>
                <w:color w:val="auto"/>
              </w:rPr>
              <w:t>Less: Effect of Dilutive Interest Related to 2025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220"/>
              <w:spacing w:after="0" w:line="24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0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Core Funds From Operations Attributable to Common</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Straight-Line Rent Adjustment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COVID-19 Rent Repayments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Depreciation and Amortization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Loan Costs and Discount 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Convertible Debt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Non-Recurring G&amp;A</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Adjusted Funds From Operations Attributable to</w:t>
            </w:r>
          </w:p>
        </w:tc>
        <w:tc>
          <w:tcPr>
            <w:tcW w:w="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18,403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Stockholders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18,386,435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17,703,284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18,044,299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17,678,701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line="216" w:lineRule="exact"/>
              <w:rPr>
                <w:sz w:val="20"/>
                <w:szCs w:val="20"/>
                <w:color w:val="auto"/>
              </w:rPr>
            </w:pPr>
            <w:r>
              <w:rPr>
                <w:rFonts w:ascii="Arial" w:cs="Arial" w:eastAsia="Arial" w:hAnsi="Arial"/>
                <w:sz w:val="17"/>
                <w:szCs w:val="17"/>
                <w:color w:val="auto"/>
              </w:rPr>
              <w:t xml:space="preserve">Diluted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21,505,460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17,703,284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18,044,299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17,678,701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Preferred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Dividends Declared and Paid - Common Stock</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jc w:val="both"/>
        <w:ind w:left="380" w:right="79" w:hanging="330"/>
        <w:spacing w:after="0" w:line="225" w:lineRule="auto"/>
        <w:tabs>
          <w:tab w:leader="none" w:pos="380"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As applicable, includes interest expense, amortization of discount, amortization of fees, and other changes in net income or loss that would result from the assumed conversion of the 2025 Notes (hereinafter defined). For the three months ended September 30 2022, a total of $0.5 million was included as the impact to earnings per share, if-converted, is dilutive. For the nine months ended September 30, 2022, the impact of $1.6 million was not included as the impact to earnings per share, if-converted, would be antidilutive to the net income of $2.6 million.</w:t>
      </w:r>
    </w:p>
    <w:p>
      <w:pPr>
        <w:spacing w:after="0" w:line="2" w:lineRule="exact"/>
        <w:rPr>
          <w:rFonts w:ascii="Arial" w:cs="Arial" w:eastAsia="Arial" w:hAnsi="Arial"/>
          <w:sz w:val="17"/>
          <w:szCs w:val="17"/>
          <w:color w:val="auto"/>
          <w:vertAlign w:val="superscript"/>
        </w:rPr>
      </w:pPr>
    </w:p>
    <w:p>
      <w:pPr>
        <w:jc w:val="both"/>
        <w:ind w:left="380" w:right="79" w:hanging="330"/>
        <w:spacing w:after="0" w:line="226" w:lineRule="auto"/>
        <w:tabs>
          <w:tab w:leader="none" w:pos="380"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A total of 3.1 million shares representing the dilutive impact of the 2025 Notes, upon adoption of ASU 2020-06 effective January 1, 2022, were included in the computation of diluted net income per share attributable to common stockholders for the three months ended September 30, 2022. A total of 3.1 million shares representing the dilutive impact of the 2025 Notes, were not included in the computation of diluted net income per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59"/>
        <w:spacing w:after="0" w:line="253" w:lineRule="auto"/>
        <w:rPr>
          <w:sz w:val="20"/>
          <w:szCs w:val="20"/>
          <w:color w:val="auto"/>
        </w:rPr>
      </w:pPr>
      <w:r>
        <w:rPr>
          <w:rFonts w:ascii="Arial" w:cs="Arial" w:eastAsia="Arial" w:hAnsi="Arial"/>
          <w:sz w:val="14"/>
          <w:szCs w:val="14"/>
          <w:color w:val="auto"/>
        </w:rPr>
        <w:t>share attributable to common stockholders for the nine months ended September 30, 2022 because they were antidilutive to the net income of $2.6 million.</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w w:val="95"/>
              </w:rPr>
              <w:t>Other Data (in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Attributable to Common 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02"/>
        </w:trPr>
        <w:tc>
          <w:tcPr>
            <w:tcW w:w="4060" w:type="dxa"/>
            <w:vAlign w:val="bottom"/>
          </w:tcPr>
          <w:p>
            <w:pPr>
              <w:ind w:left="20"/>
              <w:spacing w:after="0" w:line="201" w:lineRule="exact"/>
              <w:rPr>
                <w:sz w:val="20"/>
                <w:szCs w:val="20"/>
                <w:color w:val="auto"/>
              </w:rPr>
            </w:pPr>
            <w:r>
              <w:rPr>
                <w:rFonts w:ascii="Arial" w:cs="Arial" w:eastAsia="Arial" w:hAnsi="Arial"/>
                <w:sz w:val="18"/>
                <w:szCs w:val="18"/>
                <w:color w:val="auto"/>
              </w:rPr>
              <w:t>FFO Attributable to Common Stockholders per</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Common Share - Diluted</w:t>
            </w:r>
          </w:p>
        </w:tc>
        <w:tc>
          <w:tcPr>
            <w:tcW w:w="22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Core FFO Attributable to Common Stockholders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w w:val="97"/>
              </w:rPr>
              <w:t>Core FFO Attributable to Common Stockholders per</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6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Common Share - Diluted </w:t>
            </w:r>
            <w:r>
              <w:rPr>
                <w:rFonts w:ascii="Arial" w:cs="Arial" w:eastAsia="Arial" w:hAnsi="Arial"/>
                <w:sz w:val="26"/>
                <w:szCs w:val="26"/>
                <w:color w:val="auto"/>
                <w:vertAlign w:val="superscript"/>
              </w:rPr>
              <w:t>(1)</w:t>
            </w:r>
          </w:p>
        </w:tc>
        <w:tc>
          <w:tcPr>
            <w:tcW w:w="22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 Attributable to Common 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18,403</w:t>
            </w:r>
          </w:p>
        </w:tc>
        <w:tc>
          <w:tcPr>
            <w:tcW w:w="0" w:type="dxa"/>
            <w:vAlign w:val="bottom"/>
          </w:tcPr>
          <w:p>
            <w:pPr>
              <w:spacing w:after="0"/>
              <w:rPr>
                <w:sz w:val="1"/>
                <w:szCs w:val="1"/>
                <w:color w:val="auto"/>
              </w:rPr>
            </w:pPr>
          </w:p>
        </w:tc>
      </w:tr>
      <w:tr>
        <w:trPr>
          <w:trHeight w:val="192"/>
        </w:trPr>
        <w:tc>
          <w:tcPr>
            <w:tcW w:w="4060" w:type="dxa"/>
            <w:vAlign w:val="bottom"/>
          </w:tcPr>
          <w:p>
            <w:pPr>
              <w:ind w:left="20"/>
              <w:spacing w:after="0" w:line="192" w:lineRule="exact"/>
              <w:rPr>
                <w:sz w:val="20"/>
                <w:szCs w:val="20"/>
                <w:color w:val="auto"/>
              </w:rPr>
            </w:pPr>
            <w:r>
              <w:rPr>
                <w:rFonts w:ascii="Arial" w:cs="Arial" w:eastAsia="Arial" w:hAnsi="Arial"/>
                <w:sz w:val="18"/>
                <w:szCs w:val="18"/>
                <w:color w:val="auto"/>
              </w:rPr>
              <w:t>AFFO Attributable to Common Stockholders per</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Common Share - Diluted </w:t>
            </w:r>
            <w:r>
              <w:rPr>
                <w:rFonts w:ascii="Arial" w:cs="Arial" w:eastAsia="Arial" w:hAnsi="Arial"/>
                <w:sz w:val="26"/>
                <w:szCs w:val="26"/>
                <w:color w:val="auto"/>
                <w:vertAlign w:val="superscript"/>
              </w:rPr>
              <w:t>(1)</w:t>
            </w:r>
          </w:p>
        </w:tc>
        <w:tc>
          <w:tcPr>
            <w:tcW w:w="22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414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65" w:lineRule="exact"/>
        <w:rPr>
          <w:sz w:val="20"/>
          <w:szCs w:val="20"/>
          <w:color w:val="auto"/>
        </w:rPr>
      </w:pPr>
    </w:p>
    <w:p>
      <w:pPr>
        <w:jc w:val="both"/>
        <w:ind w:left="380" w:right="59" w:hanging="330"/>
        <w:spacing w:after="0" w:line="233" w:lineRule="auto"/>
        <w:tabs>
          <w:tab w:leader="none" w:pos="438"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A total of 3.1 million shares representing the dilutive impact of the 2025 Notes, upon adoption of ASU 2020-06 effective January 1, 2022, were included in the computation of diluted net income per share attributable to common stockholders for the three months ended September 30, 2022. A total of 3.1 million shares representing the dilutive impact of the 2025 Notes, were not included in the computation of diluted net income per share attributable to common stockholders for the nine months ended September 30, 2022 because they were antidilutive to the net income of $2.6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84" w:lineRule="exact"/>
        <w:rPr>
          <w:sz w:val="20"/>
          <w:szCs w:val="20"/>
          <w:color w:val="auto"/>
        </w:rPr>
      </w:pPr>
    </w:p>
    <w:p>
      <w:pPr>
        <w:jc w:val="both"/>
        <w:ind w:left="60" w:right="59" w:firstLine="441"/>
        <w:spacing w:after="0" w:line="267" w:lineRule="auto"/>
        <w:rPr>
          <w:sz w:val="20"/>
          <w:szCs w:val="20"/>
          <w:color w:val="auto"/>
        </w:rPr>
      </w:pPr>
      <w:r>
        <w:rPr>
          <w:rFonts w:ascii="Arial" w:cs="Arial" w:eastAsia="Arial" w:hAnsi="Arial"/>
          <w:sz w:val="17"/>
          <w:szCs w:val="17"/>
          <w:i w:val="1"/>
          <w:iCs w:val="1"/>
          <w:color w:val="auto"/>
        </w:rPr>
        <w:t>Purchase Accounting for Acquisitions of Real Estate Subject to a Lease</w:t>
      </w:r>
      <w:r>
        <w:rPr>
          <w:rFonts w:ascii="Arial" w:cs="Arial" w:eastAsia="Arial" w:hAnsi="Arial"/>
          <w:sz w:val="17"/>
          <w:szCs w:val="17"/>
          <w:color w:val="auto"/>
        </w:rPr>
        <w:t>. As required by U.S. GAAP,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two multi-tenant income properties for a purchase price of $119.3 million for the nine months ended September 30, 2022 and three multi-tenant income properties for a combined purchase price of $111.0 million for the nine months ended September 30, 2021.</w:t>
      </w:r>
    </w:p>
    <w:p>
      <w:pPr>
        <w:spacing w:after="0" w:line="21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See Note 2, “Summary of Significant Accounting Policies”, for further discussion of the Company’s accounting estimates and policies.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color w:val="auto"/>
        </w:rPr>
        <w:t>The principal market risk (i.e. the risk of loss arising from adverse changes in market rates and prices), to which we are exposed is interest rate risk relating to our debt. We may utilize overnight sweep accounts and short-term investments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a means to minimize the interest rate risk. We do not believe that interest rate risk related to cash equivalents and short-term investments, if any, is material due to the nature of the investments.</w:t>
      </w:r>
    </w:p>
    <w:p>
      <w:pPr>
        <w:spacing w:after="0" w:line="170"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We are primarily exposed to interest rate risk relating to our own debt in connection with our Credit Facility, as this facility carries a variable rate of interest. Our borrowings on our $300.0 million revolving Credit Facility bear a variable rate of interest based on SOFR plus a rate of between 125 basis points and 220 basis points based on our level of borrowing as a percentage of our total asset value. As of September 30, 2022 and 2021, the outstanding balance on our Credit Facility totaled $38.5 million and $109.0 million, of which $38.5 million and $109.0 million, respectively, were not fixed by virtue of an interest rate swap agreement. A hypothetical change in the interest rate of 100 basis points (i.e., 1%) would affect our financial position, results of operations, and cash flows by $0.4 million and $1.1 million as of September 30, 2022 and 2021, respectively. The Company has entered into interest rate swap agreements to hedge against changes in future cash flows resulting from fluctuating interest rates related to certain of its debt borrowings, see Note 17, “Interest Rate Swaps.”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2022,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For a discussion of the Company’s potential risks and uncertainties, see the information under the heading Part I, “Item 1A. Risk Factors” in the Company’s Annual Report on Form 10-K for the year ended December 31, 2021. The risks described in the Form 10-K are not the only risks facing the Company. Additional risks and uncertainties not currently known to the Company or that the Company currently deems to be immaterial also may materially adversely affect the Company. As of September 30, 2022, there have been no material changes in our risk factors from those set forth within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repurchases of shares of the Company’s common stock were made during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79"/>
              </w:rPr>
              <w:t>as</w:t>
            </w:r>
          </w:p>
        </w:tc>
        <w:tc>
          <w:tcPr>
            <w:tcW w:w="18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May yet be Purchased</w:t>
            </w: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a Part of 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 the Plans or</w:t>
            </w:r>
          </w:p>
        </w:tc>
      </w:tr>
      <w:tr>
        <w:trPr>
          <w:trHeight w:val="208"/>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42"/>
        </w:trPr>
        <w:tc>
          <w:tcPr>
            <w:tcW w:w="2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Paid per Share</w:t>
            </w:r>
          </w:p>
        </w:tc>
        <w:tc>
          <w:tcPr>
            <w:tcW w:w="140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7"/>
              </w:rPr>
              <w:t xml:space="preserve">or Programs </w:t>
            </w:r>
            <w:r>
              <w:rPr>
                <w:rFonts w:ascii="Arial" w:cs="Arial" w:eastAsia="Arial" w:hAnsi="Arial"/>
                <w:sz w:val="26"/>
                <w:szCs w:val="26"/>
                <w:b w:val="1"/>
                <w:bCs w:val="1"/>
                <w:color w:val="auto"/>
                <w:w w:val="87"/>
                <w:vertAlign w:val="superscript"/>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6"/>
              </w:rPr>
              <w:t xml:space="preserve">($000's) </w:t>
            </w:r>
            <w:r>
              <w:rPr>
                <w:rFonts w:ascii="Arial" w:cs="Arial" w:eastAsia="Arial" w:hAnsi="Arial"/>
                <w:sz w:val="26"/>
                <w:szCs w:val="26"/>
                <w:b w:val="1"/>
                <w:bCs w:val="1"/>
                <w:color w:val="auto"/>
                <w:w w:val="86"/>
                <w:vertAlign w:val="superscript"/>
              </w:rPr>
              <w:t>(1)</w:t>
            </w:r>
          </w:p>
        </w:tc>
      </w:tr>
      <w:tr>
        <w:trPr>
          <w:trHeight w:val="21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7/01/2022 - 7/31/2022</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8/01/2022 - 8/30/2022</w:t>
            </w:r>
          </w:p>
        </w:tc>
        <w:tc>
          <w:tcPr>
            <w:tcW w:w="6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2,550</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9/01/2022 - 9/30/2022</w:t>
            </w:r>
          </w:p>
        </w:tc>
        <w:tc>
          <w:tcPr>
            <w:tcW w:w="6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85,694</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1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85,694</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r>
    </w:tbl>
    <w:p>
      <w:pPr>
        <w:spacing w:after="0" w:line="62" w:lineRule="exact"/>
        <w:rPr>
          <w:sz w:val="20"/>
          <w:szCs w:val="20"/>
          <w:color w:val="auto"/>
        </w:rPr>
      </w:pPr>
    </w:p>
    <w:p>
      <w:pPr>
        <w:ind w:left="380" w:right="79" w:hanging="330"/>
        <w:spacing w:after="0" w:line="209" w:lineRule="auto"/>
        <w:tabs>
          <w:tab w:leader="none" w:pos="38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 February 2020, the Board approved a $10.0 million common stock repurchase program, which was announced on February 12, 2020. The repurchase program does not have an expiration date.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60" w:right="3440" w:hanging="10"/>
        <w:spacing w:after="0" w:line="442" w:lineRule="auto"/>
        <w:tabs>
          <w:tab w:leader="none" w:pos="3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Exhibits: </w:t>
      </w: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6"/>
          <w:szCs w:val="16"/>
          <w:u w:val="single" w:color="auto"/>
          <w:color w:val="0000EE"/>
        </w:rPr>
      </w:pPr>
      <w:hyperlink r:id="rId74">
        <w:r>
          <w:rPr>
            <w:rFonts w:ascii="Arial" w:cs="Arial" w:eastAsia="Arial" w:hAnsi="Arial"/>
            <w:sz w:val="16"/>
            <w:szCs w:val="16"/>
            <w:u w:val="single" w:color="auto"/>
            <w:color w:val="0000EE"/>
          </w:rPr>
          <w:t>Purchase and Sale Agreement, dated September 9,</w:t>
        </w:r>
      </w:hyperlink>
    </w:p>
    <w:p>
      <w:pPr>
        <w:spacing w:after="0" w:line="46" w:lineRule="exact"/>
        <w:rPr>
          <w:sz w:val="20"/>
          <w:szCs w:val="20"/>
          <w:color w:val="auto"/>
        </w:rPr>
      </w:pPr>
    </w:p>
    <w:p>
      <w:pPr>
        <w:spacing w:after="0"/>
        <w:rPr>
          <w:rFonts w:ascii="Arial" w:cs="Arial" w:eastAsia="Arial" w:hAnsi="Arial"/>
          <w:sz w:val="16"/>
          <w:szCs w:val="16"/>
          <w:u w:val="single" w:color="auto"/>
          <w:color w:val="0000EE"/>
        </w:rPr>
      </w:pPr>
      <w:hyperlink r:id="rId74">
        <w:r>
          <w:rPr>
            <w:rFonts w:ascii="Arial" w:cs="Arial" w:eastAsia="Arial" w:hAnsi="Arial"/>
            <w:sz w:val="16"/>
            <w:szCs w:val="16"/>
            <w:u w:val="single" w:color="auto"/>
            <w:color w:val="0000EE"/>
          </w:rPr>
          <w:t>2022, filed as Exhibit 2.1 to the registrant’s current</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r:id="rId74">
        <w:r>
          <w:rPr>
            <w:rFonts w:ascii="Arial" w:cs="Arial" w:eastAsia="Arial" w:hAnsi="Arial"/>
            <w:sz w:val="16"/>
            <w:szCs w:val="16"/>
            <w:u w:val="single" w:color="auto"/>
            <w:color w:val="0000EE"/>
          </w:rPr>
          <w:t>report on Form 8-K filed September 12, 2022, and</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incorporated herein by reference.</w:t>
        </w:r>
      </w:hyperlink>
    </w:p>
    <w:p>
      <w:pPr>
        <w:spacing w:after="0" w:line="116" w:lineRule="exact"/>
        <w:rPr>
          <w:sz w:val="20"/>
          <w:szCs w:val="20"/>
          <w:color w:val="auto"/>
        </w:rPr>
      </w:pPr>
    </w:p>
    <w:p>
      <w:pPr>
        <w:ind w:right="159"/>
        <w:spacing w:after="0" w:line="255" w:lineRule="auto"/>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Articles of Amendment and Restatement of CTO</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Realty Growth, Inc., as amended by the Articles of</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Amendment (Name Change), filed as Exhibit 3.1 to</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the registrant’s current report on Form 8-K12B filed</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February 1, 2021, and incorporated herein by</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reference.</w:t>
        </w:r>
      </w:hyperlink>
    </w:p>
    <w:p>
      <w:pPr>
        <w:spacing w:after="0" w:line="98" w:lineRule="exact"/>
        <w:rPr>
          <w:rFonts w:ascii="Arial" w:cs="Arial" w:eastAsia="Arial" w:hAnsi="Arial"/>
          <w:sz w:val="18"/>
          <w:szCs w:val="18"/>
          <w:u w:val="single" w:color="auto"/>
          <w:color w:val="0000EE"/>
        </w:rPr>
      </w:pPr>
    </w:p>
    <w:p>
      <w:pPr>
        <w:ind w:right="199"/>
        <w:spacing w:after="0" w:line="257" w:lineRule="auto"/>
        <w:rPr>
          <w:rFonts w:ascii="Arial" w:cs="Arial" w:eastAsia="Arial" w:hAnsi="Arial"/>
          <w:sz w:val="17"/>
          <w:szCs w:val="17"/>
          <w:u w:val="single" w:color="auto"/>
          <w:color w:val="0000EE"/>
        </w:rPr>
      </w:pPr>
      <w:hyperlink r:id="rId76">
        <w:r>
          <w:rPr>
            <w:rFonts w:ascii="Arial" w:cs="Arial" w:eastAsia="Arial" w:hAnsi="Arial"/>
            <w:sz w:val="17"/>
            <w:szCs w:val="17"/>
            <w:u w:val="single" w:color="auto"/>
            <w:color w:val="0000EE"/>
          </w:rPr>
          <w:t>Articles Supplementary, designating CTO Realty</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Growth, Inc.’s 6.375% Series A Cumulative</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Redeemable Preferred Stock, filed as Exhibit 3.2 to</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the registrant's Registration Statement on Form 8-A</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filed July 1, 2021 (File No. 001-11350), and</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incorporated herein by reference.</w:t>
        </w:r>
      </w:hyperlink>
    </w:p>
    <w:p>
      <w:pPr>
        <w:spacing w:after="0" w:line="63" w:lineRule="exact"/>
        <w:rPr>
          <w:rFonts w:ascii="Arial" w:cs="Arial" w:eastAsia="Arial" w:hAnsi="Arial"/>
          <w:sz w:val="17"/>
          <w:szCs w:val="17"/>
          <w:u w:val="single" w:color="auto"/>
          <w:color w:val="0000EE"/>
        </w:rPr>
      </w:pPr>
    </w:p>
    <w:p>
      <w:pPr>
        <w:sectPr>
          <w:pgSz w:w="11900" w:h="16838" w:orient="portrait"/>
          <w:cols w:equalWidth="0" w:num="2">
            <w:col w:w="4380" w:space="720"/>
            <w:col w:w="3919"/>
          </w:cols>
          <w:pgMar w:left="1440" w:top="517" w:right="1440" w:bottom="0" w:gutter="0" w:footer="0" w:header="0"/>
        </w:sectPr>
      </w:pPr>
    </w:p>
    <w:tbl>
      <w:tblPr>
        <w:tblLayout w:type="fixed"/>
        <w:tblInd w:w="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7"/>
                <w:szCs w:val="17"/>
                <w:color w:val="auto"/>
              </w:rPr>
              <w:t>(3.3)</w:t>
            </w:r>
          </w:p>
        </w:tc>
        <w:tc>
          <w:tcPr>
            <w:tcW w:w="3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60" w:type="dxa"/>
            <w:vAlign w:val="bottom"/>
            <w:gridSpan w:val="27"/>
          </w:tcPr>
          <w:p>
            <w:pPr>
              <w:spacing w:after="0"/>
              <w:rPr>
                <w:rFonts w:ascii="Arial" w:cs="Arial" w:eastAsia="Arial" w:hAnsi="Arial"/>
                <w:sz w:val="18"/>
                <w:szCs w:val="18"/>
                <w:color w:val="0000EE"/>
              </w:rPr>
            </w:pPr>
            <w:hyperlink r:id="rId77">
              <w:r>
                <w:rPr>
                  <w:rFonts w:ascii="Arial" w:cs="Arial" w:eastAsia="Arial" w:hAnsi="Arial"/>
                  <w:sz w:val="18"/>
                  <w:szCs w:val="18"/>
                  <w:color w:val="0000EE"/>
                </w:rPr>
                <w:t>Second Amended and Restated Bylaws of CTO</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Realty Growth, Inc., effective as of January 29,</w:t>
              </w:r>
            </w:hyperlink>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gridSpan w:val="27"/>
          </w:tcPr>
          <w:p>
            <w:pPr>
              <w:spacing w:after="0" w:line="182" w:lineRule="exact"/>
              <w:rPr>
                <w:rFonts w:ascii="Arial" w:cs="Arial" w:eastAsia="Arial" w:hAnsi="Arial"/>
                <w:sz w:val="18"/>
                <w:szCs w:val="18"/>
                <w:color w:val="0000EE"/>
                <w:w w:val="95"/>
              </w:rPr>
            </w:pPr>
            <w:hyperlink r:id="rId77">
              <w:r>
                <w:rPr>
                  <w:rFonts w:ascii="Arial" w:cs="Arial" w:eastAsia="Arial" w:hAnsi="Arial"/>
                  <w:sz w:val="18"/>
                  <w:szCs w:val="18"/>
                  <w:color w:val="0000EE"/>
                  <w:w w:val="95"/>
                </w:rPr>
                <w:t>2021, filed as Exhibit 3.2 to the registrant’s current</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report on Form 8-K12B filed February 1, 2021, and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40" w:type="dxa"/>
            <w:vAlign w:val="bottom"/>
            <w:gridSpan w:val="23"/>
          </w:tcPr>
          <w:p>
            <w:pPr>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incorporated herein by reference.</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(4.1)</w:t>
            </w: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Specimen Common Stock Certificate of CTO Realty</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0" w:type="dxa"/>
            <w:vAlign w:val="bottom"/>
            <w:tcBorders>
              <w:top w:val="single" w:sz="8" w:color="0000EE"/>
            </w:tcBorders>
            <w:gridSpan w:val="24"/>
          </w:tcPr>
          <w:p>
            <w:pPr>
              <w:spacing w:after="0" w:line="182"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Growth, Inc., filed as Exhibit 4.2 to the registrant’s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80" w:type="dxa"/>
            <w:vAlign w:val="bottom"/>
            <w:tcBorders>
              <w:top w:val="single" w:sz="8" w:color="0000EE"/>
            </w:tcBorders>
            <w:gridSpan w:val="20"/>
          </w:tcPr>
          <w:p>
            <w:pPr>
              <w:spacing w:after="0" w:line="182" w:lineRule="exact"/>
              <w:rPr>
                <w:rFonts w:ascii="Arial" w:cs="Arial" w:eastAsia="Arial" w:hAnsi="Arial"/>
                <w:sz w:val="18"/>
                <w:szCs w:val="18"/>
                <w:color w:val="0000EE"/>
                <w:w w:val="96"/>
              </w:rPr>
            </w:pPr>
            <w:hyperlink r:id="rId78">
              <w:r>
                <w:rPr>
                  <w:rFonts w:ascii="Arial" w:cs="Arial" w:eastAsia="Arial" w:hAnsi="Arial"/>
                  <w:sz w:val="18"/>
                  <w:szCs w:val="18"/>
                  <w:color w:val="0000EE"/>
                  <w:w w:val="96"/>
                </w:rPr>
                <w:t>current report on Form 8-K12B filed February 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20" w:type="dxa"/>
            <w:vAlign w:val="bottom"/>
            <w:tcBorders>
              <w:top w:val="single" w:sz="8" w:color="0000EE"/>
            </w:tcBorders>
            <w:gridSpan w:val="15"/>
          </w:tcPr>
          <w:p>
            <w:pPr>
              <w:spacing w:after="0" w:line="182" w:lineRule="exact"/>
              <w:rPr>
                <w:rFonts w:ascii="Arial" w:cs="Arial" w:eastAsia="Arial" w:hAnsi="Arial"/>
                <w:sz w:val="18"/>
                <w:szCs w:val="18"/>
                <w:color w:val="0000EE"/>
                <w:w w:val="99"/>
              </w:rPr>
            </w:pPr>
            <w:hyperlink r:id="rId78">
              <w:r>
                <w:rPr>
                  <w:rFonts w:ascii="Arial" w:cs="Arial" w:eastAsia="Arial" w:hAnsi="Arial"/>
                  <w:sz w:val="18"/>
                  <w:szCs w:val="18"/>
                  <w:color w:val="0000EE"/>
                  <w:w w:val="99"/>
                </w:rPr>
                <w:t>2021, and incorporated herein by reference.</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(10.1)</w:t>
            </w: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rFonts w:ascii="Arial" w:cs="Arial" w:eastAsia="Arial" w:hAnsi="Arial"/>
                <w:sz w:val="18"/>
                <w:szCs w:val="18"/>
                <w:color w:val="0000EE"/>
              </w:rPr>
            </w:pPr>
            <w:hyperlink r:id="rId79">
              <w:r>
                <w:rPr>
                  <w:rFonts w:ascii="Arial" w:cs="Arial" w:eastAsia="Arial" w:hAnsi="Arial"/>
                  <w:sz w:val="18"/>
                  <w:szCs w:val="18"/>
                  <w:color w:val="0000EE"/>
                </w:rPr>
                <w:t>Eighth Amendment to Second Amended and</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20" w:type="dxa"/>
            <w:vAlign w:val="bottom"/>
            <w:tcBorders>
              <w:top w:val="single" w:sz="8" w:color="0000EE"/>
            </w:tcBorders>
            <w:gridSpan w:val="7"/>
          </w:tcPr>
          <w:p>
            <w:pPr>
              <w:spacing w:after="0" w:line="182" w:lineRule="exact"/>
              <w:rPr>
                <w:rFonts w:ascii="Arial" w:cs="Arial" w:eastAsia="Arial" w:hAnsi="Arial"/>
                <w:sz w:val="18"/>
                <w:szCs w:val="18"/>
                <w:color w:val="0000EE"/>
                <w:w w:val="85"/>
              </w:rPr>
            </w:pPr>
            <w:hyperlink r:id="rId79">
              <w:r>
                <w:rPr>
                  <w:rFonts w:ascii="Arial" w:cs="Arial" w:eastAsia="Arial" w:hAnsi="Arial"/>
                  <w:sz w:val="18"/>
                  <w:szCs w:val="18"/>
                  <w:color w:val="0000EE"/>
                  <w:w w:val="85"/>
                </w:rPr>
                <w:t>Restated Credit Agreement and Joinder, dated</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18"/>
          </w:tcPr>
          <w:p>
            <w:pPr>
              <w:ind w:left="40"/>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as of</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September 20, 2022, among CTO Realty Growth,</w:t>
              </w:r>
            </w:hyperlink>
          </w:p>
        </w:tc>
        <w:tc>
          <w:tcPr>
            <w:tcW w:w="140" w:type="dxa"/>
            <w:vAlign w:val="bottom"/>
            <w:tcBorders>
              <w:top w:val="single" w:sz="8" w:color="0000EE"/>
            </w:tcBorders>
            <w:gridSpan w:val="5"/>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gridSpan w:val="27"/>
          </w:tcPr>
          <w:p>
            <w:pPr>
              <w:spacing w:after="0" w:line="182"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Inc., the Guarantors party thereto, Bank of Montreal,</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and certain other lenders named therein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80" w:type="dxa"/>
            <w:vAlign w:val="bottom"/>
            <w:tcBorders>
              <w:bottom w:val="single" w:sz="8" w:color="0000EE"/>
            </w:tcBorders>
            <w:gridSpan w:val="13"/>
          </w:tcPr>
          <w:p>
            <w:pPr>
              <w:spacing w:after="0" w:line="182"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(incorporated by reference to Exhibit 10.1 to the</w:t>
              </w:r>
            </w:hyperlink>
          </w:p>
        </w:tc>
        <w:tc>
          <w:tcPr>
            <w:tcW w:w="3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gridSpan w:val="27"/>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Company’s Current Report on Form 8-K filed on</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September 23, 2022).</w:t>
              </w:r>
            </w:hyperlink>
          </w:p>
        </w:tc>
        <w:tc>
          <w:tcPr>
            <w:tcW w:w="8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(10.2)†</w:t>
            </w: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7420" w:type="dxa"/>
            <w:vAlign w:val="bottom"/>
            <w:gridSpan w:val="29"/>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Form of Restricted Share Award Agreement, dated July 1, 2022, by and between CTO Realty Growth,</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7380" w:type="dxa"/>
            <w:vAlign w:val="bottom"/>
            <w:tcBorders>
              <w:top w:val="single" w:sz="8" w:color="0000EE"/>
            </w:tcBorders>
            <w:gridSpan w:val="27"/>
          </w:tcPr>
          <w:p>
            <w:pPr>
              <w:spacing w:after="0" w:line="182" w:lineRule="exact"/>
              <w:rPr>
                <w:rFonts w:ascii="Arial" w:cs="Arial" w:eastAsia="Arial" w:hAnsi="Arial"/>
                <w:sz w:val="18"/>
                <w:szCs w:val="18"/>
                <w:color w:val="0000EE"/>
                <w:w w:val="96"/>
              </w:rPr>
            </w:pPr>
            <w:hyperlink r:id="rId80">
              <w:r>
                <w:rPr>
                  <w:rFonts w:ascii="Arial" w:cs="Arial" w:eastAsia="Arial" w:hAnsi="Arial"/>
                  <w:sz w:val="18"/>
                  <w:szCs w:val="18"/>
                  <w:color w:val="0000EE"/>
                  <w:w w:val="96"/>
                </w:rPr>
                <w:t>Inc. and the grantee thereof (incorporated by reference to Exhibit 10.1 to the Company’s Current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69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Report on Form 8-K filed on July 1, 2022).</w:t>
              </w:r>
            </w:hyperlink>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(10.3)†</w:t>
            </w:r>
          </w:p>
        </w:tc>
        <w:tc>
          <w:tcPr>
            <w:tcW w:w="31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7420" w:type="dxa"/>
            <w:vAlign w:val="bottom"/>
            <w:gridSpan w:val="29"/>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Omnibus Amendment to Restricted Share Award Agreements, dated July 1, 2022, by and between</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7060" w:type="dxa"/>
            <w:vAlign w:val="bottom"/>
            <w:tcBorders>
              <w:top w:val="single" w:sz="8" w:color="0000EE"/>
            </w:tcBorders>
            <w:gridSpan w:val="16"/>
          </w:tcPr>
          <w:p>
            <w:pPr>
              <w:spacing w:after="0" w:line="182"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CTO Realty Growth, Inc. and the grantee thereof (incorporated by reference to Exhibit 10.2 to the</w:t>
              </w:r>
            </w:hyperlink>
          </w:p>
        </w:tc>
        <w:tc>
          <w:tcPr>
            <w:tcW w:w="120" w:type="dxa"/>
            <w:vAlign w:val="bottom"/>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70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Company’s Current Report on Form 8-K filed on July 1, 2022).</w:t>
              </w:r>
            </w:hyperlink>
          </w:p>
        </w:tc>
        <w:tc>
          <w:tcPr>
            <w:tcW w:w="140" w:type="dxa"/>
            <w:vAlign w:val="bottom"/>
            <w:gridSpan w:val="5"/>
          </w:tcPr>
          <w:p>
            <w:pPr>
              <w:spacing w:after="0"/>
              <w:rPr>
                <w:sz w:val="15"/>
                <w:szCs w:val="15"/>
                <w:color w:val="auto"/>
              </w:rPr>
            </w:pPr>
          </w:p>
        </w:tc>
        <w:tc>
          <w:tcPr>
            <w:tcW w:w="8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(10.4)†</w:t>
            </w:r>
          </w:p>
        </w:tc>
        <w:tc>
          <w:tcPr>
            <w:tcW w:w="45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7420" w:type="dxa"/>
            <w:vAlign w:val="bottom"/>
            <w:gridSpan w:val="29"/>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Omnibus Amendment to Performance Share Award Agreements, dated July 1, 2022, by and between</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7260" w:type="dxa"/>
            <w:vAlign w:val="bottom"/>
            <w:tcBorders>
              <w:top w:val="single" w:sz="8" w:color="0000EE"/>
            </w:tcBorders>
            <w:gridSpan w:val="23"/>
          </w:tcPr>
          <w:p>
            <w:pPr>
              <w:spacing w:after="0" w:line="182"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CTO Realty Growth, Inc. and the grantee thereof (incorporated by reference to Exhibit 10.3 to the</w:t>
              </w:r>
            </w:hyperlink>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70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Company’s Current Report on Form 8-K filed on July 1, 2022).</w:t>
              </w:r>
            </w:hyperlink>
          </w:p>
        </w:tc>
        <w:tc>
          <w:tcPr>
            <w:tcW w:w="140" w:type="dxa"/>
            <w:vAlign w:val="bottom"/>
            <w:gridSpan w:val="5"/>
          </w:tcPr>
          <w:p>
            <w:pPr>
              <w:spacing w:after="0"/>
              <w:rPr>
                <w:sz w:val="15"/>
                <w:szCs w:val="15"/>
                <w:color w:val="auto"/>
              </w:rPr>
            </w:pPr>
          </w:p>
        </w:tc>
        <w:tc>
          <w:tcPr>
            <w:tcW w:w="2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80" w:type="dxa"/>
            <w:vAlign w:val="bottom"/>
          </w:tcPr>
          <w:p>
            <w:pPr>
              <w:spacing w:after="0"/>
              <w:rPr>
                <w:sz w:val="20"/>
                <w:szCs w:val="20"/>
                <w:color w:val="auto"/>
              </w:rPr>
            </w:pPr>
            <w:r>
              <w:rPr>
                <w:rFonts w:ascii="Arial" w:cs="Arial" w:eastAsia="Arial" w:hAnsi="Arial"/>
                <w:sz w:val="17"/>
                <w:szCs w:val="17"/>
                <w:color w:val="auto"/>
              </w:rPr>
              <w:t>Exhibit 31.1</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0000EE"/>
              </w:rPr>
              <w:t>Certification filed pursuant to Section 302 of the</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20" w:type="dxa"/>
            <w:vAlign w:val="bottom"/>
            <w:tcBorders>
              <w:top w:val="single" w:sz="8" w:color="0000EE"/>
            </w:tcBorders>
            <w:gridSpan w:val="9"/>
          </w:tcPr>
          <w:p>
            <w:pPr>
              <w:spacing w:after="0" w:line="155" w:lineRule="exact"/>
              <w:rPr>
                <w:sz w:val="20"/>
                <w:szCs w:val="20"/>
                <w:color w:val="auto"/>
              </w:rPr>
            </w:pPr>
            <w:r>
              <w:rPr>
                <w:rFonts w:ascii="Arial" w:cs="Arial" w:eastAsia="Arial" w:hAnsi="Arial"/>
                <w:sz w:val="17"/>
                <w:szCs w:val="17"/>
                <w:color w:val="0000EE"/>
              </w:rPr>
              <w:t>Sarbanes-Oxley Act of 2002</w:t>
            </w:r>
            <w:r>
              <w:rPr>
                <w:rFonts w:ascii="Arial" w:cs="Arial" w:eastAsia="Arial" w:hAnsi="Arial"/>
                <w:sz w:val="17"/>
                <w:szCs w:val="17"/>
                <w:color w:val="000000"/>
              </w:rPr>
              <w:t>.</w:t>
            </w:r>
          </w:p>
        </w:tc>
        <w:tc>
          <w:tcPr>
            <w:tcW w:w="300" w:type="dxa"/>
            <w:vAlign w:val="bottom"/>
            <w:gridSpan w:val="9"/>
          </w:tcPr>
          <w:p>
            <w:pPr>
              <w:spacing w:after="0"/>
              <w:rPr>
                <w:sz w:val="13"/>
                <w:szCs w:val="13"/>
                <w:color w:val="auto"/>
              </w:rPr>
            </w:pP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80" w:type="dxa"/>
            <w:vAlign w:val="bottom"/>
          </w:tcPr>
          <w:p>
            <w:pPr>
              <w:spacing w:after="0"/>
              <w:rPr>
                <w:sz w:val="20"/>
                <w:szCs w:val="20"/>
                <w:color w:val="auto"/>
              </w:rPr>
            </w:pPr>
            <w:r>
              <w:rPr>
                <w:rFonts w:ascii="Arial" w:cs="Arial" w:eastAsia="Arial" w:hAnsi="Arial"/>
                <w:sz w:val="17"/>
                <w:szCs w:val="17"/>
                <w:color w:val="auto"/>
              </w:rPr>
              <w:t>Exhibit 31.2</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0000EE"/>
              </w:rPr>
              <w:t>Certification filed pursuant to Section 302 of the</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20" w:type="dxa"/>
            <w:vAlign w:val="bottom"/>
            <w:tcBorders>
              <w:top w:val="single" w:sz="8" w:color="0000EE"/>
            </w:tcBorders>
            <w:gridSpan w:val="9"/>
          </w:tcPr>
          <w:p>
            <w:pPr>
              <w:spacing w:after="0" w:line="155" w:lineRule="exact"/>
              <w:rPr>
                <w:sz w:val="20"/>
                <w:szCs w:val="20"/>
                <w:color w:val="auto"/>
              </w:rPr>
            </w:pPr>
            <w:r>
              <w:rPr>
                <w:rFonts w:ascii="Arial" w:cs="Arial" w:eastAsia="Arial" w:hAnsi="Arial"/>
                <w:sz w:val="17"/>
                <w:szCs w:val="17"/>
                <w:color w:val="0000EE"/>
              </w:rPr>
              <w:t>Sarbanes-Oxley Act of 2002</w:t>
            </w:r>
            <w:r>
              <w:rPr>
                <w:rFonts w:ascii="Arial" w:cs="Arial" w:eastAsia="Arial" w:hAnsi="Arial"/>
                <w:sz w:val="17"/>
                <w:szCs w:val="17"/>
                <w:color w:val="000000"/>
              </w:rPr>
              <w:t>.</w:t>
            </w:r>
          </w:p>
        </w:tc>
        <w:tc>
          <w:tcPr>
            <w:tcW w:w="300" w:type="dxa"/>
            <w:vAlign w:val="bottom"/>
            <w:gridSpan w:val="9"/>
          </w:tcPr>
          <w:p>
            <w:pPr>
              <w:spacing w:after="0"/>
              <w:rPr>
                <w:sz w:val="13"/>
                <w:szCs w:val="13"/>
                <w:color w:val="auto"/>
              </w:rPr>
            </w:pP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80" w:type="dxa"/>
            <w:vAlign w:val="bottom"/>
          </w:tcPr>
          <w:p>
            <w:pPr>
              <w:spacing w:after="0"/>
              <w:rPr>
                <w:sz w:val="20"/>
                <w:szCs w:val="20"/>
                <w:color w:val="auto"/>
              </w:rPr>
            </w:pPr>
            <w:r>
              <w:rPr>
                <w:rFonts w:ascii="Arial" w:cs="Arial" w:eastAsia="Arial" w:hAnsi="Arial"/>
                <w:sz w:val="17"/>
                <w:szCs w:val="17"/>
                <w:color w:val="auto"/>
              </w:rPr>
              <w:t>**Exhibit 32.1</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0000EE"/>
                <w:w w:val="97"/>
              </w:rPr>
              <w:t>Certification furnished pursuant to 18 U.S.C. Section</w:t>
            </w: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20" w:type="dxa"/>
            <w:vAlign w:val="bottom"/>
            <w:tcBorders>
              <w:top w:val="single" w:sz="8" w:color="0000EE"/>
            </w:tcBorders>
            <w:gridSpan w:val="18"/>
          </w:tcPr>
          <w:p>
            <w:pPr>
              <w:spacing w:after="0" w:line="155" w:lineRule="exact"/>
              <w:rPr>
                <w:sz w:val="20"/>
                <w:szCs w:val="20"/>
                <w:color w:val="auto"/>
              </w:rPr>
            </w:pPr>
            <w:r>
              <w:rPr>
                <w:rFonts w:ascii="Arial" w:cs="Arial" w:eastAsia="Arial" w:hAnsi="Arial"/>
                <w:sz w:val="17"/>
                <w:szCs w:val="17"/>
                <w:color w:val="0000EE"/>
                <w:w w:val="98"/>
              </w:rPr>
              <w:t>1350, as Adopted pursuant to Section 906 of the</w:t>
            </w: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7"/>
                <w:szCs w:val="17"/>
                <w:color w:val="0000EE"/>
              </w:rPr>
              <w:t>Sarbanes-Oxley Act of 2002</w:t>
            </w:r>
            <w:r>
              <w:rPr>
                <w:rFonts w:ascii="Arial" w:cs="Arial" w:eastAsia="Arial" w:hAnsi="Arial"/>
                <w:sz w:val="17"/>
                <w:szCs w:val="17"/>
                <w:color w:val="000000"/>
              </w:rPr>
              <w:t>.</w:t>
            </w:r>
          </w:p>
        </w:tc>
        <w:tc>
          <w:tcPr>
            <w:tcW w:w="56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9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80" w:type="dxa"/>
            <w:vAlign w:val="bottom"/>
          </w:tcPr>
          <w:p>
            <w:pPr>
              <w:spacing w:after="0"/>
              <w:rPr>
                <w:sz w:val="20"/>
                <w:szCs w:val="20"/>
                <w:color w:val="auto"/>
              </w:rPr>
            </w:pPr>
            <w:r>
              <w:rPr>
                <w:rFonts w:ascii="Arial" w:cs="Arial" w:eastAsia="Arial" w:hAnsi="Arial"/>
                <w:sz w:val="17"/>
                <w:szCs w:val="17"/>
                <w:color w:val="auto"/>
              </w:rPr>
              <w:t>**Exhibit 32.2</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0000EE"/>
                <w:w w:val="97"/>
              </w:rPr>
              <w:t>Certification furnished pursuant to 18 U.S.C. Section</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20" w:type="dxa"/>
            <w:vAlign w:val="bottom"/>
            <w:tcBorders>
              <w:top w:val="single" w:sz="8" w:color="0000EE"/>
            </w:tcBorders>
            <w:gridSpan w:val="18"/>
          </w:tcPr>
          <w:p>
            <w:pPr>
              <w:spacing w:after="0" w:line="155" w:lineRule="exact"/>
              <w:rPr>
                <w:sz w:val="20"/>
                <w:szCs w:val="20"/>
                <w:color w:val="auto"/>
              </w:rPr>
            </w:pPr>
            <w:r>
              <w:rPr>
                <w:rFonts w:ascii="Arial" w:cs="Arial" w:eastAsia="Arial" w:hAnsi="Arial"/>
                <w:sz w:val="17"/>
                <w:szCs w:val="17"/>
                <w:color w:val="0000EE"/>
                <w:w w:val="98"/>
              </w:rPr>
              <w:t>1350, as Adopted pursuant to Section 906 of the</w:t>
            </w: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7"/>
                <w:szCs w:val="17"/>
                <w:color w:val="0000EE"/>
              </w:rPr>
              <w:t>Sarbanes-Oxley Act of 2002</w:t>
            </w:r>
            <w:r>
              <w:rPr>
                <w:rFonts w:ascii="Arial" w:cs="Arial" w:eastAsia="Arial" w:hAnsi="Arial"/>
                <w:sz w:val="17"/>
                <w:szCs w:val="17"/>
                <w:color w:val="000000"/>
              </w:rPr>
              <w:t>.</w:t>
            </w:r>
          </w:p>
        </w:tc>
        <w:tc>
          <w:tcPr>
            <w:tcW w:w="56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9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1480" w:type="dxa"/>
            <w:vAlign w:val="bottom"/>
          </w:tcPr>
          <w:p>
            <w:pPr>
              <w:spacing w:after="0"/>
              <w:rPr>
                <w:sz w:val="20"/>
                <w:szCs w:val="20"/>
                <w:color w:val="auto"/>
              </w:rPr>
            </w:pPr>
            <w:r>
              <w:rPr>
                <w:rFonts w:ascii="Arial" w:cs="Arial" w:eastAsia="Arial" w:hAnsi="Arial"/>
                <w:sz w:val="17"/>
                <w:szCs w:val="17"/>
                <w:color w:val="auto"/>
              </w:rPr>
              <w:t>Exhibit 101.INS</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rPr>
              <w:t>Inline XBRL Instance Document</w:t>
            </w: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Arial" w:cs="Arial" w:eastAsia="Arial" w:hAnsi="Arial"/>
                <w:sz w:val="17"/>
                <w:szCs w:val="17"/>
                <w:color w:val="auto"/>
              </w:rPr>
              <w:t>Exhibit 101.SCH</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w w:val="95"/>
              </w:rPr>
              <w:t>Inline XBRL Taxonomy Extension Schema Document</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0"/>
                <w:szCs w:val="20"/>
                <w:color w:val="auto"/>
              </w:rPr>
            </w:pPr>
            <w:r>
              <w:rPr>
                <w:rFonts w:ascii="Arial" w:cs="Arial" w:eastAsia="Arial" w:hAnsi="Arial"/>
                <w:sz w:val="17"/>
                <w:szCs w:val="17"/>
                <w:color w:val="auto"/>
              </w:rPr>
              <w:t>Exhibit 101.CAL</w:t>
            </w:r>
          </w:p>
        </w:tc>
        <w:tc>
          <w:tcPr>
            <w:tcW w:w="3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rPr>
              <w:t>Inline XBRL Taxonomy Extension Calculation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rPr>
              <w:t>Linkbase Document</w:t>
            </w:r>
          </w:p>
        </w:tc>
        <w:tc>
          <w:tcPr>
            <w:tcW w:w="0" w:type="dxa"/>
            <w:vAlign w:val="bottom"/>
          </w:tcPr>
          <w:p>
            <w:pPr>
              <w:spacing w:after="0"/>
              <w:rPr>
                <w:sz w:val="1"/>
                <w:szCs w:val="1"/>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7"/>
                <w:szCs w:val="17"/>
                <w:color w:val="auto"/>
              </w:rPr>
              <w:t>Exhibit 101.DEF</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w w:val="94"/>
              </w:rPr>
              <w:t>Inline XBRL Taxonomy Definition Linkbase Document</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0"/>
                <w:szCs w:val="20"/>
                <w:color w:val="auto"/>
              </w:rPr>
            </w:pPr>
            <w:r>
              <w:rPr>
                <w:rFonts w:ascii="Arial" w:cs="Arial" w:eastAsia="Arial" w:hAnsi="Arial"/>
                <w:sz w:val="17"/>
                <w:szCs w:val="17"/>
                <w:color w:val="auto"/>
              </w:rPr>
              <w:t>Exhibit 101.LAB</w:t>
            </w:r>
          </w:p>
        </w:tc>
        <w:tc>
          <w:tcPr>
            <w:tcW w:w="3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rPr>
              <w:t>Inline XBRL Taxonomy Extension Label Linkbase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7"/>
                <w:szCs w:val="17"/>
                <w:color w:val="auto"/>
              </w:rPr>
              <w:t>Exhibit 101.PRE</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7"/>
          </w:tcPr>
          <w:p>
            <w:pPr>
              <w:spacing w:after="0"/>
              <w:rPr>
                <w:sz w:val="20"/>
                <w:szCs w:val="20"/>
                <w:color w:val="auto"/>
              </w:rPr>
            </w:pPr>
            <w:r>
              <w:rPr>
                <w:rFonts w:ascii="Arial" w:cs="Arial" w:eastAsia="Arial" w:hAnsi="Arial"/>
                <w:sz w:val="17"/>
                <w:szCs w:val="17"/>
                <w:color w:val="auto"/>
              </w:rPr>
              <w:t>Inline XBRL Taxonomy Extension Presentation</w:t>
            </w: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0" w:gutter="0" w:footer="0" w:header="0"/>
          <w:type w:val="continuous"/>
        </w:sectPr>
      </w:pPr>
    </w:p>
    <w:bookmarkStart w:id="54" w:name="page55"/>
    <w:bookmarkEnd w:id="54"/>
    <w:p>
      <w:pPr>
        <w:ind w:left="5100"/>
        <w:spacing w:after="0"/>
        <w:rPr>
          <w:sz w:val="20"/>
          <w:szCs w:val="20"/>
          <w:color w:val="auto"/>
        </w:rPr>
      </w:pPr>
      <w:r>
        <w:rPr>
          <w:rFonts w:ascii="Arial" w:cs="Arial" w:eastAsia="Arial" w:hAnsi="Arial"/>
          <w:sz w:val="15"/>
          <w:szCs w:val="15"/>
          <w:color w:val="auto"/>
        </w:rPr>
        <w:t>Linkbase Document</w:t>
      </w:r>
    </w:p>
    <w:p>
      <w:pPr>
        <w:sectPr>
          <w:pgSz w:w="11900" w:h="16838" w:orient="portrait"/>
          <w:cols w:equalWidth="0" w:num="1">
            <w:col w:w="9019"/>
          </w:cols>
          <w:pgMar w:left="1440" w:top="108" w:right="1440" w:bottom="1440" w:gutter="0" w:footer="0" w:header="0"/>
        </w:sectPr>
      </w:pPr>
    </w:p>
    <w:p>
      <w:pPr>
        <w:spacing w:after="0" w:line="1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104</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Cover Page Interactive Data File (embedded within the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Inline XBRL document)</w:t>
      </w:r>
    </w:p>
    <w:p>
      <w:pPr>
        <w:spacing w:after="0" w:line="185" w:lineRule="exact"/>
        <w:rPr>
          <w:sz w:val="20"/>
          <w:szCs w:val="20"/>
          <w:color w:val="auto"/>
        </w:rPr>
      </w:pPr>
    </w:p>
    <w:p>
      <w:pPr>
        <w:sectPr>
          <w:pgSz w:w="11900" w:h="16838" w:orient="portrait"/>
          <w:cols w:equalWidth="0" w:num="2">
            <w:col w:w="4380" w:space="720"/>
            <w:col w:w="3919"/>
          </w:cols>
          <w:pgMar w:left="1440" w:top="108" w:right="1440" w:bottom="1440" w:gutter="0" w:footer="0" w:header="0"/>
          <w:type w:val="continuous"/>
        </w:sectPr>
      </w:pPr>
    </w:p>
    <w:p>
      <w:pPr>
        <w:jc w:val="both"/>
        <w:ind w:left="380" w:right="79" w:hanging="330"/>
        <w:spacing w:after="0" w:line="263"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8"/>
          <w:szCs w:val="18"/>
          <w:color w:val="auto"/>
        </w:rPr>
        <w:t>Portions of this exhibit have been redacted in compliance with Regulation S-K Item 601(b)(2). The omitted information is not material and is the type of information that the Company customarily and actually treats as private and confidential.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380" w:right="79" w:hanging="330"/>
        <w:spacing w:after="0" w:line="259"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308"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7"/>
          <w:szCs w:val="17"/>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4400"/>
        <w:spacing w:after="0"/>
        <w:rPr>
          <w:rFonts w:ascii="Arial" w:cs="Arial" w:eastAsia="Arial" w:hAnsi="Arial"/>
          <w:sz w:val="17"/>
          <w:szCs w:val="17"/>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Matthew M. Partridge, Senior Vice President,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27,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8" w:name="page59"/>
    <w:bookmarkEnd w:id="5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27, 2022</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connection with the Quarterly Report of CTO Realty Growth, Inc. (the “Company”) on Form 10-Q for the period ended September 30, 2022,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27, 2022</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0" w:name="page61"/>
    <w:bookmarkEnd w:id="6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159"/>
        <w:spacing w:after="0" w:line="279" w:lineRule="auto"/>
        <w:rPr>
          <w:sz w:val="20"/>
          <w:szCs w:val="20"/>
          <w:color w:val="auto"/>
        </w:rPr>
      </w:pPr>
      <w:r>
        <w:rPr>
          <w:rFonts w:ascii="Arial" w:cs="Arial" w:eastAsia="Arial" w:hAnsi="Arial"/>
          <w:sz w:val="17"/>
          <w:szCs w:val="17"/>
          <w:color w:val="auto"/>
        </w:rPr>
        <w:t>In connection with the Quarterly Report of CTO Realty Growth, Inc. (the “Company”) on Form 10-Q for the period ended September 30, 2022,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71" w:lineRule="exact"/>
        <w:rPr>
          <w:sz w:val="20"/>
          <w:szCs w:val="20"/>
          <w:color w:val="auto"/>
        </w:rPr>
      </w:pPr>
    </w:p>
    <w:p>
      <w:pPr>
        <w:ind w:left="1340" w:right="359" w:hanging="642"/>
        <w:spacing w:after="0" w:line="277"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27, 2022</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lowerRoman"/>
      <w:start w:val="4"/>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lowerRoman"/>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Roman"/>
      <w:start w:val="4"/>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74" Type="http://schemas.openxmlformats.org/officeDocument/2006/relationships/hyperlink" Target="https://www.sec.gov/Archives/edgar/data/23795/000155837022014316/cto-20220909xex2d1.htm" TargetMode="External"/><Relationship Id="rId75" Type="http://schemas.openxmlformats.org/officeDocument/2006/relationships/hyperlink" Target="https://www.sec.gov/Archives/edgar/data/0000023795/000119312521023648/d113606dex31.htm" TargetMode="External"/><Relationship Id="rId76" Type="http://schemas.openxmlformats.org/officeDocument/2006/relationships/hyperlink" Target="https://www.sec.gov/Archives/edgar/data/23795/000119312521206336/d124719dex32.htm" TargetMode="External"/><Relationship Id="rId77" Type="http://schemas.openxmlformats.org/officeDocument/2006/relationships/hyperlink" Target="https://www.sec.gov/Archives/edgar/data/0000023795/000119312521023648/d113606dex32.htm" TargetMode="External"/><Relationship Id="rId78" Type="http://schemas.openxmlformats.org/officeDocument/2006/relationships/hyperlink" Target="https://www.sec.gov/Archives/edgar/data/0000023795/000119312521023648/d113606dex42.htm" TargetMode="External"/><Relationship Id="rId79" Type="http://schemas.openxmlformats.org/officeDocument/2006/relationships/hyperlink" Target="https://www.sec.gov/Archives/edgar/data/23795/000155837022014604/cto-20220920xex10d1.htm" TargetMode="External"/><Relationship Id="rId80" Type="http://schemas.openxmlformats.org/officeDocument/2006/relationships/hyperlink" Target="https://www.sec.gov/Archives/edgar/data/23795/000155837022010516/cto-20220628xex10d1.htm" TargetMode="External"/><Relationship Id="rId81" Type="http://schemas.openxmlformats.org/officeDocument/2006/relationships/hyperlink" Target="https://www.sec.gov/Archives/edgar/data/23795/000155837022010516/cto-20220628xex10d2.htm" TargetMode="External"/><Relationship Id="rId82" Type="http://schemas.openxmlformats.org/officeDocument/2006/relationships/hyperlink" Target="https://www.sec.gov/Archives/edgar/data/23795/000155837022010516/cto-20220628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2022-10-27T15:54:02Z</dcterms:created>
  <dcterms:modified xsi:type="dcterms:W3CDTF">2022-10-27T15:54:02Z</dcterms:modified>
</cp:coreProperties>
</file>