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12026_040714.xml.htm"/>
      <w:bookmarkStart w:id="1" w:name="ksform407012026_0407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FRANKLIN LAURA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1140 N. WILLIAMSON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DAYTONA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CTO Realty Growth, Inc.</w:t>
              </w:r>
            </w:hyperlink>
            <w:r>
              <w:rPr/>
              <w:t xml:space="preserve"> [ </w:t>
            </w:r>
            <w:r>
              <w:rPr>
                <w:rFonts w:ascii="Times;serif" w:hAnsi="Times;serif"/>
                <w:color w:val="0000FF"/>
                <w:sz w:val="24"/>
                <w:shd w:fill="FFFFFF" w:val="clear"/>
              </w:rPr>
              <w:t>CTO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9"/>
        <w:gridCol w:w="916"/>
        <w:gridCol w:w="785"/>
        <w:gridCol w:w="608"/>
        <w:gridCol w:w="348"/>
        <w:gridCol w:w="794"/>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599</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20.8345</w:t>
            </w:r>
            <w:r>
              <w:rPr>
                <w:rFonts w:ascii="Times;serif" w:hAnsi="Times;serif"/>
                <w:color w:val="008000"/>
                <w:position w:val="7"/>
                <w:sz w:val="16"/>
                <w:sz w:val="20"/>
                <w:shd w:fill="FFFFFF" w:val="clear"/>
              </w:rPr>
              <w:t>(1)</w:t>
            </w:r>
            <w:r>
              <w:rPr/>
              <w:t xml:space="preserve"> </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63,197</w:t>
            </w:r>
            <w:r>
              <w:rPr>
                <w:rFonts w:ascii="Times;serif" w:hAnsi="Times;serif"/>
                <w:color w:val="008000"/>
                <w:position w:val="7"/>
                <w:sz w:val="16"/>
                <w:sz w:val="20"/>
                <w:shd w:fill="FFFFFF" w:val="clear"/>
              </w:rPr>
              <w:t>(2)</w:t>
            </w:r>
            <w:r>
              <w:rPr/>
              <w:t xml:space="preserve"> </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issued to the Reporting Person in lieu of her 2nd quarter 2026 board retainer fee of $12,500 pursuant to the Issuer's Non-Employee Director Compensation Policy (the "Policy") adopted by the Issuer's board of directors on February 27, 2019 (last amended February 14, 2024). Pursuant to the Policy, the share price utilized to calculate the number of shares issued was the 20-day trailing average closing price as of the last business day of the calendar quarter, or $20.83450.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amount includes 256.255 shares acquired through the Issuer's dividend reinvestment plan since April 2, 2026 (the date of the Reporting Person's prior Form 4 filing).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E. Smith, attorney-in-fact for Laura M. Franklin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65972" TargetMode="External"/><Relationship Id="rId5" Type="http://schemas.openxmlformats.org/officeDocument/2006/relationships/hyperlink" Target="http://www.sec.gov/cgi-bin/browse-edgar?action=getcompany&amp;CIK=00000237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674</Words>
  <Characters>3633</Characters>
  <CharactersWithSpaces>4247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