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6.xml.htm"/>
      <w:bookmarkStart w:id="1" w:name="ksform410022026_0410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Haga Christopher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CTO Realty Growth, Inc.</w:t>
              </w:r>
            </w:hyperlink>
            <w:r>
              <w:rPr/>
              <w:t xml:space="preserve"> [ </w:t>
            </w:r>
            <w:r>
              <w:rPr>
                <w:rFonts w:ascii="Times;serif" w:hAnsi="Times;serif"/>
                <w:color w:val="0000FF"/>
                <w:sz w:val="24"/>
                <w:shd w:fill="FFFFFF" w:val="clear"/>
              </w:rPr>
              <w:t>CTO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6"/>
        <w:gridCol w:w="919"/>
        <w:gridCol w:w="789"/>
        <w:gridCol w:w="610"/>
        <w:gridCol w:w="341"/>
        <w:gridCol w:w="813"/>
        <w:gridCol w:w="422"/>
        <w:gridCol w:w="993"/>
        <w:gridCol w:w="1117"/>
        <w:gridCol w:w="967"/>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20.7805</w:t>
            </w:r>
            <w:r>
              <w:rPr>
                <w:rFonts w:ascii="Times;serif" w:hAnsi="Times;serif"/>
                <w:color w:val="008000"/>
                <w:position w:val="7"/>
                <w:sz w:val="16"/>
                <w:sz w:val="20"/>
                <w:shd w:fill="FFFFFF" w:val="clear"/>
              </w:rPr>
              <w:t>(1)</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33,056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28,520</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Elizabeth Bennett Haga Irrevocable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in lieu of his 3rd quarter 2026 board retainer fee of $12,500 and committee retainer fees of $8,437.50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$20.78050.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Person's spouse is both a beneficiary and a trustee of the above-named trust. The Reporting Person disclaims beneficial ownership of the shares of the Issuer's common stock held by said trust, and this report shall not be deemed an admission that the Reporting Person is the beneficial owner of the shares of the Issuer's common stock held by said trust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Christopher W. Haga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9039" TargetMode="External"/><Relationship Id="rId5" Type="http://schemas.openxmlformats.org/officeDocument/2006/relationships/hyperlink" Target="http://www.sec.gov/cgi-bin/browse-edgar?action=getcompany&amp;CIK=00000237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749</Words>
  <Characters>4000</Characters>
  <CharactersWithSpaces>4677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